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864"/>
          <w:sz w:val="56"/>
          <w:szCs w:val="56"/>
        </w:rPr>
        <w:t xml:space="preserve">ERP-02</w:t>
      </w:r>
    </w:p>
    <w:p>
      <w:pPr>
        <w:spacing w:after="100"/>
        <w:jc w:val="center"/>
      </w:pPr>
      <w:r>
        <w:rPr>
          <w:b/>
          <w:bCs/>
          <w:sz w:val="30"/>
          <w:szCs w:val="30"/>
        </w:rPr>
        <w:t xml:space="preserve">Phase A</w:t>
      </w:r>
    </w:p>
    <w:p>
      <w:pPr>
        <w:spacing w:after="400"/>
        <w:jc w:val="center"/>
      </w:pPr>
      <w:r>
        <w:rPr>
          <w:b/>
          <w:bCs/>
          <w:sz w:val="32"/>
          <w:szCs w:val="32"/>
        </w:rPr>
        <w:t xml:space="preserve">Enterprise Execution Governance Framework</w:t>
      </w:r>
    </w:p>
    <w:p>
      <w:pPr>
        <w:spacing w:after="100"/>
        <w:jc w:val="center"/>
      </w:pPr>
      <w:r>
        <w:rPr>
          <w:i/>
          <w:iCs/>
          <w:sz w:val="24"/>
          <w:szCs w:val="24"/>
        </w:rPr>
        <w:t xml:space="preserve">HireRise Career Intelligence Platform</w:t>
      </w:r>
    </w:p>
    <w:p>
      <w:pPr>
        <w:spacing w:after="100"/>
        <w:jc w:val="center"/>
      </w:pPr>
      <w:r>
        <w:rPr>
          <w:sz w:val="22"/>
          <w:szCs w:val="22"/>
        </w:rPr>
        <w:t xml:space="preserve">Enterprise Architecture Execution &amp; Realization Program</w:t>
      </w:r>
    </w:p>
    <w:p>
      <w:pPr>
        <w:spacing w:after="400"/>
        <w:jc w:val="center"/>
      </w:pPr>
      <w:r>
        <w:rPr>
          <w:b/>
          <w:bCs/>
          <w:sz w:val="22"/>
          <w:szCs w:val="22"/>
        </w:rPr>
        <w:t xml:space="preserve">Version 1.0  |  Status: DRAFT FOR REVIEW</w:t>
      </w:r>
    </w:p>
    <w:p>
      <w:pPr>
        <w:spacing w:after="100" w:before="400"/>
        <w:jc w:val="center"/>
      </w:pPr>
      <w:r>
        <w:rPr>
          <w:b/>
          <w:bCs/>
          <w:sz w:val="21"/>
          <w:szCs w:val="21"/>
        </w:rPr>
        <w:t xml:space="preserve">Document Classification</w:t>
      </w:r>
    </w:p>
    <w:p>
      <w:pPr>
        <w:spacing w:after="60"/>
        <w:jc w:val="center"/>
      </w:pPr>
      <w:r>
        <w:rPr>
          <w:sz w:val="20"/>
          <w:szCs w:val="20"/>
        </w:rPr>
        <w:t xml:space="preserve">This is the constitutional governance document for the ERP-02 execution program. It</w:t>
      </w:r>
    </w:p>
    <w:p>
      <w:pPr>
        <w:spacing w:after="60"/>
        <w:jc w:val="center"/>
      </w:pPr>
      <w:r>
        <w:rPr>
          <w:sz w:val="20"/>
          <w:szCs w:val="20"/>
        </w:rPr>
        <w:t xml:space="preserve">governs realization of the ERP-01 architecture baseline. It is not an implementation report,</w:t>
      </w:r>
    </w:p>
    <w:p>
      <w:pPr>
        <w:spacing w:after="400"/>
        <w:jc w:val="center"/>
      </w:pPr>
      <w:r>
        <w:rPr>
          <w:sz w:val="20"/>
          <w:szCs w:val="20"/>
        </w:rPr>
        <w:t xml:space="preserve">not a project plan, and not a redesign of any approved architecture.</w:t>
      </w:r>
    </w:p>
    <w:p>
      <w:r>
        <w:br w:type="page"/>
      </w:r>
    </w:p>
    <w:p>
      <w:pPr>
        <w:pStyle w:val="Heading1"/>
        <w:spacing w:after="160" w:before="320"/>
      </w:pPr>
      <w:r>
        <w:t xml:space="preserve">1. Executive Summary</w:t>
      </w:r>
    </w:p>
    <w:p>
      <w:pPr>
        <w:spacing w:after="160"/>
      </w:pPr>
      <w:r>
        <w:rPr>
          <w:b w:val="false"/>
          <w:bCs w:val="false"/>
          <w:i w:val="false"/>
          <w:iCs w:val="false"/>
          <w:sz w:val="21"/>
          <w:szCs w:val="21"/>
        </w:rPr>
        <w:t xml:space="preserve">ERP-02 is the enterprise execution governance program for the HireRise Career Intelligence Platform, established to govern realization of the ERP-01 Version 1.0 architecture baseline that ERP-01A validated as internally consistent and complete for the purpose of internal baseline designation. This document, ERP-02 Phase A — Enterprise Execution Governance Framework, is the first and constitutional document of ERP-02. It establishes the governance structure, roles, decision authority, escalation model, and control principles that every subsequent ERP-02 phase and document shall operate within.</w:t>
      </w:r>
    </w:p>
    <w:p>
      <w:pPr>
        <w:spacing w:after="160"/>
      </w:pPr>
      <w:r>
        <w:rPr>
          <w:b w:val="false"/>
          <w:bCs w:val="false"/>
          <w:i w:val="false"/>
          <w:iCs w:val="false"/>
          <w:sz w:val="21"/>
          <w:szCs w:val="21"/>
        </w:rPr>
        <w:t xml:space="preserve">ERP-02 does not redesign, rescope, or reinterpret any Architecture Requirement, Enterprise Governance Decision, Enterprise Resolution, Variance, Action Point, Work Package, Portfolio, Wave, or KPI. It reuses every ERP-01 identifier exactly as approved. Where this framework references implementation status, it states the true, currently-evidenced status only: as of this document, execution of all six Work Packages remains "Not Yet Realized," and this framework itself introduces no implementation evidence.</w:t>
      </w:r>
    </w:p>
    <w:p>
      <w:pPr>
        <w:spacing w:after="160"/>
      </w:pPr>
      <w:r>
        <w:rPr>
          <w:b w:val="false"/>
          <w:bCs w:val="false"/>
          <w:i w:val="false"/>
          <w:iCs w:val="false"/>
          <w:sz w:val="21"/>
          <w:szCs w:val="21"/>
        </w:rPr>
        <w:t xml:space="preserve">This document establishes governance structure only. It does not itself constitute evidence that any governance body described below is presently operating; each body's activation is tracked explicitly as Not Yet Realized or Reserved for Future Realization Phases, consistent with the target-state governance framing already established in the ERP-01 dashboard suite and confirmed by ERP-01A.</w:t>
      </w:r>
    </w:p>
    <w:p>
      <w:pPr>
        <w:pStyle w:val="Heading1"/>
        <w:spacing w:after="160" w:before="320"/>
      </w:pPr>
      <w:r>
        <w:t xml:space="preserve">2. Purpose</w:t>
      </w:r>
    </w:p>
    <w:p>
      <w:pPr>
        <w:spacing w:after="160"/>
      </w:pPr>
      <w:r>
        <w:rPr>
          <w:b w:val="false"/>
          <w:bCs w:val="false"/>
          <w:i w:val="false"/>
          <w:iCs w:val="false"/>
          <w:sz w:val="21"/>
          <w:szCs w:val="21"/>
        </w:rPr>
        <w:t xml:space="preserve">The purpose of this document is to define, once, the enterprise governance framework under which the approved ERP-01 architecture baseline is executed. It exists so that every later ERP-02 work package, dashboard, and status report can reference a single, stable governance authority rather than restating governance principles independently. It defines who may make which class of decision, how conflicts are escalated, how compliance to the ERP-01 baseline is verified during execution, and how execution evidence is recorded, reviewed, and reported.</w:t>
      </w:r>
    </w:p>
    <w:p>
      <w:pPr>
        <w:pStyle w:val="Heading1"/>
        <w:spacing w:after="160" w:before="320"/>
      </w:pPr>
      <w:r>
        <w:t xml:space="preserve">3. Scope</w:t>
      </w:r>
    </w:p>
    <w:p>
      <w:pPr>
        <w:spacing w:after="160"/>
      </w:pPr>
      <w:r>
        <w:rPr>
          <w:b w:val="false"/>
          <w:bCs w:val="false"/>
          <w:i w:val="false"/>
          <w:iCs w:val="false"/>
          <w:sz w:val="21"/>
          <w:szCs w:val="21"/>
        </w:rPr>
        <w:t xml:space="preserve">This document is scoped to governance only. It applies to the execution of the six approved Work Packages (WP-0001–WP-0006) within the three currently active Portfolios — Portfolio 1 (Enterprise Data Platform), Portfolio 2 (Enterprise Security), and Portfolio 8 (Governance &amp; Quality) — and the five Waves defined in ERP-01 Phase B and Section 5. The five Portfolios marked Reserved for Future Realization Phases in ERP-01 (Portfolios 3–7: Enterprise AI, Business Capabilities, Knowledge Platform, Integration Platform, Operations &amp; Observability) are out of scope for this document and remain Reserved until a Phase A.1-style realization assessment exists for each corresponding domain.</w:t>
      </w:r>
    </w:p>
    <w:p>
      <w:pPr>
        <w:spacing w:after="160"/>
      </w:pPr>
      <w:r>
        <w:rPr>
          <w:b w:val="false"/>
          <w:bCs w:val="false"/>
          <w:i w:val="false"/>
          <w:iCs w:val="false"/>
          <w:sz w:val="21"/>
          <w:szCs w:val="21"/>
        </w:rPr>
        <w:t xml:space="preserve">Out of scope: any redefinition of Architecture Requirements, Enterprise Governance Decisions, Enterprise Resolutions, or Variances; any change to Work Package, Portfolio, or Wave numbering; any claim of implementation completion for any Work Package.</w:t>
      </w:r>
    </w:p>
    <w:p>
      <w:pPr>
        <w:pStyle w:val="Heading1"/>
        <w:spacing w:after="160" w:before="320"/>
      </w:pPr>
      <w:r>
        <w:t xml:space="preserve">4. Relationship Between ERP-01, ERP-01A, and ERP-02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00"/>
      </w:tblGrid>
      <w:tr>
        <w:trPr>
          <w:tblHeader/>
        </w:trPr>
        <w:tc>
          <w:tcPr>
            <w:tcW w:type="dxa" w:w="1800"/>
            <w:shd w:fill="1F3864" w:val="clear"/>
          </w:tcPr>
          <w:p>
            <w:r>
              <w:rPr>
                <w:b/>
                <w:bCs/>
                <w:color w:val="FFFFFF"/>
                <w:sz w:val="18"/>
                <w:szCs w:val="18"/>
              </w:rPr>
              <w:t xml:space="preserve">Program</w:t>
            </w:r>
          </w:p>
        </w:tc>
        <w:tc>
          <w:tcPr>
            <w:tcW w:type="dxa" w:w="3600"/>
            <w:shd w:fill="1F3864" w:val="clear"/>
          </w:tcPr>
          <w:p>
            <w:r>
              <w:rPr>
                <w:b/>
                <w:bCs/>
                <w:color w:val="FFFFFF"/>
                <w:sz w:val="18"/>
                <w:szCs w:val="18"/>
              </w:rPr>
              <w:t xml:space="preserve">Role</w:t>
            </w:r>
          </w:p>
        </w:tc>
        <w:tc>
          <w:tcPr>
            <w:tcW w:type="dxa" w:w="3900"/>
            <w:shd w:fill="1F3864" w:val="clear"/>
          </w:tcPr>
          <w:p>
            <w:r>
              <w:rPr>
                <w:b/>
                <w:bCs/>
                <w:color w:val="FFFFFF"/>
                <w:sz w:val="18"/>
                <w:szCs w:val="18"/>
              </w:rPr>
              <w:t xml:space="preserve">Authority</w:t>
            </w:r>
          </w:p>
        </w:tc>
      </w:tr>
      <w:tr>
        <w:tc>
          <w:tcPr>
            <w:tcW w:type="dxa" w:w="1800"/>
          </w:tcPr>
          <w:p>
            <w:r>
              <w:rPr>
                <w:b w:val="false"/>
                <w:bCs w:val="false"/>
                <w:sz w:val="18"/>
                <w:szCs w:val="18"/>
              </w:rPr>
              <w:t xml:space="preserve">ERP-01</w:t>
            </w:r>
          </w:p>
        </w:tc>
        <w:tc>
          <w:tcPr>
            <w:tcW w:type="dxa" w:w="3600"/>
          </w:tcPr>
          <w:p>
            <w:r>
              <w:rPr>
                <w:b w:val="false"/>
                <w:bCs w:val="false"/>
                <w:sz w:val="18"/>
                <w:szCs w:val="18"/>
              </w:rPr>
              <w:t xml:space="preserve">Defines the approved enterprise architecture baseline (Phases A–C)</w:t>
            </w:r>
          </w:p>
        </w:tc>
        <w:tc>
          <w:tcPr>
            <w:tcW w:type="dxa" w:w="3900"/>
          </w:tcPr>
          <w:p>
            <w:r>
              <w:rPr>
                <w:b w:val="false"/>
                <w:bCs w:val="false"/>
                <w:sz w:val="18"/>
                <w:szCs w:val="18"/>
              </w:rPr>
              <w:t xml:space="preserve">Architectural authority</w:t>
            </w:r>
          </w:p>
        </w:tc>
      </w:tr>
      <w:tr>
        <w:tc>
          <w:tcPr>
            <w:tcW w:type="dxa" w:w="1800"/>
          </w:tcPr>
          <w:p>
            <w:r>
              <w:rPr>
                <w:b w:val="false"/>
                <w:bCs w:val="false"/>
                <w:sz w:val="18"/>
                <w:szCs w:val="18"/>
              </w:rPr>
              <w:t xml:space="preserve">ERP-01A</w:t>
            </w:r>
          </w:p>
        </w:tc>
        <w:tc>
          <w:tcPr>
            <w:tcW w:type="dxa" w:w="3600"/>
          </w:tcPr>
          <w:p>
            <w:r>
              <w:rPr>
                <w:b w:val="false"/>
                <w:bCs w:val="false"/>
                <w:sz w:val="18"/>
                <w:szCs w:val="18"/>
              </w:rPr>
              <w:t xml:space="preserve">Validates ERP-01 as internally consistent, complete, and suitable for internal baseline designation</w:t>
            </w:r>
          </w:p>
        </w:tc>
        <w:tc>
          <w:tcPr>
            <w:tcW w:type="dxa" w:w="3900"/>
          </w:tcPr>
          <w:p>
            <w:r>
              <w:rPr>
                <w:b w:val="false"/>
                <w:bCs w:val="false"/>
                <w:sz w:val="18"/>
                <w:szCs w:val="18"/>
              </w:rPr>
              <w:t xml:space="preserve">Internal quality assurance authority — not an external certification</w:t>
            </w:r>
          </w:p>
        </w:tc>
      </w:tr>
      <w:tr>
        <w:tc>
          <w:tcPr>
            <w:tcW w:type="dxa" w:w="1800"/>
          </w:tcPr>
          <w:p>
            <w:r>
              <w:rPr>
                <w:b w:val="false"/>
                <w:bCs w:val="false"/>
                <w:sz w:val="18"/>
                <w:szCs w:val="18"/>
              </w:rPr>
              <w:t xml:space="preserve">ERP-02</w:t>
            </w:r>
          </w:p>
        </w:tc>
        <w:tc>
          <w:tcPr>
            <w:tcW w:type="dxa" w:w="3600"/>
          </w:tcPr>
          <w:p>
            <w:r>
              <w:rPr>
                <w:b w:val="false"/>
                <w:bCs w:val="false"/>
                <w:sz w:val="18"/>
                <w:szCs w:val="18"/>
              </w:rPr>
              <w:t xml:space="preserve">Governs execution and realization of the ERP-01 baseline</w:t>
            </w:r>
          </w:p>
        </w:tc>
        <w:tc>
          <w:tcPr>
            <w:tcW w:type="dxa" w:w="3900"/>
          </w:tcPr>
          <w:p>
            <w:r>
              <w:rPr>
                <w:b w:val="false"/>
                <w:bCs w:val="false"/>
                <w:sz w:val="18"/>
                <w:szCs w:val="18"/>
              </w:rPr>
              <w:t xml:space="preserve">Execution authority</w:t>
            </w:r>
          </w:p>
        </w:tc>
      </w:tr>
    </w:tbl>
    <w:p>
      <w:pPr>
        <w:spacing w:after="160"/>
      </w:pPr>
      <w:r>
        <w:rPr>
          <w:b w:val="false"/>
          <w:bCs w:val="false"/>
          <w:i w:val="false"/>
          <w:iCs w:val="false"/>
          <w:sz w:val="21"/>
          <w:szCs w:val="21"/>
        </w:rPr>
        <w:t xml:space="preserve">ERP-02 never replaces ERP-01. ERP-01 remains the sole architectural authority for the program. ERP-02 becomes the execution authority: it governs how, by whom, and under what controls the ERP-01 baseline is realized, without altering what that baseline says. Where any ERP-02 document appears to conflict with an ERP-01 identifier, the ERP-01 identifier is authoritative and the ERP-02 document is in error and must be corrected.</w:t>
      </w:r>
    </w:p>
    <w:p>
      <w:pPr>
        <w:pStyle w:val="Heading1"/>
        <w:spacing w:after="160" w:before="320"/>
      </w:pPr>
      <w:r>
        <w:t xml:space="preserve">5. Enterprise Execution Governance Principles</w:t>
      </w:r>
    </w:p>
    <w:p>
      <w:pPr>
        <w:pStyle w:val="ListParagraph"/>
        <w:numPr>
          <w:ilvl w:val="0"/>
          <w:numId w:val="1"/>
        </w:numPr>
        <w:spacing w:after="60"/>
      </w:pPr>
      <w:r>
        <w:rPr>
          <w:sz w:val="21"/>
          <w:szCs w:val="21"/>
        </w:rPr>
        <w:t xml:space="preserve">Architecture primacy: ERP-01 is the sole source of architectural truth. ERP-02 executes; it does not architect.</w:t>
      </w:r>
    </w:p>
    <w:p>
      <w:pPr>
        <w:pStyle w:val="ListParagraph"/>
        <w:numPr>
          <w:ilvl w:val="0"/>
          <w:numId w:val="1"/>
        </w:numPr>
        <w:spacing w:after="60"/>
      </w:pPr>
      <w:r>
        <w:rPr>
          <w:sz w:val="21"/>
          <w:szCs w:val="21"/>
        </w:rPr>
        <w:t xml:space="preserve">Identifier permanence: every AR, EGD, ER, VAR, AP, WP, Portfolio, Wave, and KPI identifier from ERP-01 is reused exactly, with no renumbering and no recreation.</w:t>
      </w:r>
    </w:p>
    <w:p>
      <w:pPr>
        <w:pStyle w:val="ListParagraph"/>
        <w:numPr>
          <w:ilvl w:val="0"/>
          <w:numId w:val="1"/>
        </w:numPr>
        <w:spacing w:after="60"/>
      </w:pPr>
      <w:r>
        <w:rPr>
          <w:sz w:val="21"/>
          <w:szCs w:val="21"/>
        </w:rPr>
        <w:t xml:space="preserve">Evidence-first reporting: execution status is stated only where evidenced. Absence of evidence is stated as "Not Yet Realized," not inferred as progress.</w:t>
      </w:r>
    </w:p>
    <w:p>
      <w:pPr>
        <w:pStyle w:val="ListParagraph"/>
        <w:numPr>
          <w:ilvl w:val="0"/>
          <w:numId w:val="1"/>
        </w:numPr>
        <w:spacing w:after="60"/>
      </w:pPr>
      <w:r>
        <w:rPr>
          <w:sz w:val="21"/>
          <w:szCs w:val="21"/>
        </w:rPr>
        <w:t xml:space="preserve">Governance before execution: no Work Package proceeds outside the roles, decision authority, and escalation model defined in this document.</w:t>
      </w:r>
    </w:p>
    <w:p>
      <w:pPr>
        <w:pStyle w:val="ListParagraph"/>
        <w:numPr>
          <w:ilvl w:val="0"/>
          <w:numId w:val="1"/>
        </w:numPr>
        <w:spacing w:after="60"/>
      </w:pPr>
      <w:r>
        <w:rPr>
          <w:sz w:val="21"/>
          <w:szCs w:val="21"/>
        </w:rPr>
        <w:t xml:space="preserve">Traceability continuity: every execution artifact traces back to the ERP-01 identifier it realizes.</w:t>
      </w:r>
    </w:p>
    <w:p>
      <w:pPr>
        <w:pStyle w:val="ListParagraph"/>
        <w:numPr>
          <w:ilvl w:val="0"/>
          <w:numId w:val="1"/>
        </w:numPr>
        <w:spacing w:after="60"/>
      </w:pPr>
      <w:r>
        <w:rPr>
          <w:sz w:val="21"/>
          <w:szCs w:val="21"/>
        </w:rPr>
        <w:t xml:space="preserve">Target-state transparency: any governance body described in this document that is not yet chartered is explicitly labeled as such.</w:t>
      </w:r>
    </w:p>
    <w:p>
      <w:pPr>
        <w:pStyle w:val="Heading1"/>
        <w:spacing w:after="160" w:before="320"/>
      </w:pPr>
      <w:r>
        <w:t xml:space="preserve">6. Governance Objectives</w:t>
      </w:r>
    </w:p>
    <w:p>
      <w:pPr>
        <w:pStyle w:val="ListParagraph"/>
        <w:numPr>
          <w:ilvl w:val="0"/>
          <w:numId w:val="1"/>
        </w:numPr>
        <w:spacing w:after="60"/>
      </w:pPr>
      <w:r>
        <w:rPr>
          <w:sz w:val="21"/>
          <w:szCs w:val="21"/>
        </w:rPr>
        <w:t xml:space="preserve">Provide a single, stable authority structure for all ERP-02 execution decisions.</w:t>
      </w:r>
    </w:p>
    <w:p>
      <w:pPr>
        <w:pStyle w:val="ListParagraph"/>
        <w:numPr>
          <w:ilvl w:val="0"/>
          <w:numId w:val="1"/>
        </w:numPr>
        <w:spacing w:after="60"/>
      </w:pPr>
      <w:r>
        <w:rPr>
          <w:sz w:val="21"/>
          <w:szCs w:val="21"/>
        </w:rPr>
        <w:t xml:space="preserve">Prevent architectural drift during execution by binding every Work Package to its ERP-01 traceability chain.</w:t>
      </w:r>
    </w:p>
    <w:p>
      <w:pPr>
        <w:pStyle w:val="ListParagraph"/>
        <w:numPr>
          <w:ilvl w:val="0"/>
          <w:numId w:val="1"/>
        </w:numPr>
        <w:spacing w:after="60"/>
      </w:pPr>
      <w:r>
        <w:rPr>
          <w:sz w:val="21"/>
          <w:szCs w:val="21"/>
        </w:rPr>
        <w:t xml:space="preserve">Establish clear, auditable decision and escalation paths before execution begins.</w:t>
      </w:r>
    </w:p>
    <w:p>
      <w:pPr>
        <w:pStyle w:val="ListParagraph"/>
        <w:numPr>
          <w:ilvl w:val="0"/>
          <w:numId w:val="1"/>
        </w:numPr>
        <w:spacing w:after="60"/>
      </w:pPr>
      <w:r>
        <w:rPr>
          <w:sz w:val="21"/>
          <w:szCs w:val="21"/>
        </w:rPr>
        <w:t xml:space="preserve">Ensure execution status reporting remains evidence-first and free of fabricated progress claims.</w:t>
      </w:r>
    </w:p>
    <w:p>
      <w:pPr>
        <w:pStyle w:val="ListParagraph"/>
        <w:numPr>
          <w:ilvl w:val="0"/>
          <w:numId w:val="1"/>
        </w:numPr>
        <w:spacing w:after="60"/>
      </w:pPr>
      <w:r>
        <w:rPr>
          <w:sz w:val="21"/>
          <w:szCs w:val="21"/>
        </w:rPr>
        <w:t xml:space="preserve">Define the review cadence and artefacts needed to keep the ERP-01 baseline and ERP-02 execution record reconciled at all times.</w:t>
      </w:r>
    </w:p>
    <w:p>
      <w:pPr>
        <w:pStyle w:val="Heading1"/>
        <w:spacing w:after="160" w:before="320"/>
      </w:pPr>
      <w:r>
        <w:t xml:space="preserve">7. Program Authority</w:t>
      </w:r>
    </w:p>
    <w:p>
      <w:pPr>
        <w:spacing w:after="160"/>
      </w:pPr>
      <w:r>
        <w:rPr>
          <w:b w:val="false"/>
          <w:bCs w:val="false"/>
          <w:i w:val="false"/>
          <w:iCs w:val="false"/>
          <w:sz w:val="21"/>
          <w:szCs w:val="21"/>
        </w:rPr>
        <w:t xml:space="preserve">Program authority for ERP-02 rests with the Enterprise Architecture Realization Program sponsor, exercised through the governance bodies defined in Sections 13–24. This document establishes that authority structure; it does not itself name individuals, as no accountable owners have yet been assigned to the corresponding ERP-01 Enterprise Governance Decisions (tracked in ERP-01 as Action Point AP-009, status Not Yet Realized). Naming of accountable owners is a precondition tracked under Section 38 (Exit Criteria for Phase A).</w:t>
      </w:r>
    </w:p>
    <w:p>
      <w:pPr>
        <w:pStyle w:val="Heading1"/>
        <w:spacing w:after="160" w:before="320"/>
      </w:pPr>
      <w:r>
        <w:t xml:space="preserve">8. Governance Structure</w:t>
      </w:r>
    </w:p>
    <w:p>
      <w:pPr>
        <w:spacing w:after="160"/>
      </w:pPr>
      <w:r>
        <w:rPr>
          <w:b w:val="false"/>
          <w:bCs w:val="false"/>
          <w:i w:val="false"/>
          <w:iCs w:val="false"/>
          <w:sz w:val="21"/>
          <w:szCs w:val="21"/>
        </w:rPr>
        <w:t xml:space="preserve">Governance is organized in three tiers: (1) Enterprise tier — Architecture Governance Board and PMO Governance, holding cross-portfolio authority; (2) Domain tier — Engineering, Platform Engineering, DevOps, Security, and Quality Governance, each scoped to their functional domain across the three active portfolios; (3) Execution tier — Delivery Governance, scoped to individual Work Packages. Risk, Compliance, Release, and Production Governance operate as cross-cutting functions spanning all three tiers.</w:t>
      </w:r>
    </w:p>
    <w:p>
      <w:pPr>
        <w:pStyle w:val="Heading1"/>
        <w:spacing w:after="160" w:before="320"/>
      </w:pPr>
      <w:r>
        <w:t xml:space="preserve">9. Enterprise Roles and Responsibilities</w:t>
      </w:r>
    </w:p>
    <w:p>
      <w:pPr>
        <w:spacing w:after="160"/>
      </w:pPr>
      <w:r>
        <w:rPr>
          <w:b w:val="false"/>
          <w:bCs w:val="false"/>
          <w:i w:val="false"/>
          <w:iCs w:val="false"/>
          <w:sz w:val="21"/>
          <w:szCs w:val="21"/>
        </w:rPr>
        <w:t xml:space="preserve">The following roles are defined for the purpose of this governance framework. Naming of individuals against each role is a Phase A exit criterion (Section 38) and is Not Yet Realized as of this document.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300"/>
      </w:tblGrid>
      <w:tr>
        <w:trPr>
          <w:tblHeader/>
        </w:trPr>
        <w:tc>
          <w:tcPr>
            <w:tcW w:type="dxa" w:w="2600"/>
            <w:shd w:fill="1F3864" w:val="clear"/>
          </w:tcPr>
          <w:p>
            <w:r>
              <w:rPr>
                <w:b/>
                <w:bCs/>
                <w:color w:val="FFFFFF"/>
                <w:sz w:val="18"/>
                <w:szCs w:val="18"/>
              </w:rPr>
              <w:t xml:space="preserve">Role</w:t>
            </w:r>
          </w:p>
        </w:tc>
        <w:tc>
          <w:tcPr>
            <w:tcW w:type="dxa" w:w="5400"/>
            <w:shd w:fill="1F3864" w:val="clear"/>
          </w:tcPr>
          <w:p>
            <w:r>
              <w:rPr>
                <w:b/>
                <w:bCs/>
                <w:color w:val="FFFFFF"/>
                <w:sz w:val="18"/>
                <w:szCs w:val="18"/>
              </w:rPr>
              <w:t xml:space="preserve">Primary Responsibility</w:t>
            </w:r>
          </w:p>
        </w:tc>
        <w:tc>
          <w:tcPr>
            <w:tcW w:type="dxa" w:w="1300"/>
            <w:shd w:fill="1F3864" w:val="clear"/>
          </w:tcPr>
          <w:p>
            <w:r>
              <w:rPr>
                <w:b/>
                <w:bCs/>
                <w:color w:val="FFFFFF"/>
                <w:sz w:val="18"/>
                <w:szCs w:val="18"/>
              </w:rPr>
              <w:t xml:space="preserve">Status</w:t>
            </w:r>
          </w:p>
        </w:tc>
      </w:tr>
      <w:tr>
        <w:tc>
          <w:tcPr>
            <w:tcW w:type="dxa" w:w="2600"/>
          </w:tcPr>
          <w:p>
            <w:r>
              <w:rPr>
                <w:b w:val="false"/>
                <w:bCs w:val="false"/>
                <w:sz w:val="18"/>
                <w:szCs w:val="18"/>
              </w:rPr>
              <w:t xml:space="preserve">Enterprise Architecture Board (EAB)</w:t>
            </w:r>
          </w:p>
        </w:tc>
        <w:tc>
          <w:tcPr>
            <w:tcW w:type="dxa" w:w="5400"/>
          </w:tcPr>
          <w:p>
            <w:r>
              <w:rPr>
                <w:b w:val="false"/>
                <w:bCs w:val="false"/>
                <w:sz w:val="18"/>
                <w:szCs w:val="18"/>
              </w:rPr>
              <w:t xml:space="preserve">Owns architecture compliance decisions during execution; arbitrates conflicts between execution need and ERP-01 baseline</w:t>
            </w:r>
          </w:p>
        </w:tc>
        <w:tc>
          <w:tcPr>
            <w:tcW w:type="dxa" w:w="1300"/>
            <w:shd w:fill="F5D6D6" w:val="clear"/>
          </w:tcPr>
          <w:p>
            <w:r>
              <w:rPr>
                <w:b w:val="false"/>
                <w:bCs w:val="false"/>
                <w:sz w:val="18"/>
                <w:szCs w:val="18"/>
              </w:rPr>
              <w:t xml:space="preserve">Not Yet Realized</w:t>
            </w:r>
          </w:p>
        </w:tc>
      </w:tr>
      <w:tr>
        <w:tc>
          <w:tcPr>
            <w:tcW w:type="dxa" w:w="2600"/>
          </w:tcPr>
          <w:p>
            <w:r>
              <w:rPr>
                <w:b w:val="false"/>
                <w:bCs w:val="false"/>
                <w:sz w:val="18"/>
                <w:szCs w:val="18"/>
              </w:rPr>
              <w:t xml:space="preserve">Executive Steering Committee</w:t>
            </w:r>
          </w:p>
        </w:tc>
        <w:tc>
          <w:tcPr>
            <w:tcW w:type="dxa" w:w="5400"/>
          </w:tcPr>
          <w:p>
            <w:r>
              <w:rPr>
                <w:b w:val="false"/>
                <w:bCs w:val="false"/>
                <w:sz w:val="18"/>
                <w:szCs w:val="18"/>
              </w:rPr>
              <w:t xml:space="preserve">Holds program-level accountability; resolves cross-portfolio escalations</w:t>
            </w:r>
          </w:p>
        </w:tc>
        <w:tc>
          <w:tcPr>
            <w:tcW w:type="dxa" w:w="1300"/>
            <w:shd w:fill="F5D6D6" w:val="clear"/>
          </w:tcPr>
          <w:p>
            <w:r>
              <w:rPr>
                <w:b w:val="false"/>
                <w:bCs w:val="false"/>
                <w:sz w:val="18"/>
                <w:szCs w:val="18"/>
              </w:rPr>
              <w:t xml:space="preserve">Not Yet Realized</w:t>
            </w:r>
          </w:p>
        </w:tc>
      </w:tr>
      <w:tr>
        <w:tc>
          <w:tcPr>
            <w:tcW w:type="dxa" w:w="2600"/>
          </w:tcPr>
          <w:p>
            <w:r>
              <w:rPr>
                <w:b w:val="false"/>
                <w:bCs w:val="false"/>
                <w:sz w:val="18"/>
                <w:szCs w:val="18"/>
              </w:rPr>
              <w:t xml:space="preserve">PMO / Technical Program Management</w:t>
            </w:r>
          </w:p>
        </w:tc>
        <w:tc>
          <w:tcPr>
            <w:tcW w:type="dxa" w:w="5400"/>
          </w:tcPr>
          <w:p>
            <w:r>
              <w:rPr>
                <w:b w:val="false"/>
                <w:bCs w:val="false"/>
                <w:sz w:val="18"/>
                <w:szCs w:val="18"/>
              </w:rPr>
              <w:t xml:space="preserve">Owns execution schedule, cross-Work-Package dependency management, and status reporting</w:t>
            </w:r>
          </w:p>
        </w:tc>
        <w:tc>
          <w:tcPr>
            <w:tcW w:type="dxa" w:w="1300"/>
            <w:shd w:fill="F5D6D6" w:val="clear"/>
          </w:tcPr>
          <w:p>
            <w:r>
              <w:rPr>
                <w:b w:val="false"/>
                <w:bCs w:val="false"/>
                <w:sz w:val="18"/>
                <w:szCs w:val="18"/>
              </w:rPr>
              <w:t xml:space="preserve">Not Yet Realized</w:t>
            </w:r>
          </w:p>
        </w:tc>
      </w:tr>
      <w:tr>
        <w:tc>
          <w:tcPr>
            <w:tcW w:type="dxa" w:w="2600"/>
          </w:tcPr>
          <w:p>
            <w:r>
              <w:rPr>
                <w:b w:val="false"/>
                <w:bCs w:val="false"/>
                <w:sz w:val="18"/>
                <w:szCs w:val="18"/>
              </w:rPr>
              <w:t xml:space="preserve">Engineering Leadership</w:t>
            </w:r>
          </w:p>
        </w:tc>
        <w:tc>
          <w:tcPr>
            <w:tcW w:type="dxa" w:w="5400"/>
          </w:tcPr>
          <w:p>
            <w:r>
              <w:rPr>
                <w:b w:val="false"/>
                <w:bCs w:val="false"/>
                <w:sz w:val="18"/>
                <w:szCs w:val="18"/>
              </w:rPr>
              <w:t xml:space="preserve">Owns engineering execution against the Section 4/5 design and implementation specifications</w:t>
            </w:r>
          </w:p>
        </w:tc>
        <w:tc>
          <w:tcPr>
            <w:tcW w:type="dxa" w:w="1300"/>
            <w:shd w:fill="F5D6D6" w:val="clear"/>
          </w:tcPr>
          <w:p>
            <w:r>
              <w:rPr>
                <w:b w:val="false"/>
                <w:bCs w:val="false"/>
                <w:sz w:val="18"/>
                <w:szCs w:val="18"/>
              </w:rPr>
              <w:t xml:space="preserve">Not Yet Realized</w:t>
            </w:r>
          </w:p>
        </w:tc>
      </w:tr>
      <w:tr>
        <w:tc>
          <w:tcPr>
            <w:tcW w:type="dxa" w:w="2600"/>
          </w:tcPr>
          <w:p>
            <w:r>
              <w:rPr>
                <w:b w:val="false"/>
                <w:bCs w:val="false"/>
                <w:sz w:val="18"/>
                <w:szCs w:val="18"/>
              </w:rPr>
              <w:t xml:space="preserve">Platform Engineering</w:t>
            </w:r>
          </w:p>
        </w:tc>
        <w:tc>
          <w:tcPr>
            <w:tcW w:type="dxa" w:w="5400"/>
          </w:tcPr>
          <w:p>
            <w:r>
              <w:rPr>
                <w:b w:val="false"/>
                <w:bCs w:val="false"/>
                <w:sz w:val="18"/>
                <w:szCs w:val="18"/>
              </w:rPr>
              <w:t xml:space="preserve">Owns database, infrastructure, and platform-level execution (Portfolio 1)</w:t>
            </w:r>
          </w:p>
        </w:tc>
        <w:tc>
          <w:tcPr>
            <w:tcW w:type="dxa" w:w="1300"/>
            <w:shd w:fill="F5D6D6" w:val="clear"/>
          </w:tcPr>
          <w:p>
            <w:r>
              <w:rPr>
                <w:b w:val="false"/>
                <w:bCs w:val="false"/>
                <w:sz w:val="18"/>
                <w:szCs w:val="18"/>
              </w:rPr>
              <w:t xml:space="preserve">Not Yet Realized</w:t>
            </w:r>
          </w:p>
        </w:tc>
      </w:tr>
      <w:tr>
        <w:tc>
          <w:tcPr>
            <w:tcW w:type="dxa" w:w="2600"/>
          </w:tcPr>
          <w:p>
            <w:r>
              <w:rPr>
                <w:b w:val="false"/>
                <w:bCs w:val="false"/>
                <w:sz w:val="18"/>
                <w:szCs w:val="18"/>
              </w:rPr>
              <w:t xml:space="preserve">DevOps Leadership</w:t>
            </w:r>
          </w:p>
        </w:tc>
        <w:tc>
          <w:tcPr>
            <w:tcW w:type="dxa" w:w="5400"/>
          </w:tcPr>
          <w:p>
            <w:r>
              <w:rPr>
                <w:b w:val="false"/>
                <w:bCs w:val="false"/>
                <w:sz w:val="18"/>
                <w:szCs w:val="18"/>
              </w:rPr>
              <w:t xml:space="preserve">Owns release pipeline, environment promotion, and deployment execution</w:t>
            </w:r>
          </w:p>
        </w:tc>
        <w:tc>
          <w:tcPr>
            <w:tcW w:type="dxa" w:w="1300"/>
            <w:shd w:fill="F5D6D6" w:val="clear"/>
          </w:tcPr>
          <w:p>
            <w:r>
              <w:rPr>
                <w:b w:val="false"/>
                <w:bCs w:val="false"/>
                <w:sz w:val="18"/>
                <w:szCs w:val="18"/>
              </w:rPr>
              <w:t xml:space="preserve">Not Yet Realized</w:t>
            </w:r>
          </w:p>
        </w:tc>
      </w:tr>
      <w:tr>
        <w:tc>
          <w:tcPr>
            <w:tcW w:type="dxa" w:w="2600"/>
          </w:tcPr>
          <w:p>
            <w:r>
              <w:rPr>
                <w:b w:val="false"/>
                <w:bCs w:val="false"/>
                <w:sz w:val="18"/>
                <w:szCs w:val="18"/>
              </w:rPr>
              <w:t xml:space="preserve">Security Governance Lead</w:t>
            </w:r>
          </w:p>
        </w:tc>
        <w:tc>
          <w:tcPr>
            <w:tcW w:type="dxa" w:w="5400"/>
          </w:tcPr>
          <w:p>
            <w:r>
              <w:rPr>
                <w:b w:val="false"/>
                <w:bCs w:val="false"/>
                <w:sz w:val="18"/>
                <w:szCs w:val="18"/>
              </w:rPr>
              <w:t xml:space="preserve">Owns Portfolio 2 (Enterprise Security) execution and RLS/access verification</w:t>
            </w:r>
          </w:p>
        </w:tc>
        <w:tc>
          <w:tcPr>
            <w:tcW w:type="dxa" w:w="1300"/>
            <w:shd w:fill="F5D6D6" w:val="clear"/>
          </w:tcPr>
          <w:p>
            <w:r>
              <w:rPr>
                <w:b w:val="false"/>
                <w:bCs w:val="false"/>
                <w:sz w:val="18"/>
                <w:szCs w:val="18"/>
              </w:rPr>
              <w:t xml:space="preserve">Not Yet Realized</w:t>
            </w:r>
          </w:p>
        </w:tc>
      </w:tr>
      <w:tr>
        <w:tc>
          <w:tcPr>
            <w:tcW w:type="dxa" w:w="2600"/>
          </w:tcPr>
          <w:p>
            <w:r>
              <w:rPr>
                <w:b w:val="false"/>
                <w:bCs w:val="false"/>
                <w:sz w:val="18"/>
                <w:szCs w:val="18"/>
              </w:rPr>
              <w:t xml:space="preserve">Quality / QA Leadership</w:t>
            </w:r>
          </w:p>
        </w:tc>
        <w:tc>
          <w:tcPr>
            <w:tcW w:type="dxa" w:w="5400"/>
          </w:tcPr>
          <w:p>
            <w:r>
              <w:rPr>
                <w:b w:val="false"/>
                <w:bCs w:val="false"/>
                <w:sz w:val="18"/>
                <w:szCs w:val="18"/>
              </w:rPr>
              <w:t xml:space="preserve">Owns verification and acceptance evidence against Section 7 and Section 9 criteria</w:t>
            </w:r>
          </w:p>
        </w:tc>
        <w:tc>
          <w:tcPr>
            <w:tcW w:type="dxa" w:w="1300"/>
            <w:shd w:fill="F5D6D6" w:val="clear"/>
          </w:tcPr>
          <w:p>
            <w:r>
              <w:rPr>
                <w:b w:val="false"/>
                <w:bCs w:val="false"/>
                <w:sz w:val="18"/>
                <w:szCs w:val="18"/>
              </w:rPr>
              <w:t xml:space="preserve">Not Yet Realized</w:t>
            </w:r>
          </w:p>
        </w:tc>
      </w:tr>
      <w:tr>
        <w:tc>
          <w:tcPr>
            <w:tcW w:type="dxa" w:w="2600"/>
          </w:tcPr>
          <w:p>
            <w:r>
              <w:rPr>
                <w:b w:val="false"/>
                <w:bCs w:val="false"/>
                <w:sz w:val="18"/>
                <w:szCs w:val="18"/>
              </w:rPr>
              <w:t xml:space="preserve">Delivery Managers</w:t>
            </w:r>
          </w:p>
        </w:tc>
        <w:tc>
          <w:tcPr>
            <w:tcW w:type="dxa" w:w="5400"/>
          </w:tcPr>
          <w:p>
            <w:r>
              <w:rPr>
                <w:b w:val="false"/>
                <w:bCs w:val="false"/>
                <w:sz w:val="18"/>
                <w:szCs w:val="18"/>
              </w:rPr>
              <w:t xml:space="preserve">Own day-to-day Work Package delivery tracking within an assigned Wave</w:t>
            </w:r>
          </w:p>
        </w:tc>
        <w:tc>
          <w:tcPr>
            <w:tcW w:type="dxa" w:w="1300"/>
            <w:shd w:fill="F5D6D6" w:val="clear"/>
          </w:tcPr>
          <w:p>
            <w:r>
              <w:rPr>
                <w:b w:val="false"/>
                <w:bCs w:val="false"/>
                <w:sz w:val="18"/>
                <w:szCs w:val="18"/>
              </w:rPr>
              <w:t xml:space="preserve">Not Yet Realized</w:t>
            </w:r>
          </w:p>
        </w:tc>
      </w:tr>
      <w:tr>
        <w:tc>
          <w:tcPr>
            <w:tcW w:type="dxa" w:w="2600"/>
          </w:tcPr>
          <w:p>
            <w:r>
              <w:rPr>
                <w:b w:val="false"/>
                <w:bCs w:val="false"/>
                <w:sz w:val="18"/>
                <w:szCs w:val="18"/>
              </w:rPr>
              <w:t xml:space="preserve">Compliance Lead</w:t>
            </w:r>
          </w:p>
        </w:tc>
        <w:tc>
          <w:tcPr>
            <w:tcW w:type="dxa" w:w="5400"/>
          </w:tcPr>
          <w:p>
            <w:r>
              <w:rPr>
                <w:b w:val="false"/>
                <w:bCs w:val="false"/>
                <w:sz w:val="18"/>
                <w:szCs w:val="18"/>
              </w:rPr>
              <w:t xml:space="preserve">Owns regulatory and internal-policy compliance verification for Portfolio 2 and cross-cutting concerns</w:t>
            </w:r>
          </w:p>
        </w:tc>
        <w:tc>
          <w:tcPr>
            <w:tcW w:type="dxa" w:w="1300"/>
            <w:shd w:fill="F5D6D6" w:val="clear"/>
          </w:tcPr>
          <w:p>
            <w:r>
              <w:rPr>
                <w:b w:val="false"/>
                <w:bCs w:val="false"/>
                <w:sz w:val="18"/>
                <w:szCs w:val="18"/>
              </w:rPr>
              <w:t xml:space="preserve">Not Yet Realized</w:t>
            </w:r>
          </w:p>
        </w:tc>
      </w:tr>
    </w:tbl>
    <w:p>
      <w:pPr>
        <w:pStyle w:val="Heading1"/>
        <w:spacing w:after="160" w:before="320"/>
      </w:pPr>
      <w:r>
        <w:t xml:space="preserve">10. RACI Governance Model</w:t>
      </w:r>
    </w:p>
    <w:p>
      <w:pPr>
        <w:spacing w:after="160"/>
      </w:pPr>
      <w:r>
        <w:rPr>
          <w:b w:val="false"/>
          <w:bCs w:val="false"/>
          <w:i w:val="false"/>
          <w:iCs w:val="false"/>
          <w:sz w:val="21"/>
          <w:szCs w:val="21"/>
        </w:rPr>
        <w:t xml:space="preserve">R = Responsible, A = Accountable, C = Consulted, I = Informed. This model governs execution-phase decisions only; it does not alter authorship or ownership of any ERP-01 architecture artifact.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1050"/>
        <w:gridCol w:w="1050"/>
        <w:gridCol w:w="1050"/>
        <w:gridCol w:w="1050"/>
        <w:gridCol w:w="1050"/>
        <w:gridCol w:w="1050"/>
      </w:tblGrid>
      <w:tr>
        <w:trPr>
          <w:tblHeader/>
        </w:trPr>
        <w:tc>
          <w:tcPr>
            <w:tcW w:type="dxa" w:w="2600"/>
            <w:shd w:fill="1F3864" w:val="clear"/>
          </w:tcPr>
          <w:p>
            <w:r>
              <w:rPr>
                <w:b/>
                <w:bCs/>
                <w:color w:val="FFFFFF"/>
                <w:sz w:val="18"/>
                <w:szCs w:val="18"/>
              </w:rPr>
              <w:t xml:space="preserve">Activity</w:t>
            </w:r>
          </w:p>
        </w:tc>
        <w:tc>
          <w:tcPr>
            <w:tcW w:type="dxa" w:w="1050"/>
            <w:shd w:fill="1F3864" w:val="clear"/>
          </w:tcPr>
          <w:p>
            <w:r>
              <w:rPr>
                <w:b/>
                <w:bCs/>
                <w:color w:val="FFFFFF"/>
                <w:sz w:val="18"/>
                <w:szCs w:val="18"/>
              </w:rPr>
              <w:t xml:space="preserve">EAB</w:t>
            </w:r>
          </w:p>
        </w:tc>
        <w:tc>
          <w:tcPr>
            <w:tcW w:type="dxa" w:w="1050"/>
            <w:shd w:fill="1F3864" w:val="clear"/>
          </w:tcPr>
          <w:p>
            <w:r>
              <w:rPr>
                <w:b/>
                <w:bCs/>
                <w:color w:val="FFFFFF"/>
                <w:sz w:val="18"/>
                <w:szCs w:val="18"/>
              </w:rPr>
              <w:t xml:space="preserve">PMO</w:t>
            </w:r>
          </w:p>
        </w:tc>
        <w:tc>
          <w:tcPr>
            <w:tcW w:type="dxa" w:w="1050"/>
            <w:shd w:fill="1F3864" w:val="clear"/>
          </w:tcPr>
          <w:p>
            <w:r>
              <w:rPr>
                <w:b/>
                <w:bCs/>
                <w:color w:val="FFFFFF"/>
                <w:sz w:val="18"/>
                <w:szCs w:val="18"/>
              </w:rPr>
              <w:t xml:space="preserve">Eng. Lead</w:t>
            </w:r>
          </w:p>
        </w:tc>
        <w:tc>
          <w:tcPr>
            <w:tcW w:type="dxa" w:w="1050"/>
            <w:shd w:fill="1F3864" w:val="clear"/>
          </w:tcPr>
          <w:p>
            <w:r>
              <w:rPr>
                <w:b/>
                <w:bCs/>
                <w:color w:val="FFFFFF"/>
                <w:sz w:val="18"/>
                <w:szCs w:val="18"/>
              </w:rPr>
              <w:t xml:space="preserve">Security</w:t>
            </w:r>
          </w:p>
        </w:tc>
        <w:tc>
          <w:tcPr>
            <w:tcW w:type="dxa" w:w="1050"/>
            <w:shd w:fill="1F3864" w:val="clear"/>
          </w:tcPr>
          <w:p>
            <w:r>
              <w:rPr>
                <w:b/>
                <w:bCs/>
                <w:color w:val="FFFFFF"/>
                <w:sz w:val="18"/>
                <w:szCs w:val="18"/>
              </w:rPr>
              <w:t xml:space="preserve">QA</w:t>
            </w:r>
          </w:p>
        </w:tc>
        <w:tc>
          <w:tcPr>
            <w:tcW w:type="dxa" w:w="1050"/>
            <w:shd w:fill="1F3864" w:val="clear"/>
          </w:tcPr>
          <w:p>
            <w:r>
              <w:rPr>
                <w:b/>
                <w:bCs/>
                <w:color w:val="FFFFFF"/>
                <w:sz w:val="18"/>
                <w:szCs w:val="18"/>
              </w:rPr>
              <w:t xml:space="preserve">Delivery</w:t>
            </w:r>
          </w:p>
        </w:tc>
      </w:tr>
      <w:tr>
        <w:tc>
          <w:tcPr>
            <w:tcW w:type="dxa" w:w="2600"/>
          </w:tcPr>
          <w:p>
            <w:r>
              <w:rPr>
                <w:b w:val="false"/>
                <w:bCs w:val="false"/>
                <w:sz w:val="18"/>
                <w:szCs w:val="18"/>
              </w:rPr>
              <w:t xml:space="preserve">Approve Work Package execution start</w:t>
            </w:r>
          </w:p>
        </w:tc>
        <w:tc>
          <w:tcPr>
            <w:tcW w:type="dxa" w:w="1050"/>
          </w:tcPr>
          <w:p>
            <w:r>
              <w:rPr>
                <w:b w:val="false"/>
                <w:bCs w:val="false"/>
                <w:sz w:val="18"/>
                <w:szCs w:val="18"/>
              </w:rPr>
              <w:t xml:space="preserve">A</w:t>
            </w:r>
          </w:p>
        </w:tc>
        <w:tc>
          <w:tcPr>
            <w:tcW w:type="dxa" w:w="1050"/>
          </w:tcPr>
          <w:p>
            <w:r>
              <w:rPr>
                <w:b w:val="false"/>
                <w:bCs w:val="false"/>
                <w:sz w:val="18"/>
                <w:szCs w:val="18"/>
              </w:rPr>
              <w:t xml:space="preserve">R</w:t>
            </w:r>
          </w:p>
        </w:tc>
        <w:tc>
          <w:tcPr>
            <w:tcW w:type="dxa" w:w="1050"/>
          </w:tcPr>
          <w:p>
            <w:r>
              <w:rPr>
                <w:b w:val="false"/>
                <w:bCs w:val="false"/>
                <w:sz w:val="18"/>
                <w:szCs w:val="18"/>
              </w:rPr>
              <w:t xml:space="preserve">C</w:t>
            </w:r>
          </w:p>
        </w:tc>
        <w:tc>
          <w:tcPr>
            <w:tcW w:type="dxa" w:w="1050"/>
          </w:tcPr>
          <w:p>
            <w:r>
              <w:rPr>
                <w:b w:val="false"/>
                <w:bCs w:val="false"/>
                <w:sz w:val="18"/>
                <w:szCs w:val="18"/>
              </w:rPr>
              <w:t xml:space="preserve">C</w:t>
            </w:r>
          </w:p>
        </w:tc>
        <w:tc>
          <w:tcPr>
            <w:tcW w:type="dxa" w:w="1050"/>
          </w:tcPr>
          <w:p>
            <w:r>
              <w:rPr>
                <w:b w:val="false"/>
                <w:bCs w:val="false"/>
                <w:sz w:val="18"/>
                <w:szCs w:val="18"/>
              </w:rPr>
              <w:t xml:space="preserve">I</w:t>
            </w:r>
          </w:p>
        </w:tc>
        <w:tc>
          <w:tcPr>
            <w:tcW w:type="dxa" w:w="1050"/>
          </w:tcPr>
          <w:p>
            <w:r>
              <w:rPr>
                <w:b w:val="false"/>
                <w:bCs w:val="false"/>
                <w:sz w:val="18"/>
                <w:szCs w:val="18"/>
              </w:rPr>
              <w:t xml:space="preserve">I</w:t>
            </w:r>
          </w:p>
        </w:tc>
      </w:tr>
      <w:tr>
        <w:tc>
          <w:tcPr>
            <w:tcW w:type="dxa" w:w="2600"/>
          </w:tcPr>
          <w:p>
            <w:r>
              <w:rPr>
                <w:b w:val="false"/>
                <w:bCs w:val="false"/>
                <w:sz w:val="18"/>
                <w:szCs w:val="18"/>
              </w:rPr>
              <w:t xml:space="preserve">Resolve architecture-compliance conflict</w:t>
            </w:r>
          </w:p>
        </w:tc>
        <w:tc>
          <w:tcPr>
            <w:tcW w:type="dxa" w:w="1050"/>
          </w:tcPr>
          <w:p>
            <w:r>
              <w:rPr>
                <w:b w:val="false"/>
                <w:bCs w:val="false"/>
                <w:sz w:val="18"/>
                <w:szCs w:val="18"/>
              </w:rPr>
              <w:t xml:space="preserve">A</w:t>
            </w:r>
          </w:p>
        </w:tc>
        <w:tc>
          <w:tcPr>
            <w:tcW w:type="dxa" w:w="1050"/>
          </w:tcPr>
          <w:p>
            <w:r>
              <w:rPr>
                <w:b w:val="false"/>
                <w:bCs w:val="false"/>
                <w:sz w:val="18"/>
                <w:szCs w:val="18"/>
              </w:rPr>
              <w:t xml:space="preserve">I</w:t>
            </w:r>
          </w:p>
        </w:tc>
        <w:tc>
          <w:tcPr>
            <w:tcW w:type="dxa" w:w="1050"/>
          </w:tcPr>
          <w:p>
            <w:r>
              <w:rPr>
                <w:b w:val="false"/>
                <w:bCs w:val="false"/>
                <w:sz w:val="18"/>
                <w:szCs w:val="18"/>
              </w:rPr>
              <w:t xml:space="preserve">R</w:t>
            </w:r>
          </w:p>
        </w:tc>
        <w:tc>
          <w:tcPr>
            <w:tcW w:type="dxa" w:w="1050"/>
          </w:tcPr>
          <w:p>
            <w:r>
              <w:rPr>
                <w:b w:val="false"/>
                <w:bCs w:val="false"/>
                <w:sz w:val="18"/>
                <w:szCs w:val="18"/>
              </w:rPr>
              <w:t xml:space="preserve">C</w:t>
            </w:r>
          </w:p>
        </w:tc>
        <w:tc>
          <w:tcPr>
            <w:tcW w:type="dxa" w:w="1050"/>
          </w:tcPr>
          <w:p>
            <w:r>
              <w:rPr>
                <w:b w:val="false"/>
                <w:bCs w:val="false"/>
                <w:sz w:val="18"/>
                <w:szCs w:val="18"/>
              </w:rPr>
              <w:t xml:space="preserve">C</w:t>
            </w:r>
          </w:p>
        </w:tc>
        <w:tc>
          <w:tcPr>
            <w:tcW w:type="dxa" w:w="1050"/>
          </w:tcPr>
          <w:p>
            <w:r>
              <w:rPr>
                <w:b w:val="false"/>
                <w:bCs w:val="false"/>
                <w:sz w:val="18"/>
                <w:szCs w:val="18"/>
              </w:rPr>
              <w:t xml:space="preserve">I</w:t>
            </w:r>
          </w:p>
        </w:tc>
      </w:tr>
      <w:tr>
        <w:tc>
          <w:tcPr>
            <w:tcW w:type="dxa" w:w="2600"/>
          </w:tcPr>
          <w:p>
            <w:r>
              <w:rPr>
                <w:b w:val="false"/>
                <w:bCs w:val="false"/>
                <w:sz w:val="18"/>
                <w:szCs w:val="18"/>
              </w:rPr>
              <w:t xml:space="preserve">Approve release into production</w:t>
            </w:r>
          </w:p>
        </w:tc>
        <w:tc>
          <w:tcPr>
            <w:tcW w:type="dxa" w:w="1050"/>
          </w:tcPr>
          <w:p>
            <w:r>
              <w:rPr>
                <w:b w:val="false"/>
                <w:bCs w:val="false"/>
                <w:sz w:val="18"/>
                <w:szCs w:val="18"/>
              </w:rPr>
              <w:t xml:space="preserve">C</w:t>
            </w:r>
          </w:p>
        </w:tc>
        <w:tc>
          <w:tcPr>
            <w:tcW w:type="dxa" w:w="1050"/>
          </w:tcPr>
          <w:p>
            <w:r>
              <w:rPr>
                <w:b w:val="false"/>
                <w:bCs w:val="false"/>
                <w:sz w:val="18"/>
                <w:szCs w:val="18"/>
              </w:rPr>
              <w:t xml:space="preserve">A</w:t>
            </w:r>
          </w:p>
        </w:tc>
        <w:tc>
          <w:tcPr>
            <w:tcW w:type="dxa" w:w="1050"/>
          </w:tcPr>
          <w:p>
            <w:r>
              <w:rPr>
                <w:b w:val="false"/>
                <w:bCs w:val="false"/>
                <w:sz w:val="18"/>
                <w:szCs w:val="18"/>
              </w:rPr>
              <w:t xml:space="preserve">R</w:t>
            </w:r>
          </w:p>
        </w:tc>
        <w:tc>
          <w:tcPr>
            <w:tcW w:type="dxa" w:w="1050"/>
          </w:tcPr>
          <w:p>
            <w:r>
              <w:rPr>
                <w:b w:val="false"/>
                <w:bCs w:val="false"/>
                <w:sz w:val="18"/>
                <w:szCs w:val="18"/>
              </w:rPr>
              <w:t xml:space="preserve">C</w:t>
            </w:r>
          </w:p>
        </w:tc>
        <w:tc>
          <w:tcPr>
            <w:tcW w:type="dxa" w:w="1050"/>
          </w:tcPr>
          <w:p>
            <w:r>
              <w:rPr>
                <w:b w:val="false"/>
                <w:bCs w:val="false"/>
                <w:sz w:val="18"/>
                <w:szCs w:val="18"/>
              </w:rPr>
              <w:t xml:space="preserve">R</w:t>
            </w:r>
          </w:p>
        </w:tc>
        <w:tc>
          <w:tcPr>
            <w:tcW w:type="dxa" w:w="1050"/>
          </w:tcPr>
          <w:p>
            <w:r>
              <w:rPr>
                <w:b w:val="false"/>
                <w:bCs w:val="false"/>
                <w:sz w:val="18"/>
                <w:szCs w:val="18"/>
              </w:rPr>
              <w:t xml:space="preserve">I</w:t>
            </w:r>
          </w:p>
        </w:tc>
      </w:tr>
      <w:tr>
        <w:tc>
          <w:tcPr>
            <w:tcW w:type="dxa" w:w="2600"/>
          </w:tcPr>
          <w:p>
            <w:r>
              <w:rPr>
                <w:b w:val="false"/>
                <w:bCs w:val="false"/>
                <w:sz w:val="18"/>
                <w:szCs w:val="18"/>
              </w:rPr>
              <w:t xml:space="preserve">Approve Variance or Resolution reinterpretation</w:t>
            </w:r>
          </w:p>
        </w:tc>
        <w:tc>
          <w:tcPr>
            <w:tcW w:type="dxa" w:w="1050"/>
          </w:tcPr>
          <w:p>
            <w:r>
              <w:rPr>
                <w:b w:val="false"/>
                <w:bCs w:val="false"/>
                <w:sz w:val="18"/>
                <w:szCs w:val="18"/>
              </w:rPr>
              <w:t xml:space="preserve">A</w:t>
            </w:r>
          </w:p>
        </w:tc>
        <w:tc>
          <w:tcPr>
            <w:tcW w:type="dxa" w:w="1050"/>
          </w:tcPr>
          <w:p>
            <w:r>
              <w:rPr>
                <w:b w:val="false"/>
                <w:bCs w:val="false"/>
                <w:sz w:val="18"/>
                <w:szCs w:val="18"/>
              </w:rPr>
              <w:t xml:space="preserve">I</w:t>
            </w:r>
          </w:p>
        </w:tc>
        <w:tc>
          <w:tcPr>
            <w:tcW w:type="dxa" w:w="1050"/>
          </w:tcPr>
          <w:p>
            <w:r>
              <w:rPr>
                <w:b w:val="false"/>
                <w:bCs w:val="false"/>
                <w:sz w:val="18"/>
                <w:szCs w:val="18"/>
              </w:rPr>
              <w:t xml:space="preserve">C</w:t>
            </w:r>
          </w:p>
        </w:tc>
        <w:tc>
          <w:tcPr>
            <w:tcW w:type="dxa" w:w="1050"/>
          </w:tcPr>
          <w:p>
            <w:r>
              <w:rPr>
                <w:b w:val="false"/>
                <w:bCs w:val="false"/>
                <w:sz w:val="18"/>
                <w:szCs w:val="18"/>
              </w:rPr>
              <w:t xml:space="preserve">C</w:t>
            </w:r>
          </w:p>
        </w:tc>
        <w:tc>
          <w:tcPr>
            <w:tcW w:type="dxa" w:w="1050"/>
          </w:tcPr>
          <w:p>
            <w:r>
              <w:rPr>
                <w:b w:val="false"/>
                <w:bCs w:val="false"/>
                <w:sz w:val="18"/>
                <w:szCs w:val="18"/>
              </w:rPr>
              <w:t xml:space="preserve">I</w:t>
            </w:r>
          </w:p>
        </w:tc>
        <w:tc>
          <w:tcPr>
            <w:tcW w:type="dxa" w:w="1050"/>
          </w:tcPr>
          <w:p>
            <w:r>
              <w:rPr>
                <w:b w:val="false"/>
                <w:bCs w:val="false"/>
                <w:sz w:val="18"/>
                <w:szCs w:val="18"/>
              </w:rPr>
              <w:t xml:space="preserve">I</w:t>
            </w:r>
          </w:p>
        </w:tc>
      </w:tr>
      <w:tr>
        <w:tc>
          <w:tcPr>
            <w:tcW w:type="dxa" w:w="2600"/>
          </w:tcPr>
          <w:p>
            <w:r>
              <w:rPr>
                <w:b w:val="false"/>
                <w:bCs w:val="false"/>
                <w:sz w:val="18"/>
                <w:szCs w:val="18"/>
              </w:rPr>
              <w:t xml:space="preserve">Sign off Work Package acceptance criteria</w:t>
            </w:r>
          </w:p>
        </w:tc>
        <w:tc>
          <w:tcPr>
            <w:tcW w:type="dxa" w:w="1050"/>
          </w:tcPr>
          <w:p>
            <w:r>
              <w:rPr>
                <w:b w:val="false"/>
                <w:bCs w:val="false"/>
                <w:sz w:val="18"/>
                <w:szCs w:val="18"/>
              </w:rPr>
              <w:t xml:space="preserve">I</w:t>
            </w:r>
          </w:p>
        </w:tc>
        <w:tc>
          <w:tcPr>
            <w:tcW w:type="dxa" w:w="1050"/>
          </w:tcPr>
          <w:p>
            <w:r>
              <w:rPr>
                <w:b w:val="false"/>
                <w:bCs w:val="false"/>
                <w:sz w:val="18"/>
                <w:szCs w:val="18"/>
              </w:rPr>
              <w:t xml:space="preserve">C</w:t>
            </w:r>
          </w:p>
        </w:tc>
        <w:tc>
          <w:tcPr>
            <w:tcW w:type="dxa" w:w="1050"/>
          </w:tcPr>
          <w:p>
            <w:r>
              <w:rPr>
                <w:b w:val="false"/>
                <w:bCs w:val="false"/>
                <w:sz w:val="18"/>
                <w:szCs w:val="18"/>
              </w:rPr>
              <w:t xml:space="preserve">R</w:t>
            </w:r>
          </w:p>
        </w:tc>
        <w:tc>
          <w:tcPr>
            <w:tcW w:type="dxa" w:w="1050"/>
          </w:tcPr>
          <w:p>
            <w:r>
              <w:rPr>
                <w:b w:val="false"/>
                <w:bCs w:val="false"/>
                <w:sz w:val="18"/>
                <w:szCs w:val="18"/>
              </w:rPr>
              <w:t xml:space="preserve">C</w:t>
            </w:r>
          </w:p>
        </w:tc>
        <w:tc>
          <w:tcPr>
            <w:tcW w:type="dxa" w:w="1050"/>
          </w:tcPr>
          <w:p>
            <w:r>
              <w:rPr>
                <w:b w:val="false"/>
                <w:bCs w:val="false"/>
                <w:sz w:val="18"/>
                <w:szCs w:val="18"/>
              </w:rPr>
              <w:t xml:space="preserve">A</w:t>
            </w:r>
          </w:p>
        </w:tc>
        <w:tc>
          <w:tcPr>
            <w:tcW w:type="dxa" w:w="1050"/>
          </w:tcPr>
          <w:p>
            <w:r>
              <w:rPr>
                <w:b w:val="false"/>
                <w:bCs w:val="false"/>
                <w:sz w:val="18"/>
                <w:szCs w:val="18"/>
              </w:rPr>
              <w:t xml:space="preserve">R</w:t>
            </w:r>
          </w:p>
        </w:tc>
      </w:tr>
      <w:tr>
        <w:tc>
          <w:tcPr>
            <w:tcW w:type="dxa" w:w="2600"/>
          </w:tcPr>
          <w:p>
            <w:r>
              <w:rPr>
                <w:b w:val="false"/>
                <w:bCs w:val="false"/>
                <w:sz w:val="18"/>
                <w:szCs w:val="18"/>
              </w:rPr>
              <w:t xml:space="preserve">Escalate schedule or dependency risk</w:t>
            </w:r>
          </w:p>
        </w:tc>
        <w:tc>
          <w:tcPr>
            <w:tcW w:type="dxa" w:w="1050"/>
          </w:tcPr>
          <w:p>
            <w:r>
              <w:rPr>
                <w:b w:val="false"/>
                <w:bCs w:val="false"/>
                <w:sz w:val="18"/>
                <w:szCs w:val="18"/>
              </w:rPr>
              <w:t xml:space="preserve">I</w:t>
            </w:r>
          </w:p>
        </w:tc>
        <w:tc>
          <w:tcPr>
            <w:tcW w:type="dxa" w:w="1050"/>
          </w:tcPr>
          <w:p>
            <w:r>
              <w:rPr>
                <w:b w:val="false"/>
                <w:bCs w:val="false"/>
                <w:sz w:val="18"/>
                <w:szCs w:val="18"/>
              </w:rPr>
              <w:t xml:space="preserve">A</w:t>
            </w:r>
          </w:p>
        </w:tc>
        <w:tc>
          <w:tcPr>
            <w:tcW w:type="dxa" w:w="1050"/>
          </w:tcPr>
          <w:p>
            <w:r>
              <w:rPr>
                <w:b w:val="false"/>
                <w:bCs w:val="false"/>
                <w:sz w:val="18"/>
                <w:szCs w:val="18"/>
              </w:rPr>
              <w:t xml:space="preserve">R</w:t>
            </w:r>
          </w:p>
        </w:tc>
        <w:tc>
          <w:tcPr>
            <w:tcW w:type="dxa" w:w="1050"/>
          </w:tcPr>
          <w:p>
            <w:r>
              <w:rPr>
                <w:b w:val="false"/>
                <w:bCs w:val="false"/>
                <w:sz w:val="18"/>
                <w:szCs w:val="18"/>
              </w:rPr>
              <w:t xml:space="preserve">I</w:t>
            </w:r>
          </w:p>
        </w:tc>
        <w:tc>
          <w:tcPr>
            <w:tcW w:type="dxa" w:w="1050"/>
          </w:tcPr>
          <w:p>
            <w:r>
              <w:rPr>
                <w:b w:val="false"/>
                <w:bCs w:val="false"/>
                <w:sz w:val="18"/>
                <w:szCs w:val="18"/>
              </w:rPr>
              <w:t xml:space="preserve">I</w:t>
            </w:r>
          </w:p>
        </w:tc>
        <w:tc>
          <w:tcPr>
            <w:tcW w:type="dxa" w:w="1050"/>
          </w:tcPr>
          <w:p>
            <w:r>
              <w:rPr>
                <w:b w:val="false"/>
                <w:bCs w:val="false"/>
                <w:sz w:val="18"/>
                <w:szCs w:val="18"/>
              </w:rPr>
              <w:t xml:space="preserve">R</w:t>
            </w:r>
          </w:p>
        </w:tc>
      </w:tr>
      <w:tr>
        <w:tc>
          <w:tcPr>
            <w:tcW w:type="dxa" w:w="2600"/>
          </w:tcPr>
          <w:p>
            <w:r>
              <w:rPr>
                <w:b w:val="false"/>
                <w:bCs w:val="false"/>
                <w:sz w:val="18"/>
                <w:szCs w:val="18"/>
              </w:rPr>
              <w:t xml:space="preserve">Report execution KPIs to Executive Steering Committee</w:t>
            </w:r>
          </w:p>
        </w:tc>
        <w:tc>
          <w:tcPr>
            <w:tcW w:type="dxa" w:w="1050"/>
          </w:tcPr>
          <w:p>
            <w:r>
              <w:rPr>
                <w:b w:val="false"/>
                <w:bCs w:val="false"/>
                <w:sz w:val="18"/>
                <w:szCs w:val="18"/>
              </w:rPr>
              <w:t xml:space="preserve">I</w:t>
            </w:r>
          </w:p>
        </w:tc>
        <w:tc>
          <w:tcPr>
            <w:tcW w:type="dxa" w:w="1050"/>
          </w:tcPr>
          <w:p>
            <w:r>
              <w:rPr>
                <w:b w:val="false"/>
                <w:bCs w:val="false"/>
                <w:sz w:val="18"/>
                <w:szCs w:val="18"/>
              </w:rPr>
              <w:t xml:space="preserve">A</w:t>
            </w:r>
          </w:p>
        </w:tc>
        <w:tc>
          <w:tcPr>
            <w:tcW w:type="dxa" w:w="1050"/>
          </w:tcPr>
          <w:p>
            <w:r>
              <w:rPr>
                <w:b w:val="false"/>
                <w:bCs w:val="false"/>
                <w:sz w:val="18"/>
                <w:szCs w:val="18"/>
              </w:rPr>
              <w:t xml:space="preserve">C</w:t>
            </w:r>
          </w:p>
        </w:tc>
        <w:tc>
          <w:tcPr>
            <w:tcW w:type="dxa" w:w="1050"/>
          </w:tcPr>
          <w:p>
            <w:r>
              <w:rPr>
                <w:b w:val="false"/>
                <w:bCs w:val="false"/>
                <w:sz w:val="18"/>
                <w:szCs w:val="18"/>
              </w:rPr>
              <w:t xml:space="preserve">I</w:t>
            </w:r>
          </w:p>
        </w:tc>
        <w:tc>
          <w:tcPr>
            <w:tcW w:type="dxa" w:w="1050"/>
          </w:tcPr>
          <w:p>
            <w:r>
              <w:rPr>
                <w:b w:val="false"/>
                <w:bCs w:val="false"/>
                <w:sz w:val="18"/>
                <w:szCs w:val="18"/>
              </w:rPr>
              <w:t xml:space="preserve">C</w:t>
            </w:r>
          </w:p>
        </w:tc>
        <w:tc>
          <w:tcPr>
            <w:tcW w:type="dxa" w:w="1050"/>
          </w:tcPr>
          <w:p>
            <w:r>
              <w:rPr>
                <w:b w:val="false"/>
                <w:bCs w:val="false"/>
                <w:sz w:val="18"/>
                <w:szCs w:val="18"/>
              </w:rPr>
              <w:t xml:space="preserve">I</w:t>
            </w:r>
          </w:p>
        </w:tc>
      </w:tr>
    </w:tbl>
    <w:p>
      <w:pPr>
        <w:pStyle w:val="Heading1"/>
        <w:spacing w:after="160" w:before="320"/>
      </w:pPr>
      <w:r>
        <w:t xml:space="preserve">11. Decision Authority Matrix</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000"/>
      </w:tblGrid>
      <w:tr>
        <w:trPr>
          <w:tblHeader/>
        </w:trPr>
        <w:tc>
          <w:tcPr>
            <w:tcW w:type="dxa" w:w="2900"/>
            <w:shd w:fill="1F3864" w:val="clear"/>
          </w:tcPr>
          <w:p>
            <w:r>
              <w:rPr>
                <w:b/>
                <w:bCs/>
                <w:color w:val="FFFFFF"/>
                <w:sz w:val="18"/>
                <w:szCs w:val="18"/>
              </w:rPr>
              <w:t xml:space="preserve">Decision Type</w:t>
            </w:r>
          </w:p>
        </w:tc>
        <w:tc>
          <w:tcPr>
            <w:tcW w:type="dxa" w:w="3200"/>
            <w:shd w:fill="1F3864" w:val="clear"/>
          </w:tcPr>
          <w:p>
            <w:r>
              <w:rPr>
                <w:b/>
                <w:bCs/>
                <w:color w:val="FFFFFF"/>
                <w:sz w:val="18"/>
                <w:szCs w:val="18"/>
              </w:rPr>
              <w:t xml:space="preserve">Authority</w:t>
            </w:r>
          </w:p>
        </w:tc>
        <w:tc>
          <w:tcPr>
            <w:tcW w:type="dxa" w:w="3000"/>
            <w:shd w:fill="1F3864" w:val="clear"/>
          </w:tcPr>
          <w:p>
            <w:r>
              <w:rPr>
                <w:b/>
                <w:bCs/>
                <w:color w:val="FFFFFF"/>
                <w:sz w:val="18"/>
                <w:szCs w:val="18"/>
              </w:rPr>
              <w:t xml:space="preserve">Escalation Path If Contested</w:t>
            </w:r>
          </w:p>
        </w:tc>
      </w:tr>
      <w:tr>
        <w:tc>
          <w:tcPr>
            <w:tcW w:type="dxa" w:w="2900"/>
          </w:tcPr>
          <w:p>
            <w:r>
              <w:rPr>
                <w:b w:val="false"/>
                <w:bCs w:val="false"/>
                <w:sz w:val="18"/>
                <w:szCs w:val="18"/>
              </w:rPr>
              <w:t xml:space="preserve">Interpretation of an existing AR, EGD, ER, or VAR</w:t>
            </w:r>
          </w:p>
        </w:tc>
        <w:tc>
          <w:tcPr>
            <w:tcW w:type="dxa" w:w="3200"/>
          </w:tcPr>
          <w:p>
            <w:r>
              <w:rPr>
                <w:b w:val="false"/>
                <w:bCs w:val="false"/>
                <w:sz w:val="18"/>
                <w:szCs w:val="18"/>
              </w:rPr>
              <w:t xml:space="preserve">Enterprise Architecture Board</w:t>
            </w:r>
          </w:p>
        </w:tc>
        <w:tc>
          <w:tcPr>
            <w:tcW w:type="dxa" w:w="3000"/>
          </w:tcPr>
          <w:p>
            <w:r>
              <w:rPr>
                <w:b w:val="false"/>
                <w:bCs w:val="false"/>
                <w:sz w:val="18"/>
                <w:szCs w:val="18"/>
              </w:rPr>
              <w:t xml:space="preserve">Executive Steering Committee</w:t>
            </w:r>
          </w:p>
        </w:tc>
      </w:tr>
      <w:tr>
        <w:tc>
          <w:tcPr>
            <w:tcW w:type="dxa" w:w="2900"/>
          </w:tcPr>
          <w:p>
            <w:r>
              <w:rPr>
                <w:b w:val="false"/>
                <w:bCs w:val="false"/>
                <w:sz w:val="18"/>
                <w:szCs w:val="18"/>
              </w:rPr>
              <w:t xml:space="preserve">Work Package sequencing / Wave assignment change</w:t>
            </w:r>
          </w:p>
        </w:tc>
        <w:tc>
          <w:tcPr>
            <w:tcW w:type="dxa" w:w="3200"/>
          </w:tcPr>
          <w:p>
            <w:r>
              <w:rPr>
                <w:b w:val="false"/>
                <w:bCs w:val="false"/>
                <w:sz w:val="18"/>
                <w:szCs w:val="18"/>
              </w:rPr>
              <w:t xml:space="preserve">PMO, in consultation with Engineering Leadership</w:t>
            </w:r>
          </w:p>
        </w:tc>
        <w:tc>
          <w:tcPr>
            <w:tcW w:type="dxa" w:w="3000"/>
          </w:tcPr>
          <w:p>
            <w:r>
              <w:rPr>
                <w:b w:val="false"/>
                <w:bCs w:val="false"/>
                <w:sz w:val="18"/>
                <w:szCs w:val="18"/>
              </w:rPr>
              <w:t xml:space="preserve">Enterprise Architecture Board</w:t>
            </w:r>
          </w:p>
        </w:tc>
      </w:tr>
      <w:tr>
        <w:tc>
          <w:tcPr>
            <w:tcW w:type="dxa" w:w="2900"/>
          </w:tcPr>
          <w:p>
            <w:r>
              <w:rPr>
                <w:b w:val="false"/>
                <w:bCs w:val="false"/>
                <w:sz w:val="18"/>
                <w:szCs w:val="18"/>
              </w:rPr>
              <w:t xml:space="preserve">Acceptance of Work Package completion</w:t>
            </w:r>
          </w:p>
        </w:tc>
        <w:tc>
          <w:tcPr>
            <w:tcW w:type="dxa" w:w="3200"/>
          </w:tcPr>
          <w:p>
            <w:r>
              <w:rPr>
                <w:b w:val="false"/>
                <w:bCs w:val="false"/>
                <w:sz w:val="18"/>
                <w:szCs w:val="18"/>
              </w:rPr>
              <w:t xml:space="preserve">Quality/QA Leadership, jointly with Delivery Manager</w:t>
            </w:r>
          </w:p>
        </w:tc>
        <w:tc>
          <w:tcPr>
            <w:tcW w:type="dxa" w:w="3000"/>
          </w:tcPr>
          <w:p>
            <w:r>
              <w:rPr>
                <w:b w:val="false"/>
                <w:bCs w:val="false"/>
                <w:sz w:val="18"/>
                <w:szCs w:val="18"/>
              </w:rPr>
              <w:t xml:space="preserve">PMO</w:t>
            </w:r>
          </w:p>
        </w:tc>
      </w:tr>
      <w:tr>
        <w:tc>
          <w:tcPr>
            <w:tcW w:type="dxa" w:w="2900"/>
          </w:tcPr>
          <w:p>
            <w:r>
              <w:rPr>
                <w:b w:val="false"/>
                <w:bCs w:val="false"/>
                <w:sz w:val="18"/>
                <w:szCs w:val="18"/>
              </w:rPr>
              <w:t xml:space="preserve">Production release approval</w:t>
            </w:r>
          </w:p>
        </w:tc>
        <w:tc>
          <w:tcPr>
            <w:tcW w:type="dxa" w:w="3200"/>
          </w:tcPr>
          <w:p>
            <w:r>
              <w:rPr>
                <w:b w:val="false"/>
                <w:bCs w:val="false"/>
                <w:sz w:val="18"/>
                <w:szCs w:val="18"/>
              </w:rPr>
              <w:t xml:space="preserve">DevOps Leadership, jointly with PMO</w:t>
            </w:r>
          </w:p>
        </w:tc>
        <w:tc>
          <w:tcPr>
            <w:tcW w:type="dxa" w:w="3000"/>
          </w:tcPr>
          <w:p>
            <w:r>
              <w:rPr>
                <w:b w:val="false"/>
                <w:bCs w:val="false"/>
                <w:sz w:val="18"/>
                <w:szCs w:val="18"/>
              </w:rPr>
              <w:t xml:space="preserve">Executive Steering Committee</w:t>
            </w:r>
          </w:p>
        </w:tc>
      </w:tr>
      <w:tr>
        <w:tc>
          <w:tcPr>
            <w:tcW w:type="dxa" w:w="2900"/>
          </w:tcPr>
          <w:p>
            <w:r>
              <w:rPr>
                <w:b w:val="false"/>
                <w:bCs w:val="false"/>
                <w:sz w:val="18"/>
                <w:szCs w:val="18"/>
              </w:rPr>
              <w:t xml:space="preserve">New Variance or Resolution (architecture change)</w:t>
            </w:r>
          </w:p>
        </w:tc>
        <w:tc>
          <w:tcPr>
            <w:tcW w:type="dxa" w:w="3200"/>
          </w:tcPr>
          <w:p>
            <w:r>
              <w:rPr>
                <w:b w:val="false"/>
                <w:bCs w:val="false"/>
                <w:sz w:val="18"/>
                <w:szCs w:val="18"/>
              </w:rPr>
              <w:t xml:space="preserve">Out of ERP-02 authority — must return to an ERP-01-class architecture process</w:t>
            </w:r>
          </w:p>
        </w:tc>
        <w:tc>
          <w:tcPr>
            <w:tcW w:type="dxa" w:w="3000"/>
          </w:tcPr>
          <w:p>
            <w:r>
              <w:rPr>
                <w:b w:val="false"/>
                <w:bCs w:val="false"/>
                <w:sz w:val="18"/>
                <w:szCs w:val="18"/>
              </w:rPr>
              <w:t xml:space="preserve">Enterprise Architecture Board</w:t>
            </w:r>
          </w:p>
        </w:tc>
      </w:tr>
      <w:tr>
        <w:tc>
          <w:tcPr>
            <w:tcW w:type="dxa" w:w="2900"/>
          </w:tcPr>
          <w:p>
            <w:r>
              <w:rPr>
                <w:b w:val="false"/>
                <w:bCs w:val="false"/>
                <w:sz w:val="18"/>
                <w:szCs w:val="18"/>
              </w:rPr>
              <w:t xml:space="preserve">Risk acceptance above Work Package threshold</w:t>
            </w:r>
          </w:p>
        </w:tc>
        <w:tc>
          <w:tcPr>
            <w:tcW w:type="dxa" w:w="3200"/>
          </w:tcPr>
          <w:p>
            <w:r>
              <w:rPr>
                <w:b w:val="false"/>
                <w:bCs w:val="false"/>
                <w:sz w:val="18"/>
                <w:szCs w:val="18"/>
              </w:rPr>
              <w:t xml:space="preserve">Executive Steering Committee</w:t>
            </w:r>
          </w:p>
        </w:tc>
        <w:tc>
          <w:tcPr>
            <w:tcW w:type="dxa" w:w="3000"/>
          </w:tcPr>
          <w:p>
            <w:r>
              <w:rPr>
                <w:b w:val="false"/>
                <w:bCs w:val="false"/>
                <w:sz w:val="18"/>
                <w:szCs w:val="18"/>
              </w:rPr>
              <w:t xml:space="preserve">Program Sponsor</w:t>
            </w:r>
          </w:p>
        </w:tc>
      </w:tr>
    </w:tbl>
    <w:p>
      <w:pPr>
        <w:spacing w:after="160"/>
      </w:pPr>
      <w:r>
        <w:rPr>
          <w:b w:val="false"/>
          <w:bCs w:val="false"/>
          <w:i w:val="false"/>
          <w:iCs w:val="false"/>
          <w:sz w:val="21"/>
          <w:szCs w:val="21"/>
        </w:rPr>
        <w:t xml:space="preserve">No role defined in this framework has authority to create, rename, or renumber an Architecture Requirement, Enterprise Governance Decision, Enterprise Resolution, Variance, Work Package, Portfolio, Wave, or KPI. Any such need is out of ERP-02 scope by definition and must be routed back to an ERP-01-class architecture process.</w:t>
      </w:r>
    </w:p>
    <w:p>
      <w:pPr>
        <w:pStyle w:val="Heading1"/>
        <w:spacing w:after="160" w:before="320"/>
      </w:pPr>
      <w:r>
        <w:t xml:space="preserve">12. Program Escalation Model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400"/>
        <w:gridCol w:w="1900"/>
      </w:tblGrid>
      <w:tr>
        <w:trPr>
          <w:tblHeader/>
        </w:trPr>
        <w:tc>
          <w:tcPr>
            <w:tcW w:type="dxa" w:w="1400"/>
            <w:shd w:fill="1F3864" w:val="clear"/>
          </w:tcPr>
          <w:p>
            <w:r>
              <w:rPr>
                <w:b/>
                <w:bCs/>
                <w:color w:val="FFFFFF"/>
                <w:sz w:val="18"/>
                <w:szCs w:val="18"/>
              </w:rPr>
              <w:t xml:space="preserve">Tier</w:t>
            </w:r>
          </w:p>
        </w:tc>
        <w:tc>
          <w:tcPr>
            <w:tcW w:type="dxa" w:w="3400"/>
            <w:shd w:fill="1F3864" w:val="clear"/>
          </w:tcPr>
          <w:p>
            <w:r>
              <w:rPr>
                <w:b/>
                <w:bCs/>
                <w:color w:val="FFFFFF"/>
                <w:sz w:val="18"/>
                <w:szCs w:val="18"/>
              </w:rPr>
              <w:t xml:space="preserve">Trigger</w:t>
            </w:r>
          </w:p>
        </w:tc>
        <w:tc>
          <w:tcPr>
            <w:tcW w:type="dxa" w:w="2400"/>
            <w:shd w:fill="1F3864" w:val="clear"/>
          </w:tcPr>
          <w:p>
            <w:r>
              <w:rPr>
                <w:b/>
                <w:bCs/>
                <w:color w:val="FFFFFF"/>
                <w:sz w:val="18"/>
                <w:szCs w:val="18"/>
              </w:rPr>
              <w:t xml:space="preserve">Escalate To</w:t>
            </w:r>
          </w:p>
        </w:tc>
        <w:tc>
          <w:tcPr>
            <w:tcW w:type="dxa" w:w="1900"/>
            <w:shd w:fill="1F3864" w:val="clear"/>
          </w:tcPr>
          <w:p>
            <w:r>
              <w:rPr>
                <w:b/>
                <w:bCs/>
                <w:color w:val="FFFFFF"/>
                <w:sz w:val="18"/>
                <w:szCs w:val="18"/>
              </w:rPr>
              <w:t xml:space="preserve">Target Response</w:t>
            </w:r>
          </w:p>
        </w:tc>
      </w:tr>
      <w:tr>
        <w:tc>
          <w:tcPr>
            <w:tcW w:type="dxa" w:w="1400"/>
          </w:tcPr>
          <w:p>
            <w:r>
              <w:rPr>
                <w:b w:val="false"/>
                <w:bCs w:val="false"/>
                <w:sz w:val="18"/>
                <w:szCs w:val="18"/>
              </w:rPr>
              <w:t xml:space="preserve">Tier 1</w:t>
            </w:r>
          </w:p>
        </w:tc>
        <w:tc>
          <w:tcPr>
            <w:tcW w:type="dxa" w:w="3400"/>
          </w:tcPr>
          <w:p>
            <w:r>
              <w:rPr>
                <w:b w:val="false"/>
                <w:bCs w:val="false"/>
                <w:sz w:val="18"/>
                <w:szCs w:val="18"/>
              </w:rPr>
              <w:t xml:space="preserve">Work Package delivery risk within a single Wave</w:t>
            </w:r>
          </w:p>
        </w:tc>
        <w:tc>
          <w:tcPr>
            <w:tcW w:type="dxa" w:w="2400"/>
          </w:tcPr>
          <w:p>
            <w:r>
              <w:rPr>
                <w:b w:val="false"/>
                <w:bCs w:val="false"/>
                <w:sz w:val="18"/>
                <w:szCs w:val="18"/>
              </w:rPr>
              <w:t xml:space="preserve">Delivery Manager → PMO</w:t>
            </w:r>
          </w:p>
        </w:tc>
        <w:tc>
          <w:tcPr>
            <w:tcW w:type="dxa" w:w="1900"/>
          </w:tcPr>
          <w:p>
            <w:r>
              <w:rPr>
                <w:b w:val="false"/>
                <w:bCs w:val="false"/>
                <w:sz w:val="18"/>
                <w:szCs w:val="18"/>
              </w:rPr>
              <w:t xml:space="preserve">Reserved for Future Realization Phases</w:t>
            </w:r>
          </w:p>
        </w:tc>
      </w:tr>
      <w:tr>
        <w:tc>
          <w:tcPr>
            <w:tcW w:type="dxa" w:w="1400"/>
          </w:tcPr>
          <w:p>
            <w:r>
              <w:rPr>
                <w:b w:val="false"/>
                <w:bCs w:val="false"/>
                <w:sz w:val="18"/>
                <w:szCs w:val="18"/>
              </w:rPr>
              <w:t xml:space="preserve">Tier 2</w:t>
            </w:r>
          </w:p>
        </w:tc>
        <w:tc>
          <w:tcPr>
            <w:tcW w:type="dxa" w:w="3400"/>
          </w:tcPr>
          <w:p>
            <w:r>
              <w:rPr>
                <w:b w:val="false"/>
                <w:bCs w:val="false"/>
                <w:sz w:val="18"/>
                <w:szCs w:val="18"/>
              </w:rPr>
              <w:t xml:space="preserve">Cross-Work-Package dependency conflict</w:t>
            </w:r>
          </w:p>
        </w:tc>
        <w:tc>
          <w:tcPr>
            <w:tcW w:type="dxa" w:w="2400"/>
          </w:tcPr>
          <w:p>
            <w:r>
              <w:rPr>
                <w:b w:val="false"/>
                <w:bCs w:val="false"/>
                <w:sz w:val="18"/>
                <w:szCs w:val="18"/>
              </w:rPr>
              <w:t xml:space="preserve">PMO → Engineering Leadership</w:t>
            </w:r>
          </w:p>
        </w:tc>
        <w:tc>
          <w:tcPr>
            <w:tcW w:type="dxa" w:w="1900"/>
          </w:tcPr>
          <w:p>
            <w:r>
              <w:rPr>
                <w:b w:val="false"/>
                <w:bCs w:val="false"/>
                <w:sz w:val="18"/>
                <w:szCs w:val="18"/>
              </w:rPr>
              <w:t xml:space="preserve">Reserved for Future Realization Phases</w:t>
            </w:r>
          </w:p>
        </w:tc>
      </w:tr>
      <w:tr>
        <w:tc>
          <w:tcPr>
            <w:tcW w:type="dxa" w:w="1400"/>
          </w:tcPr>
          <w:p>
            <w:r>
              <w:rPr>
                <w:b w:val="false"/>
                <w:bCs w:val="false"/>
                <w:sz w:val="18"/>
                <w:szCs w:val="18"/>
              </w:rPr>
              <w:t xml:space="preserve">Tier 3</w:t>
            </w:r>
          </w:p>
        </w:tc>
        <w:tc>
          <w:tcPr>
            <w:tcW w:type="dxa" w:w="3400"/>
          </w:tcPr>
          <w:p>
            <w:r>
              <w:rPr>
                <w:b w:val="false"/>
                <w:bCs w:val="false"/>
                <w:sz w:val="18"/>
                <w:szCs w:val="18"/>
              </w:rPr>
              <w:t xml:space="preserve">Architecture-compliance dispute</w:t>
            </w:r>
          </w:p>
        </w:tc>
        <w:tc>
          <w:tcPr>
            <w:tcW w:type="dxa" w:w="2400"/>
          </w:tcPr>
          <w:p>
            <w:r>
              <w:rPr>
                <w:b w:val="false"/>
                <w:bCs w:val="false"/>
                <w:sz w:val="18"/>
                <w:szCs w:val="18"/>
              </w:rPr>
              <w:t xml:space="preserve">Engineering Leadership → Enterprise Architecture Board</w:t>
            </w:r>
          </w:p>
        </w:tc>
        <w:tc>
          <w:tcPr>
            <w:tcW w:type="dxa" w:w="1900"/>
          </w:tcPr>
          <w:p>
            <w:r>
              <w:rPr>
                <w:b w:val="false"/>
                <w:bCs w:val="false"/>
                <w:sz w:val="18"/>
                <w:szCs w:val="18"/>
              </w:rPr>
              <w:t xml:space="preserve">Reserved for Future Realization Phases</w:t>
            </w:r>
          </w:p>
        </w:tc>
      </w:tr>
      <w:tr>
        <w:tc>
          <w:tcPr>
            <w:tcW w:type="dxa" w:w="1400"/>
          </w:tcPr>
          <w:p>
            <w:r>
              <w:rPr>
                <w:b w:val="false"/>
                <w:bCs w:val="false"/>
                <w:sz w:val="18"/>
                <w:szCs w:val="18"/>
              </w:rPr>
              <w:t xml:space="preserve">Tier 4</w:t>
            </w:r>
          </w:p>
        </w:tc>
        <w:tc>
          <w:tcPr>
            <w:tcW w:type="dxa" w:w="3400"/>
          </w:tcPr>
          <w:p>
            <w:r>
              <w:rPr>
                <w:b w:val="false"/>
                <w:bCs w:val="false"/>
                <w:sz w:val="18"/>
                <w:szCs w:val="18"/>
              </w:rPr>
              <w:t xml:space="preserve">Program-level risk or cross-portfolio conflict</w:t>
            </w:r>
          </w:p>
        </w:tc>
        <w:tc>
          <w:tcPr>
            <w:tcW w:type="dxa" w:w="2400"/>
          </w:tcPr>
          <w:p>
            <w:r>
              <w:rPr>
                <w:b w:val="false"/>
                <w:bCs w:val="false"/>
                <w:sz w:val="18"/>
                <w:szCs w:val="18"/>
              </w:rPr>
              <w:t xml:space="preserve">Enterprise Architecture Board → Executive Steering Committee</w:t>
            </w:r>
          </w:p>
        </w:tc>
        <w:tc>
          <w:tcPr>
            <w:tcW w:type="dxa" w:w="1900"/>
          </w:tcPr>
          <w:p>
            <w:r>
              <w:rPr>
                <w:b w:val="false"/>
                <w:bCs w:val="false"/>
                <w:sz w:val="18"/>
                <w:szCs w:val="18"/>
              </w:rPr>
              <w:t xml:space="preserve">Reserved for Future Realization Phases</w:t>
            </w:r>
          </w:p>
        </w:tc>
      </w:tr>
    </w:tbl>
    <w:p>
      <w:pPr>
        <w:spacing w:after="160"/>
      </w:pPr>
      <w:r>
        <w:rPr>
          <w:b w:val="false"/>
          <w:bCs w:val="false"/>
          <w:i w:val="false"/>
          <w:iCs w:val="false"/>
          <w:sz w:val="21"/>
          <w:szCs w:val="21"/>
        </w:rPr>
        <w:t xml:space="preserve">Target response times are Reserved for Future Realization Phases: they depend on operating cadences that cannot be set until the governance bodies in Sections 13–24 are chartered and the roles in Section 9 are staffed. This framework defines the escalation path; it does not fabricate an SLA that has not yet been agreed.</w:t>
      </w:r>
    </w:p>
    <w:p>
      <w:pPr>
        <w:pStyle w:val="Heading1"/>
        <w:spacing w:after="160" w:before="320"/>
      </w:pPr>
      <w:r>
        <w:t xml:space="preserve">13. Architecture Governance Board</w:t>
      </w:r>
    </w:p>
    <w:p>
      <w:pPr>
        <w:spacing w:after="160"/>
      </w:pPr>
      <w:r>
        <w:rPr>
          <w:b w:val="false"/>
          <w:bCs w:val="false"/>
          <w:i w:val="false"/>
          <w:iCs w:val="false"/>
          <w:sz w:val="21"/>
          <w:szCs w:val="21"/>
        </w:rPr>
        <w:t xml:space="preserve">Owns interpretation of the ERP-01 baseline during execution and is the sole authority able to confirm whether a proposed execution approach remains compliant with an existing AR, EGD, ER, or VAR.</w:t>
      </w:r>
    </w:p>
    <w:p>
      <w:pPr>
        <w:spacing w:after="160"/>
      </w:pPr>
      <w:r>
        <w:rPr>
          <w:b w:val="false"/>
          <w:bCs w:val="false"/>
          <w:i w:val="false"/>
          <w:iCs w:val="false"/>
          <w:sz w:val="21"/>
          <w:szCs w:val="21"/>
        </w:rPr>
        <w:t xml:space="preserve">Scope: All six active Work Packages, cross-portfolio.</w:t>
      </w:r>
    </w:p>
    <w:p>
      <w:pPr>
        <w:spacing w:after="160"/>
      </w:pPr>
      <w:r>
        <w:rPr>
          <w:b w:val="false"/>
          <w:bCs w:val="false"/>
          <w:i/>
          <w:iCs/>
          <w:sz w:val="21"/>
          <w:szCs w:val="21"/>
        </w:rPr>
        <w:t xml:space="preserve">Charter / Activation Status: Not Yet Realized. This body is described here as a target-state governance function the program is designed to grow into; its charter, membership, and operating cadence are not yet established.</w:t>
      </w:r>
    </w:p>
    <w:p>
      <w:pPr>
        <w:pStyle w:val="Heading1"/>
        <w:spacing w:after="160" w:before="320"/>
      </w:pPr>
      <w:r>
        <w:t xml:space="preserve">14. PMO Governance</w:t>
      </w:r>
    </w:p>
    <w:p>
      <w:pPr>
        <w:spacing w:after="160"/>
      </w:pPr>
      <w:r>
        <w:rPr>
          <w:b w:val="false"/>
          <w:bCs w:val="false"/>
          <w:i w:val="false"/>
          <w:iCs w:val="false"/>
          <w:sz w:val="21"/>
          <w:szCs w:val="21"/>
        </w:rPr>
        <w:t xml:space="preserve">Owns program-level scheduling, cross-Work-Package dependency tracking, and consolidated execution status reporting to the Executive Steering Committee.</w:t>
      </w:r>
    </w:p>
    <w:p>
      <w:pPr>
        <w:spacing w:after="160"/>
      </w:pPr>
      <w:r>
        <w:rPr>
          <w:b w:val="false"/>
          <w:bCs w:val="false"/>
          <w:i w:val="false"/>
          <w:iCs w:val="false"/>
          <w:sz w:val="21"/>
          <w:szCs w:val="21"/>
        </w:rPr>
        <w:t xml:space="preserve">Scope: All active Portfolios (1, 2, 8).</w:t>
      </w:r>
    </w:p>
    <w:p>
      <w:pPr>
        <w:spacing w:after="160"/>
      </w:pPr>
      <w:r>
        <w:rPr>
          <w:b w:val="false"/>
          <w:bCs w:val="false"/>
          <w:i/>
          <w:iCs/>
          <w:sz w:val="21"/>
          <w:szCs w:val="21"/>
        </w:rPr>
        <w:t xml:space="preserve">Charter / Activation Status: Not Yet Realized. This body is described here as a target-state governance function the program is designed to grow into; its charter, membership, and operating cadence are not yet established.</w:t>
      </w:r>
    </w:p>
    <w:p>
      <w:pPr>
        <w:pStyle w:val="Heading1"/>
        <w:spacing w:after="160" w:before="320"/>
      </w:pPr>
      <w:r>
        <w:t xml:space="preserve">15. Engineering Governance</w:t>
      </w:r>
    </w:p>
    <w:p>
      <w:pPr>
        <w:spacing w:after="160"/>
      </w:pPr>
      <w:r>
        <w:rPr>
          <w:b w:val="false"/>
          <w:bCs w:val="false"/>
          <w:i w:val="false"/>
          <w:iCs w:val="false"/>
          <w:sz w:val="21"/>
          <w:szCs w:val="21"/>
        </w:rPr>
        <w:t xml:space="preserve">Owns engineering execution discipline against the Section 4 (Engineering Design Specification) and Section 5 (Implementation Blueprint) artifacts.</w:t>
      </w:r>
    </w:p>
    <w:p>
      <w:pPr>
        <w:spacing w:after="160"/>
      </w:pPr>
      <w:r>
        <w:rPr>
          <w:b w:val="false"/>
          <w:bCs w:val="false"/>
          <w:i w:val="false"/>
          <w:iCs w:val="false"/>
          <w:sz w:val="21"/>
          <w:szCs w:val="21"/>
        </w:rPr>
        <w:t xml:space="preserve">Scope: Portfolio 1 and Portfolio 2 engineering execution.</w:t>
      </w:r>
    </w:p>
    <w:p>
      <w:pPr>
        <w:spacing w:after="160"/>
      </w:pPr>
      <w:r>
        <w:rPr>
          <w:b w:val="false"/>
          <w:bCs w:val="false"/>
          <w:i/>
          <w:iCs/>
          <w:sz w:val="21"/>
          <w:szCs w:val="21"/>
        </w:rPr>
        <w:t xml:space="preserve">Charter / Activation Status: Not Yet Realized. This body is described here as a target-state governance function the program is designed to grow into; its charter, membership, and operating cadence are not yet established.</w:t>
      </w:r>
    </w:p>
    <w:p>
      <w:pPr>
        <w:pStyle w:val="Heading1"/>
        <w:spacing w:after="160" w:before="320"/>
      </w:pPr>
      <w:r>
        <w:t xml:space="preserve">16. Platform Engineering Governance</w:t>
      </w:r>
    </w:p>
    <w:p>
      <w:pPr>
        <w:spacing w:after="160"/>
      </w:pPr>
      <w:r>
        <w:rPr>
          <w:b w:val="false"/>
          <w:bCs w:val="false"/>
          <w:i w:val="false"/>
          <w:iCs w:val="false"/>
          <w:sz w:val="21"/>
          <w:szCs w:val="21"/>
        </w:rPr>
        <w:t xml:space="preserve">Owns database and platform-level execution, including the partitioning assessment (WP-0003) and schema conformance work.</w:t>
      </w:r>
    </w:p>
    <w:p>
      <w:pPr>
        <w:spacing w:after="160"/>
      </w:pPr>
      <w:r>
        <w:rPr>
          <w:b w:val="false"/>
          <w:bCs w:val="false"/>
          <w:i w:val="false"/>
          <w:iCs w:val="false"/>
          <w:sz w:val="21"/>
          <w:szCs w:val="21"/>
        </w:rPr>
        <w:t xml:space="preserve">Scope: Portfolio 1 (Enterprise Data Platform).</w:t>
      </w:r>
    </w:p>
    <w:p>
      <w:pPr>
        <w:spacing w:after="160"/>
      </w:pPr>
      <w:r>
        <w:rPr>
          <w:b w:val="false"/>
          <w:bCs w:val="false"/>
          <w:i/>
          <w:iCs/>
          <w:sz w:val="21"/>
          <w:szCs w:val="21"/>
        </w:rPr>
        <w:t xml:space="preserve">Charter / Activation Status: Not Yet Realized. This body is described here as a target-state governance function the program is designed to grow into; its charter, membership, and operating cadence are not yet established.</w:t>
      </w:r>
    </w:p>
    <w:p>
      <w:pPr>
        <w:pStyle w:val="Heading1"/>
        <w:spacing w:after="160" w:before="320"/>
      </w:pPr>
      <w:r>
        <w:t xml:space="preserve">17. DevOps Governance</w:t>
      </w:r>
    </w:p>
    <w:p>
      <w:pPr>
        <w:spacing w:after="160"/>
      </w:pPr>
      <w:r>
        <w:rPr>
          <w:b w:val="false"/>
          <w:bCs w:val="false"/>
          <w:i w:val="false"/>
          <w:iCs w:val="false"/>
          <w:sz w:val="21"/>
          <w:szCs w:val="21"/>
        </w:rPr>
        <w:t xml:space="preserve">Owns release pipeline integrity, environment promotion discipline, and deployment execution controls.</w:t>
      </w:r>
    </w:p>
    <w:p>
      <w:pPr>
        <w:spacing w:after="160"/>
      </w:pPr>
      <w:r>
        <w:rPr>
          <w:b w:val="false"/>
          <w:bCs w:val="false"/>
          <w:i w:val="false"/>
          <w:iCs w:val="false"/>
          <w:sz w:val="21"/>
          <w:szCs w:val="21"/>
        </w:rPr>
        <w:t xml:space="preserve">Scope: Cross-cutting, all active Portfolios.</w:t>
      </w:r>
    </w:p>
    <w:p>
      <w:pPr>
        <w:spacing w:after="160"/>
      </w:pPr>
      <w:r>
        <w:rPr>
          <w:b w:val="false"/>
          <w:bCs w:val="false"/>
          <w:i/>
          <w:iCs/>
          <w:sz w:val="21"/>
          <w:szCs w:val="21"/>
        </w:rPr>
        <w:t xml:space="preserve">Charter / Activation Status: Not Yet Realized. This body is described here as a target-state governance function the program is designed to grow into; its charter, membership, and operating cadence are not yet established.</w:t>
      </w:r>
    </w:p>
    <w:p>
      <w:pPr>
        <w:pStyle w:val="Heading1"/>
        <w:spacing w:after="160" w:before="320"/>
      </w:pPr>
      <w:r>
        <w:t xml:space="preserve">18. Security Governance</w:t>
      </w:r>
    </w:p>
    <w:p>
      <w:pPr>
        <w:spacing w:after="160"/>
      </w:pPr>
      <w:r>
        <w:rPr>
          <w:b w:val="false"/>
          <w:bCs w:val="false"/>
          <w:i w:val="false"/>
          <w:iCs w:val="false"/>
          <w:sz w:val="21"/>
          <w:szCs w:val="21"/>
        </w:rPr>
        <w:t xml:space="preserve">Owns Row-Level Security verification (WP-0002) and column-level access review (WP-0005) execution oversight.</w:t>
      </w:r>
    </w:p>
    <w:p>
      <w:pPr>
        <w:spacing w:after="160"/>
      </w:pPr>
      <w:r>
        <w:rPr>
          <w:b w:val="false"/>
          <w:bCs w:val="false"/>
          <w:i w:val="false"/>
          <w:iCs w:val="false"/>
          <w:sz w:val="21"/>
          <w:szCs w:val="21"/>
        </w:rPr>
        <w:t xml:space="preserve">Scope: Portfolio 2 (Enterprise Security).</w:t>
      </w:r>
    </w:p>
    <w:p>
      <w:pPr>
        <w:spacing w:after="160"/>
      </w:pPr>
      <w:r>
        <w:rPr>
          <w:b w:val="false"/>
          <w:bCs w:val="false"/>
          <w:i/>
          <w:iCs/>
          <w:sz w:val="21"/>
          <w:szCs w:val="21"/>
        </w:rPr>
        <w:t xml:space="preserve">Charter / Activation Status: Not Yet Realized. This body is described here as a target-state governance function the program is designed to grow into; its charter, membership, and operating cadence are not yet established.</w:t>
      </w:r>
    </w:p>
    <w:p>
      <w:pPr>
        <w:pStyle w:val="Heading1"/>
        <w:spacing w:after="160" w:before="320"/>
      </w:pPr>
      <w:r>
        <w:t xml:space="preserve">19. Quality Governance</w:t>
      </w:r>
    </w:p>
    <w:p>
      <w:pPr>
        <w:spacing w:after="160"/>
      </w:pPr>
      <w:r>
        <w:rPr>
          <w:b w:val="false"/>
          <w:bCs w:val="false"/>
          <w:i w:val="false"/>
          <w:iCs w:val="false"/>
          <w:sz w:val="21"/>
          <w:szCs w:val="21"/>
        </w:rPr>
        <w:t xml:space="preserve">Owns verification method execution and acceptance-evidence integrity against Section 7 and Section 9 criteria.</w:t>
      </w:r>
    </w:p>
    <w:p>
      <w:pPr>
        <w:spacing w:after="160"/>
      </w:pPr>
      <w:r>
        <w:rPr>
          <w:b w:val="false"/>
          <w:bCs w:val="false"/>
          <w:i w:val="false"/>
          <w:iCs w:val="false"/>
          <w:sz w:val="21"/>
          <w:szCs w:val="21"/>
        </w:rPr>
        <w:t xml:space="preserve">Scope: All six active Work Packages.</w:t>
      </w:r>
    </w:p>
    <w:p>
      <w:pPr>
        <w:spacing w:after="160"/>
      </w:pPr>
      <w:r>
        <w:rPr>
          <w:b w:val="false"/>
          <w:bCs w:val="false"/>
          <w:i/>
          <w:iCs/>
          <w:sz w:val="21"/>
          <w:szCs w:val="21"/>
        </w:rPr>
        <w:t xml:space="preserve">Charter / Activation Status: Not Yet Realized. This body is described here as a target-state governance function the program is designed to grow into; its charter, membership, and operating cadence are not yet established.</w:t>
      </w:r>
    </w:p>
    <w:p>
      <w:pPr>
        <w:pStyle w:val="Heading1"/>
        <w:spacing w:after="160" w:before="320"/>
      </w:pPr>
      <w:r>
        <w:t xml:space="preserve">20. Delivery Governance</w:t>
      </w:r>
    </w:p>
    <w:p>
      <w:pPr>
        <w:spacing w:after="160"/>
      </w:pPr>
      <w:r>
        <w:rPr>
          <w:b w:val="false"/>
          <w:bCs w:val="false"/>
          <w:i w:val="false"/>
          <w:iCs w:val="false"/>
          <w:sz w:val="21"/>
          <w:szCs w:val="21"/>
        </w:rPr>
        <w:t xml:space="preserve">Owns day-to-day Work Package tracking, status accuracy, and Wave-level delivery reporting.</w:t>
      </w:r>
    </w:p>
    <w:p>
      <w:pPr>
        <w:spacing w:after="160"/>
      </w:pPr>
      <w:r>
        <w:rPr>
          <w:b w:val="false"/>
          <w:bCs w:val="false"/>
          <w:i w:val="false"/>
          <w:iCs w:val="false"/>
          <w:sz w:val="21"/>
          <w:szCs w:val="21"/>
        </w:rPr>
        <w:t xml:space="preserve">Scope: Individual Work Package level.</w:t>
      </w:r>
    </w:p>
    <w:p>
      <w:pPr>
        <w:spacing w:after="160"/>
      </w:pPr>
      <w:r>
        <w:rPr>
          <w:b w:val="false"/>
          <w:bCs w:val="false"/>
          <w:i/>
          <w:iCs/>
          <w:sz w:val="21"/>
          <w:szCs w:val="21"/>
        </w:rPr>
        <w:t xml:space="preserve">Charter / Activation Status: Not Yet Realized. This body is described here as a target-state governance function the program is designed to grow into; its charter, membership, and operating cadence are not yet established.</w:t>
      </w:r>
    </w:p>
    <w:p>
      <w:pPr>
        <w:pStyle w:val="Heading1"/>
        <w:spacing w:after="160" w:before="320"/>
      </w:pPr>
      <w:r>
        <w:t xml:space="preserve">21. Risk Governance</w:t>
      </w:r>
    </w:p>
    <w:p>
      <w:pPr>
        <w:spacing w:after="160"/>
      </w:pPr>
      <w:r>
        <w:rPr>
          <w:b w:val="false"/>
          <w:bCs w:val="false"/>
          <w:i w:val="false"/>
          <w:iCs w:val="false"/>
          <w:sz w:val="21"/>
          <w:szCs w:val="21"/>
        </w:rPr>
        <w:t xml:space="preserve">Owns the execution-phase risk register, building on — and not duplicating — the risks already evidenced in ERP-01 Section 8 and Section 10.9.</w:t>
      </w:r>
    </w:p>
    <w:p>
      <w:pPr>
        <w:spacing w:after="160"/>
      </w:pPr>
      <w:r>
        <w:rPr>
          <w:b w:val="false"/>
          <w:bCs w:val="false"/>
          <w:i w:val="false"/>
          <w:iCs w:val="false"/>
          <w:sz w:val="21"/>
          <w:szCs w:val="21"/>
        </w:rPr>
        <w:t xml:space="preserve">Scope: Cross-cutting, all active Portfolios.</w:t>
      </w:r>
    </w:p>
    <w:p>
      <w:pPr>
        <w:spacing w:after="160"/>
      </w:pPr>
      <w:r>
        <w:rPr>
          <w:b w:val="false"/>
          <w:bCs w:val="false"/>
          <w:i/>
          <w:iCs/>
          <w:sz w:val="21"/>
          <w:szCs w:val="21"/>
        </w:rPr>
        <w:t xml:space="preserve">Charter / Activation Status: Not Yet Realized. This body is described here as a target-state governance function the program is designed to grow into; its charter, membership, and operating cadence are not yet established.</w:t>
      </w:r>
    </w:p>
    <w:p>
      <w:pPr>
        <w:pStyle w:val="Heading1"/>
        <w:spacing w:after="160" w:before="320"/>
      </w:pPr>
      <w:r>
        <w:t xml:space="preserve">22. Compliance Governance</w:t>
      </w:r>
    </w:p>
    <w:p>
      <w:pPr>
        <w:spacing w:after="160"/>
      </w:pPr>
      <w:r>
        <w:rPr>
          <w:b w:val="false"/>
          <w:bCs w:val="false"/>
          <w:i w:val="false"/>
          <w:iCs w:val="false"/>
          <w:sz w:val="21"/>
          <w:szCs w:val="21"/>
        </w:rPr>
        <w:t xml:space="preserve">Owns verification that execution activity remains within applicable regulatory and internal-policy constraints, particularly for Portfolio 2.</w:t>
      </w:r>
    </w:p>
    <w:p>
      <w:pPr>
        <w:spacing w:after="160"/>
      </w:pPr>
      <w:r>
        <w:rPr>
          <w:b w:val="false"/>
          <w:bCs w:val="false"/>
          <w:i w:val="false"/>
          <w:iCs w:val="false"/>
          <w:sz w:val="21"/>
          <w:szCs w:val="21"/>
        </w:rPr>
        <w:t xml:space="preserve">Scope: Cross-cutting, primarily Portfolio 2.</w:t>
      </w:r>
    </w:p>
    <w:p>
      <w:pPr>
        <w:spacing w:after="160"/>
      </w:pPr>
      <w:r>
        <w:rPr>
          <w:b w:val="false"/>
          <w:bCs w:val="false"/>
          <w:i/>
          <w:iCs/>
          <w:sz w:val="21"/>
          <w:szCs w:val="21"/>
        </w:rPr>
        <w:t xml:space="preserve">Charter / Activation Status: Not Yet Realized. This body is described here as a target-state governance function the program is designed to grow into; its charter, membership, and operating cadence are not yet established.</w:t>
      </w:r>
    </w:p>
    <w:p>
      <w:pPr>
        <w:pStyle w:val="Heading1"/>
        <w:spacing w:after="160" w:before="320"/>
      </w:pPr>
      <w:r>
        <w:t xml:space="preserve">23. Release Governance</w:t>
      </w:r>
    </w:p>
    <w:p>
      <w:pPr>
        <w:spacing w:after="160"/>
      </w:pPr>
      <w:r>
        <w:rPr>
          <w:b w:val="false"/>
          <w:bCs w:val="false"/>
          <w:i w:val="false"/>
          <w:iCs w:val="false"/>
          <w:sz w:val="21"/>
          <w:szCs w:val="21"/>
        </w:rPr>
        <w:t xml:space="preserve">Owns the gate criteria a Work Package must satisfy before promotion toward production.</w:t>
      </w:r>
    </w:p>
    <w:p>
      <w:pPr>
        <w:spacing w:after="160"/>
      </w:pPr>
      <w:r>
        <w:rPr>
          <w:b w:val="false"/>
          <w:bCs w:val="false"/>
          <w:i w:val="false"/>
          <w:iCs w:val="false"/>
          <w:sz w:val="21"/>
          <w:szCs w:val="21"/>
        </w:rPr>
        <w:t xml:space="preserve">Scope: Cross-cutting, all active Portfolios.</w:t>
      </w:r>
    </w:p>
    <w:p>
      <w:pPr>
        <w:spacing w:after="160"/>
      </w:pPr>
      <w:r>
        <w:rPr>
          <w:b w:val="false"/>
          <w:bCs w:val="false"/>
          <w:i/>
          <w:iCs/>
          <w:sz w:val="21"/>
          <w:szCs w:val="21"/>
        </w:rPr>
        <w:t xml:space="preserve">Charter / Activation Status: Not Yet Realized. This body is described here as a target-state governance function the program is designed to grow into; its charter, membership, and operating cadence are not yet established.</w:t>
      </w:r>
    </w:p>
    <w:p>
      <w:pPr>
        <w:pStyle w:val="Heading1"/>
        <w:spacing w:after="160" w:before="320"/>
      </w:pPr>
      <w:r>
        <w:t xml:space="preserve">24. Production Governance</w:t>
      </w:r>
    </w:p>
    <w:p>
      <w:pPr>
        <w:spacing w:after="160"/>
      </w:pPr>
      <w:r>
        <w:rPr>
          <w:b w:val="false"/>
          <w:bCs w:val="false"/>
          <w:i w:val="false"/>
          <w:iCs w:val="false"/>
          <w:sz w:val="21"/>
          <w:szCs w:val="21"/>
        </w:rPr>
        <w:t xml:space="preserve">Owns production-readiness sign-off and post-release monitoring handback to Operations.</w:t>
      </w:r>
    </w:p>
    <w:p>
      <w:pPr>
        <w:spacing w:after="160"/>
      </w:pPr>
      <w:r>
        <w:rPr>
          <w:b w:val="false"/>
          <w:bCs w:val="false"/>
          <w:i w:val="false"/>
          <w:iCs w:val="false"/>
          <w:sz w:val="21"/>
          <w:szCs w:val="21"/>
        </w:rPr>
        <w:t xml:space="preserve">Scope: Cross-cutting; Portfolio 7 (Operations &amp; Observability) remains Reserved for Future Realization Phases and is not yet a governance participant.</w:t>
      </w:r>
    </w:p>
    <w:p>
      <w:pPr>
        <w:spacing w:after="160"/>
      </w:pPr>
      <w:r>
        <w:rPr>
          <w:b w:val="false"/>
          <w:bCs w:val="false"/>
          <w:i/>
          <w:iCs/>
          <w:sz w:val="21"/>
          <w:szCs w:val="21"/>
        </w:rPr>
        <w:t xml:space="preserve">Charter / Activation Status: Not Yet Realized. This body is described here as a target-state governance function the program is designed to grow into; its charter, membership, and operating cadence are not yet established.</w:t>
      </w:r>
    </w:p>
    <w:p>
      <w:pPr>
        <w:pStyle w:val="Heading1"/>
        <w:spacing w:after="160" w:before="320"/>
      </w:pPr>
      <w:r>
        <w:t xml:space="preserve">25. Change Control Principles</w:t>
      </w:r>
    </w:p>
    <w:p>
      <w:pPr>
        <w:pStyle w:val="ListParagraph"/>
        <w:numPr>
          <w:ilvl w:val="0"/>
          <w:numId w:val="1"/>
        </w:numPr>
        <w:spacing w:after="60"/>
      </w:pPr>
      <w:r>
        <w:rPr>
          <w:sz w:val="21"/>
          <w:szCs w:val="21"/>
        </w:rPr>
        <w:t xml:space="preserve">Any change to execution approach that stays within the boundaries of an existing AR/EGD/ER/VAR requires PMO and Engineering Leadership sign-off only.</w:t>
      </w:r>
    </w:p>
    <w:p>
      <w:pPr>
        <w:pStyle w:val="ListParagraph"/>
        <w:numPr>
          <w:ilvl w:val="0"/>
          <w:numId w:val="1"/>
        </w:numPr>
        <w:spacing w:after="60"/>
      </w:pPr>
      <w:r>
        <w:rPr>
          <w:sz w:val="21"/>
          <w:szCs w:val="21"/>
        </w:rPr>
        <w:t xml:space="preserve">Any change that would alter the meaning, scope, or applicability of an existing AR/EGD/ER/VAR is not a change ERP-02 has authority to make; it must be routed to the Enterprise Architecture Board and, if approved, handled through an ERP-01-class architecture process, not through ERP-02.</w:t>
      </w:r>
    </w:p>
    <w:p>
      <w:pPr>
        <w:pStyle w:val="ListParagraph"/>
        <w:numPr>
          <w:ilvl w:val="0"/>
          <w:numId w:val="1"/>
        </w:numPr>
        <w:spacing w:after="60"/>
      </w:pPr>
      <w:r>
        <w:rPr>
          <w:sz w:val="21"/>
          <w:szCs w:val="21"/>
        </w:rPr>
        <w:t xml:space="preserve">All change requests and their disposition are logged in the Execution Change Log (Section 33).</w:t>
      </w:r>
    </w:p>
    <w:p>
      <w:pPr>
        <w:pStyle w:val="Heading1"/>
        <w:spacing w:after="160" w:before="320"/>
      </w:pPr>
      <w:r>
        <w:t xml:space="preserve">26. Architecture Compliance Principles</w:t>
      </w:r>
    </w:p>
    <w:p>
      <w:pPr>
        <w:pStyle w:val="ListParagraph"/>
        <w:numPr>
          <w:ilvl w:val="0"/>
          <w:numId w:val="1"/>
        </w:numPr>
        <w:spacing w:after="60"/>
      </w:pPr>
      <w:r>
        <w:rPr>
          <w:sz w:val="21"/>
          <w:szCs w:val="21"/>
        </w:rPr>
        <w:t xml:space="preserve">Every Work Package execution activity must trace to at least one AR, EGD, ER, or VAR from the ERP-01 baseline before it may begin.</w:t>
      </w:r>
    </w:p>
    <w:p>
      <w:pPr>
        <w:pStyle w:val="ListParagraph"/>
        <w:numPr>
          <w:ilvl w:val="0"/>
          <w:numId w:val="1"/>
        </w:numPr>
        <w:spacing w:after="60"/>
      </w:pPr>
      <w:r>
        <w:rPr>
          <w:sz w:val="21"/>
          <w:szCs w:val="21"/>
        </w:rPr>
        <w:t xml:space="preserve">Architecture Conformance Plan (Section 6) criteria are binding on execution; they are not advisory.</w:t>
      </w:r>
    </w:p>
    <w:p>
      <w:pPr>
        <w:pStyle w:val="ListParagraph"/>
        <w:numPr>
          <w:ilvl w:val="0"/>
          <w:numId w:val="1"/>
        </w:numPr>
        <w:spacing w:after="60"/>
      </w:pPr>
      <w:r>
        <w:rPr>
          <w:sz w:val="21"/>
          <w:szCs w:val="21"/>
        </w:rPr>
        <w:t xml:space="preserve">Any execution activity that cannot be traced to an approved ERP-01 identifier is out of scope for ERP-02 until the correct architecture authority approves it.</w:t>
      </w:r>
    </w:p>
    <w:p>
      <w:pPr>
        <w:pStyle w:val="Heading1"/>
        <w:spacing w:after="160" w:before="320"/>
      </w:pPr>
      <w:r>
        <w:t xml:space="preserve">27. Traceability Principles</w:t>
      </w:r>
    </w:p>
    <w:p>
      <w:pPr>
        <w:spacing w:after="160"/>
      </w:pPr>
      <w:r>
        <w:rPr>
          <w:b w:val="false"/>
          <w:bCs w:val="false"/>
          <w:i w:val="false"/>
          <w:iCs w:val="false"/>
          <w:sz w:val="21"/>
          <w:szCs w:val="21"/>
        </w:rPr>
        <w:t xml:space="preserve">ERP-02 extends, and does not replace, the traceability chain validated in ERP-01A: Architecture Requirement → Enterprise Governance Decision → Enterprise Resolution/Variance → Work Package → Wave → Verification → Acceptance → Readiness → Executive Decision → Executive Scorecard. ERP-02 adds one further link — Execution Evidence — which must reference the specific Work Package and Wave it realizes and must not introduce a new identifier of its own.</w:t>
      </w:r>
    </w:p>
    <w:p>
      <w:pPr>
        <w:pStyle w:val="Heading1"/>
        <w:spacing w:after="160" w:before="320"/>
      </w:pPr>
      <w:r>
        <w:t xml:space="preserve">28. Evidence Management</w:t>
      </w:r>
    </w:p>
    <w:p>
      <w:pPr>
        <w:pStyle w:val="ListParagraph"/>
        <w:numPr>
          <w:ilvl w:val="0"/>
          <w:numId w:val="1"/>
        </w:numPr>
        <w:spacing w:after="60"/>
      </w:pPr>
      <w:r>
        <w:rPr>
          <w:sz w:val="21"/>
          <w:szCs w:val="21"/>
        </w:rPr>
        <w:t xml:space="preserve">Execution evidence is recorded only where it factually exists; absence of evidence is recorded as "Not Yet Realized," never inferred as partial completion.</w:t>
      </w:r>
    </w:p>
    <w:p>
      <w:pPr>
        <w:pStyle w:val="ListParagraph"/>
        <w:numPr>
          <w:ilvl w:val="0"/>
          <w:numId w:val="1"/>
        </w:numPr>
        <w:spacing w:after="60"/>
      </w:pPr>
      <w:r>
        <w:rPr>
          <w:sz w:val="21"/>
          <w:szCs w:val="21"/>
        </w:rPr>
        <w:t xml:space="preserve">Evidence artefacts (test results, verification records, acceptance sign-offs) are stored against the Work Package identifier they support and are not duplicated across repository locations, consistent with the duplicate-file finding raised in ERP-01A Section 7.</w:t>
      </w:r>
    </w:p>
    <w:p>
      <w:pPr>
        <w:pStyle w:val="ListParagraph"/>
        <w:numPr>
          <w:ilvl w:val="0"/>
          <w:numId w:val="1"/>
        </w:numPr>
        <w:spacing w:after="60"/>
      </w:pPr>
      <w:r>
        <w:rPr>
          <w:sz w:val="21"/>
          <w:szCs w:val="21"/>
        </w:rPr>
        <w:t xml:space="preserve">No execution evidence may be authored by the same role accountable for approving that evidence's sufficiency, preserving segregation of duties.</w:t>
      </w:r>
    </w:p>
    <w:p>
      <w:pPr>
        <w:pStyle w:val="Heading1"/>
        <w:spacing w:after="160" w:before="320"/>
      </w:pPr>
      <w:r>
        <w:t xml:space="preserve">29. Execution Audit Requirements</w:t>
      </w:r>
    </w:p>
    <w:p>
      <w:pPr>
        <w:spacing w:after="160"/>
      </w:pPr>
      <w:r>
        <w:rPr>
          <w:b w:val="false"/>
          <w:bCs w:val="false"/>
          <w:i w:val="false"/>
          <w:iCs w:val="false"/>
          <w:sz w:val="21"/>
          <w:szCs w:val="21"/>
        </w:rPr>
        <w:t xml:space="preserve">Execution audits verify that (a) reported Work Package status matches recorded evidence, (b) no architecture identifier has been altered, recreated, or silently reinterpreted, and (c) governance decisions were made by the authority defined in Section 11. Audit cadence and the audit body's charter are Reserved for Future Realization Phases pending activation of the Architecture Governance Board (Section 13).</w:t>
      </w:r>
    </w:p>
    <w:p>
      <w:pPr>
        <w:pStyle w:val="Heading1"/>
        <w:spacing w:after="160" w:before="320"/>
      </w:pPr>
      <w:r>
        <w:t xml:space="preserve">30. Program Reporting Requirements</w:t>
      </w:r>
    </w:p>
    <w:p>
      <w:pPr>
        <w:spacing w:after="160"/>
      </w:pPr>
      <w:r>
        <w:rPr>
          <w:b w:val="false"/>
          <w:bCs w:val="false"/>
          <w:i w:val="false"/>
          <w:iCs w:val="false"/>
          <w:sz w:val="21"/>
          <w:szCs w:val="21"/>
        </w:rPr>
        <w:t xml:space="preserve">Program status is reported using the same evidence-first classification vocabulary established in ERP-01: Validated, Partially Validated, Not Evidenced in Current Baseline / Not Yet Realized, and Reserved for Future Realization Phases. No ERP-02 report may state a Work Package is complete, in progress, or partially complete unless that status is directly supported by recorded evidence under Section 28.</w:t>
      </w:r>
    </w:p>
    <w:p>
      <w:pPr>
        <w:pStyle w:val="Heading1"/>
        <w:spacing w:after="160" w:before="320"/>
      </w:pPr>
      <w:r>
        <w:t xml:space="preserve">31. KPI Governance</w:t>
      </w:r>
    </w:p>
    <w:p>
      <w:pPr>
        <w:spacing w:after="160"/>
      </w:pPr>
      <w:r>
        <w:rPr>
          <w:b w:val="false"/>
          <w:bCs w:val="false"/>
          <w:i w:val="false"/>
          <w:iCs w:val="false"/>
          <w:sz w:val="21"/>
          <w:szCs w:val="21"/>
        </w:rPr>
        <w:t xml:space="preserve">ERP-02 reuses all ten ERP-01 KPIs (KPI-01–KPI-10) exactly as defined; it does not redefine, rescope, or add to the KPI catalog. This section governs how those KPIs are monitored during execution, not what they measure.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tblHeader/>
        </w:trPr>
        <w:tc>
          <w:tcPr>
            <w:tcW w:type="dxa" w:w="3000"/>
            <w:shd w:fill="1F3864" w:val="clear"/>
          </w:tcPr>
          <w:p>
            <w:r>
              <w:rPr>
                <w:b/>
                <w:bCs/>
                <w:color w:val="FFFFFF"/>
                <w:sz w:val="18"/>
                <w:szCs w:val="18"/>
              </w:rPr>
              <w:t xml:space="preserve">Governance Element</w:t>
            </w:r>
          </w:p>
        </w:tc>
        <w:tc>
          <w:tcPr>
            <w:tcW w:type="dxa" w:w="6100"/>
            <w:shd w:fill="1F3864" w:val="clear"/>
          </w:tcPr>
          <w:p>
            <w:r>
              <w:rPr>
                <w:b/>
                <w:bCs/>
                <w:color w:val="FFFFFF"/>
                <w:sz w:val="18"/>
                <w:szCs w:val="18"/>
              </w:rPr>
              <w:t xml:space="preserve">Definition</w:t>
            </w:r>
          </w:p>
        </w:tc>
      </w:tr>
      <w:tr>
        <w:tc>
          <w:tcPr>
            <w:tcW w:type="dxa" w:w="3000"/>
          </w:tcPr>
          <w:p>
            <w:r>
              <w:rPr>
                <w:b w:val="false"/>
                <w:bCs w:val="false"/>
                <w:sz w:val="18"/>
                <w:szCs w:val="18"/>
              </w:rPr>
              <w:t xml:space="preserve">KPI ownership</w:t>
            </w:r>
          </w:p>
        </w:tc>
        <w:tc>
          <w:tcPr>
            <w:tcW w:type="dxa" w:w="6100"/>
          </w:tcPr>
          <w:p>
            <w:r>
              <w:rPr>
                <w:b w:val="false"/>
                <w:bCs w:val="false"/>
                <w:sz w:val="18"/>
                <w:szCs w:val="18"/>
              </w:rPr>
              <w:t xml:space="preserve">Each KPI's monitoring owner is assigned per Section 9 role once staffed; unassigned as of this document</w:t>
            </w:r>
          </w:p>
        </w:tc>
      </w:tr>
      <w:tr>
        <w:tc>
          <w:tcPr>
            <w:tcW w:type="dxa" w:w="3000"/>
          </w:tcPr>
          <w:p>
            <w:r>
              <w:rPr>
                <w:b w:val="false"/>
                <w:bCs w:val="false"/>
                <w:sz w:val="18"/>
                <w:szCs w:val="18"/>
              </w:rPr>
              <w:t xml:space="preserve">Review cadence</w:t>
            </w:r>
          </w:p>
        </w:tc>
        <w:tc>
          <w:tcPr>
            <w:tcW w:type="dxa" w:w="6100"/>
          </w:tcPr>
          <w:p>
            <w:r>
              <w:rPr>
                <w:b w:val="false"/>
                <w:bCs w:val="false"/>
                <w:sz w:val="18"/>
                <w:szCs w:val="18"/>
              </w:rPr>
              <w:t xml:space="preserve">Reserved for Future Realization Phases — cadence depends on the Governance Meetings structure in Section 32, not yet chartered</w:t>
            </w:r>
          </w:p>
        </w:tc>
      </w:tr>
      <w:tr>
        <w:tc>
          <w:tcPr>
            <w:tcW w:type="dxa" w:w="3000"/>
          </w:tcPr>
          <w:p>
            <w:r>
              <w:rPr>
                <w:b w:val="false"/>
                <w:bCs w:val="false"/>
                <w:sz w:val="18"/>
                <w:szCs w:val="18"/>
              </w:rPr>
              <w:t xml:space="preserve">Escalation threshold</w:t>
            </w:r>
          </w:p>
        </w:tc>
        <w:tc>
          <w:tcPr>
            <w:tcW w:type="dxa" w:w="6100"/>
          </w:tcPr>
          <w:p>
            <w:r>
              <w:rPr>
                <w:b w:val="false"/>
                <w:bCs w:val="false"/>
                <w:sz w:val="18"/>
                <w:szCs w:val="18"/>
              </w:rPr>
              <w:t xml:space="preserve">Reserved for Future Realization Phases — thresholds require a chartered Architecture Governance Board (Section 13) to approve</w:t>
            </w:r>
          </w:p>
        </w:tc>
      </w:tr>
      <w:tr>
        <w:tc>
          <w:tcPr>
            <w:tcW w:type="dxa" w:w="3000"/>
          </w:tcPr>
          <w:p>
            <w:r>
              <w:rPr>
                <w:b w:val="false"/>
                <w:bCs w:val="false"/>
                <w:sz w:val="18"/>
                <w:szCs w:val="18"/>
              </w:rPr>
              <w:t xml:space="preserve">Reporting artefact</w:t>
            </w:r>
          </w:p>
        </w:tc>
        <w:tc>
          <w:tcPr>
            <w:tcW w:type="dxa" w:w="6100"/>
          </w:tcPr>
          <w:p>
            <w:r>
              <w:rPr>
                <w:b w:val="false"/>
                <w:bCs w:val="false"/>
                <w:sz w:val="18"/>
                <w:szCs w:val="18"/>
              </w:rPr>
              <w:t xml:space="preserve">Execution KPI Status Report, reusing KPI-01–KPI-10 identifiers exactly; format aligned to ERP-01 Section 10.2</w:t>
            </w:r>
          </w:p>
        </w:tc>
      </w:tr>
    </w:tbl>
    <w:p>
      <w:pPr>
        <w:pStyle w:val="Heading1"/>
        <w:spacing w:after="160" w:before="320"/>
      </w:pPr>
      <w:r>
        <w:t xml:space="preserve">32. Governance Meetings</w:t>
      </w:r>
    </w:p>
    <w:p>
      <w:pPr>
        <w:spacing w:after="160"/>
      </w:pPr>
      <w:r>
        <w:rPr>
          <w:b w:val="false"/>
          <w:bCs w:val="false"/>
          <w:i w:val="false"/>
          <w:iCs w:val="false"/>
          <w:sz w:val="21"/>
          <w:szCs w:val="21"/>
        </w:rPr>
        <w:t xml:space="preserve">The following meeting cadence is proposed as the governing structure once the bodies in Sections 13–24 are chartered. No meeting instance has yet occurred under ERP-02; cadence and attendance are Reserved for Future Realization Phases.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400"/>
        <w:gridCol w:w="1900"/>
      </w:tblGrid>
      <w:tr>
        <w:trPr>
          <w:tblHeader/>
        </w:trPr>
        <w:tc>
          <w:tcPr>
            <w:tcW w:type="dxa" w:w="2600"/>
            <w:shd w:fill="1F3864" w:val="clear"/>
          </w:tcPr>
          <w:p>
            <w:r>
              <w:rPr>
                <w:b/>
                <w:bCs/>
                <w:color w:val="FFFFFF"/>
                <w:sz w:val="18"/>
                <w:szCs w:val="18"/>
              </w:rPr>
              <w:t xml:space="preserve">Meeting</w:t>
            </w:r>
          </w:p>
        </w:tc>
        <w:tc>
          <w:tcPr>
            <w:tcW w:type="dxa" w:w="1900"/>
            <w:shd w:fill="1F3864" w:val="clear"/>
          </w:tcPr>
          <w:p>
            <w:r>
              <w:rPr>
                <w:b/>
                <w:bCs/>
                <w:color w:val="FFFFFF"/>
                <w:sz w:val="18"/>
                <w:szCs w:val="18"/>
              </w:rPr>
              <w:t xml:space="preserve">Proposed Cadence</w:t>
            </w:r>
          </w:p>
        </w:tc>
        <w:tc>
          <w:tcPr>
            <w:tcW w:type="dxa" w:w="2400"/>
            <w:shd w:fill="1F3864" w:val="clear"/>
          </w:tcPr>
          <w:p>
            <w:r>
              <w:rPr>
                <w:b/>
                <w:bCs/>
                <w:color w:val="FFFFFF"/>
                <w:sz w:val="18"/>
                <w:szCs w:val="18"/>
              </w:rPr>
              <w:t xml:space="preserve">Chaired By</w:t>
            </w:r>
          </w:p>
        </w:tc>
        <w:tc>
          <w:tcPr>
            <w:tcW w:type="dxa" w:w="1900"/>
            <w:shd w:fill="1F3864" w:val="clear"/>
          </w:tcPr>
          <w:p>
            <w:r>
              <w:rPr>
                <w:b/>
                <w:bCs/>
                <w:color w:val="FFFFFF"/>
                <w:sz w:val="18"/>
                <w:szCs w:val="18"/>
              </w:rPr>
              <w:t xml:space="preserve">Status</w:t>
            </w:r>
          </w:p>
        </w:tc>
      </w:tr>
      <w:tr>
        <w:tc>
          <w:tcPr>
            <w:tcW w:type="dxa" w:w="2600"/>
          </w:tcPr>
          <w:p>
            <w:r>
              <w:rPr>
                <w:b w:val="false"/>
                <w:bCs w:val="false"/>
                <w:sz w:val="18"/>
                <w:szCs w:val="18"/>
              </w:rPr>
              <w:t xml:space="preserve">Executive Steering Review</w:t>
            </w:r>
          </w:p>
        </w:tc>
        <w:tc>
          <w:tcPr>
            <w:tcW w:type="dxa" w:w="1900"/>
          </w:tcPr>
          <w:p>
            <w:r>
              <w:rPr>
                <w:b w:val="false"/>
                <w:bCs w:val="false"/>
                <w:sz w:val="18"/>
                <w:szCs w:val="18"/>
              </w:rPr>
              <w:t xml:space="preserve">Monthly</w:t>
            </w:r>
          </w:p>
        </w:tc>
        <w:tc>
          <w:tcPr>
            <w:tcW w:type="dxa" w:w="2400"/>
          </w:tcPr>
          <w:p>
            <w:r>
              <w:rPr>
                <w:b w:val="false"/>
                <w:bCs w:val="false"/>
                <w:sz w:val="18"/>
                <w:szCs w:val="18"/>
              </w:rPr>
              <w:t xml:space="preserve">Executive Steering Committee</w:t>
            </w:r>
          </w:p>
        </w:tc>
        <w:tc>
          <w:tcPr>
            <w:tcW w:type="dxa" w:w="1900"/>
            <w:shd w:fill="E7E6E6" w:val="clear"/>
          </w:tcPr>
          <w:p>
            <w:r>
              <w:rPr>
                <w:b w:val="false"/>
                <w:bCs w:val="false"/>
                <w:sz w:val="18"/>
                <w:szCs w:val="18"/>
              </w:rPr>
              <w:t xml:space="preserve">Reserved for Future Realization Phases</w:t>
            </w:r>
          </w:p>
        </w:tc>
      </w:tr>
      <w:tr>
        <w:tc>
          <w:tcPr>
            <w:tcW w:type="dxa" w:w="2600"/>
          </w:tcPr>
          <w:p>
            <w:r>
              <w:rPr>
                <w:b w:val="false"/>
                <w:bCs w:val="false"/>
                <w:sz w:val="18"/>
                <w:szCs w:val="18"/>
              </w:rPr>
              <w:t xml:space="preserve">Architecture Compliance Review</w:t>
            </w:r>
          </w:p>
        </w:tc>
        <w:tc>
          <w:tcPr>
            <w:tcW w:type="dxa" w:w="1900"/>
          </w:tcPr>
          <w:p>
            <w:r>
              <w:rPr>
                <w:b w:val="false"/>
                <w:bCs w:val="false"/>
                <w:sz w:val="18"/>
                <w:szCs w:val="18"/>
              </w:rPr>
              <w:t xml:space="preserve">Bi-weekly</w:t>
            </w:r>
          </w:p>
        </w:tc>
        <w:tc>
          <w:tcPr>
            <w:tcW w:type="dxa" w:w="2400"/>
          </w:tcPr>
          <w:p>
            <w:r>
              <w:rPr>
                <w:b w:val="false"/>
                <w:bCs w:val="false"/>
                <w:sz w:val="18"/>
                <w:szCs w:val="18"/>
              </w:rPr>
              <w:t xml:space="preserve">Enterprise Architecture Board</w:t>
            </w:r>
          </w:p>
        </w:tc>
        <w:tc>
          <w:tcPr>
            <w:tcW w:type="dxa" w:w="1900"/>
            <w:shd w:fill="E7E6E6" w:val="clear"/>
          </w:tcPr>
          <w:p>
            <w:r>
              <w:rPr>
                <w:b w:val="false"/>
                <w:bCs w:val="false"/>
                <w:sz w:val="18"/>
                <w:szCs w:val="18"/>
              </w:rPr>
              <w:t xml:space="preserve">Reserved for Future Realization Phases</w:t>
            </w:r>
          </w:p>
        </w:tc>
      </w:tr>
      <w:tr>
        <w:tc>
          <w:tcPr>
            <w:tcW w:type="dxa" w:w="2600"/>
          </w:tcPr>
          <w:p>
            <w:r>
              <w:rPr>
                <w:b w:val="false"/>
                <w:bCs w:val="false"/>
                <w:sz w:val="18"/>
                <w:szCs w:val="18"/>
              </w:rPr>
              <w:t xml:space="preserve">Program Status Review</w:t>
            </w:r>
          </w:p>
        </w:tc>
        <w:tc>
          <w:tcPr>
            <w:tcW w:type="dxa" w:w="1900"/>
          </w:tcPr>
          <w:p>
            <w:r>
              <w:rPr>
                <w:b w:val="false"/>
                <w:bCs w:val="false"/>
                <w:sz w:val="18"/>
                <w:szCs w:val="18"/>
              </w:rPr>
              <w:t xml:space="preserve">Weekly</w:t>
            </w:r>
          </w:p>
        </w:tc>
        <w:tc>
          <w:tcPr>
            <w:tcW w:type="dxa" w:w="2400"/>
          </w:tcPr>
          <w:p>
            <w:r>
              <w:rPr>
                <w:b w:val="false"/>
                <w:bCs w:val="false"/>
                <w:sz w:val="18"/>
                <w:szCs w:val="18"/>
              </w:rPr>
              <w:t xml:space="preserve">PMO</w:t>
            </w:r>
          </w:p>
        </w:tc>
        <w:tc>
          <w:tcPr>
            <w:tcW w:type="dxa" w:w="1900"/>
            <w:shd w:fill="E7E6E6" w:val="clear"/>
          </w:tcPr>
          <w:p>
            <w:r>
              <w:rPr>
                <w:b w:val="false"/>
                <w:bCs w:val="false"/>
                <w:sz w:val="18"/>
                <w:szCs w:val="18"/>
              </w:rPr>
              <w:t xml:space="preserve">Reserved for Future Realization Phases</w:t>
            </w:r>
          </w:p>
        </w:tc>
      </w:tr>
      <w:tr>
        <w:tc>
          <w:tcPr>
            <w:tcW w:type="dxa" w:w="2600"/>
          </w:tcPr>
          <w:p>
            <w:r>
              <w:rPr>
                <w:b w:val="false"/>
                <w:bCs w:val="false"/>
                <w:sz w:val="18"/>
                <w:szCs w:val="18"/>
              </w:rPr>
              <w:t xml:space="preserve">Wave Delivery Standup</w:t>
            </w:r>
          </w:p>
        </w:tc>
        <w:tc>
          <w:tcPr>
            <w:tcW w:type="dxa" w:w="1900"/>
          </w:tcPr>
          <w:p>
            <w:r>
              <w:rPr>
                <w:b w:val="false"/>
                <w:bCs w:val="false"/>
                <w:sz w:val="18"/>
                <w:szCs w:val="18"/>
              </w:rPr>
              <w:t xml:space="preserve">Weekly, per active Wave</w:t>
            </w:r>
          </w:p>
        </w:tc>
        <w:tc>
          <w:tcPr>
            <w:tcW w:type="dxa" w:w="2400"/>
          </w:tcPr>
          <w:p>
            <w:r>
              <w:rPr>
                <w:b w:val="false"/>
                <w:bCs w:val="false"/>
                <w:sz w:val="18"/>
                <w:szCs w:val="18"/>
              </w:rPr>
              <w:t xml:space="preserve">Delivery Manager</w:t>
            </w:r>
          </w:p>
        </w:tc>
        <w:tc>
          <w:tcPr>
            <w:tcW w:type="dxa" w:w="1900"/>
            <w:shd w:fill="E7E6E6" w:val="clear"/>
          </w:tcPr>
          <w:p>
            <w:r>
              <w:rPr>
                <w:b w:val="false"/>
                <w:bCs w:val="false"/>
                <w:sz w:val="18"/>
                <w:szCs w:val="18"/>
              </w:rPr>
              <w:t xml:space="preserve">Reserved for Future Realization Phases</w:t>
            </w:r>
          </w:p>
        </w:tc>
      </w:tr>
      <w:tr>
        <w:tc>
          <w:tcPr>
            <w:tcW w:type="dxa" w:w="2600"/>
          </w:tcPr>
          <w:p>
            <w:r>
              <w:rPr>
                <w:b w:val="false"/>
                <w:bCs w:val="false"/>
                <w:sz w:val="18"/>
                <w:szCs w:val="18"/>
              </w:rPr>
              <w:t xml:space="preserve">Risk &amp; Compliance Review</w:t>
            </w:r>
          </w:p>
        </w:tc>
        <w:tc>
          <w:tcPr>
            <w:tcW w:type="dxa" w:w="1900"/>
          </w:tcPr>
          <w:p>
            <w:r>
              <w:rPr>
                <w:b w:val="false"/>
                <w:bCs w:val="false"/>
                <w:sz w:val="18"/>
                <w:szCs w:val="18"/>
              </w:rPr>
              <w:t xml:space="preserve">Monthly</w:t>
            </w:r>
          </w:p>
        </w:tc>
        <w:tc>
          <w:tcPr>
            <w:tcW w:type="dxa" w:w="2400"/>
          </w:tcPr>
          <w:p>
            <w:r>
              <w:rPr>
                <w:b w:val="false"/>
                <w:bCs w:val="false"/>
                <w:sz w:val="18"/>
                <w:szCs w:val="18"/>
              </w:rPr>
              <w:t xml:space="preserve">Risk Governance / Compliance Governance</w:t>
            </w:r>
          </w:p>
        </w:tc>
        <w:tc>
          <w:tcPr>
            <w:tcW w:type="dxa" w:w="1900"/>
            <w:shd w:fill="E7E6E6" w:val="clear"/>
          </w:tcPr>
          <w:p>
            <w:r>
              <w:rPr>
                <w:b w:val="false"/>
                <w:bCs w:val="false"/>
                <w:sz w:val="18"/>
                <w:szCs w:val="18"/>
              </w:rPr>
              <w:t xml:space="preserve">Reserved for Future Realization Phases</w:t>
            </w:r>
          </w:p>
        </w:tc>
      </w:tr>
    </w:tbl>
    <w:p>
      <w:pPr>
        <w:pStyle w:val="Heading1"/>
        <w:spacing w:after="160" w:before="320"/>
      </w:pPr>
      <w:r>
        <w:t xml:space="preserve">33. Governance Artefacts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4900"/>
        <w:gridCol w:w="1400"/>
      </w:tblGrid>
      <w:tr>
        <w:trPr>
          <w:tblHeader/>
        </w:trPr>
        <w:tc>
          <w:tcPr>
            <w:tcW w:type="dxa" w:w="2700"/>
            <w:shd w:fill="1F3864" w:val="clear"/>
          </w:tcPr>
          <w:p>
            <w:r>
              <w:rPr>
                <w:b/>
                <w:bCs/>
                <w:color w:val="FFFFFF"/>
                <w:sz w:val="18"/>
                <w:szCs w:val="18"/>
              </w:rPr>
              <w:t xml:space="preserve">Artefact</w:t>
            </w:r>
          </w:p>
        </w:tc>
        <w:tc>
          <w:tcPr>
            <w:tcW w:type="dxa" w:w="4900"/>
            <w:shd w:fill="1F3864" w:val="clear"/>
          </w:tcPr>
          <w:p>
            <w:r>
              <w:rPr>
                <w:b/>
                <w:bCs/>
                <w:color w:val="FFFFFF"/>
                <w:sz w:val="18"/>
                <w:szCs w:val="18"/>
              </w:rPr>
              <w:t xml:space="preserve">Purpose</w:t>
            </w:r>
          </w:p>
        </w:tc>
        <w:tc>
          <w:tcPr>
            <w:tcW w:type="dxa" w:w="1400"/>
            <w:shd w:fill="1F3864" w:val="clear"/>
          </w:tcPr>
          <w:p>
            <w:r>
              <w:rPr>
                <w:b/>
                <w:bCs/>
                <w:color w:val="FFFFFF"/>
                <w:sz w:val="18"/>
                <w:szCs w:val="18"/>
              </w:rPr>
              <w:t xml:space="preserve">Status</w:t>
            </w:r>
          </w:p>
        </w:tc>
      </w:tr>
      <w:tr>
        <w:tc>
          <w:tcPr>
            <w:tcW w:type="dxa" w:w="2700"/>
          </w:tcPr>
          <w:p>
            <w:r>
              <w:rPr>
                <w:b w:val="false"/>
                <w:bCs w:val="false"/>
                <w:sz w:val="18"/>
                <w:szCs w:val="18"/>
              </w:rPr>
              <w:t xml:space="preserve">Execution Change Log</w:t>
            </w:r>
          </w:p>
        </w:tc>
        <w:tc>
          <w:tcPr>
            <w:tcW w:type="dxa" w:w="4900"/>
          </w:tcPr>
          <w:p>
            <w:r>
              <w:rPr>
                <w:b w:val="false"/>
                <w:bCs w:val="false"/>
                <w:sz w:val="18"/>
                <w:szCs w:val="18"/>
              </w:rPr>
              <w:t xml:space="preserve">Records all execution-approach changes and their disposition under Section 25</w:t>
            </w:r>
          </w:p>
        </w:tc>
        <w:tc>
          <w:tcPr>
            <w:tcW w:type="dxa" w:w="1400"/>
            <w:shd w:fill="F5D6D6" w:val="clear"/>
          </w:tcPr>
          <w:p>
            <w:r>
              <w:rPr>
                <w:b w:val="false"/>
                <w:bCs w:val="false"/>
                <w:sz w:val="18"/>
                <w:szCs w:val="18"/>
              </w:rPr>
              <w:t xml:space="preserve">Not Yet Realized</w:t>
            </w:r>
          </w:p>
        </w:tc>
      </w:tr>
      <w:tr>
        <w:tc>
          <w:tcPr>
            <w:tcW w:type="dxa" w:w="2700"/>
          </w:tcPr>
          <w:p>
            <w:r>
              <w:rPr>
                <w:b w:val="false"/>
                <w:bCs w:val="false"/>
                <w:sz w:val="18"/>
                <w:szCs w:val="18"/>
              </w:rPr>
              <w:t xml:space="preserve">Execution KPI Status Report</w:t>
            </w:r>
          </w:p>
        </w:tc>
        <w:tc>
          <w:tcPr>
            <w:tcW w:type="dxa" w:w="4900"/>
          </w:tcPr>
          <w:p>
            <w:r>
              <w:rPr>
                <w:b w:val="false"/>
                <w:bCs w:val="false"/>
                <w:sz w:val="18"/>
                <w:szCs w:val="18"/>
              </w:rPr>
              <w:t xml:space="preserve">Reports KPI-01–KPI-10 against execution progress</w:t>
            </w:r>
          </w:p>
        </w:tc>
        <w:tc>
          <w:tcPr>
            <w:tcW w:type="dxa" w:w="1400"/>
            <w:shd w:fill="F5D6D6" w:val="clear"/>
          </w:tcPr>
          <w:p>
            <w:r>
              <w:rPr>
                <w:b w:val="false"/>
                <w:bCs w:val="false"/>
                <w:sz w:val="18"/>
                <w:szCs w:val="18"/>
              </w:rPr>
              <w:t xml:space="preserve">Not Yet Realized</w:t>
            </w:r>
          </w:p>
        </w:tc>
      </w:tr>
      <w:tr>
        <w:tc>
          <w:tcPr>
            <w:tcW w:type="dxa" w:w="2700"/>
          </w:tcPr>
          <w:p>
            <w:r>
              <w:rPr>
                <w:b w:val="false"/>
                <w:bCs w:val="false"/>
                <w:sz w:val="18"/>
                <w:szCs w:val="18"/>
              </w:rPr>
              <w:t xml:space="preserve">Execution Risk Register</w:t>
            </w:r>
          </w:p>
        </w:tc>
        <w:tc>
          <w:tcPr>
            <w:tcW w:type="dxa" w:w="4900"/>
          </w:tcPr>
          <w:p>
            <w:r>
              <w:rPr>
                <w:b w:val="false"/>
                <w:bCs w:val="false"/>
                <w:sz w:val="18"/>
                <w:szCs w:val="18"/>
              </w:rPr>
              <w:t xml:space="preserve">Extends ERP-01 Section 8 with execution-phase risk items</w:t>
            </w:r>
          </w:p>
        </w:tc>
        <w:tc>
          <w:tcPr>
            <w:tcW w:type="dxa" w:w="1400"/>
            <w:shd w:fill="F5D6D6" w:val="clear"/>
          </w:tcPr>
          <w:p>
            <w:r>
              <w:rPr>
                <w:b w:val="false"/>
                <w:bCs w:val="false"/>
                <w:sz w:val="18"/>
                <w:szCs w:val="18"/>
              </w:rPr>
              <w:t xml:space="preserve">Not Yet Realized</w:t>
            </w:r>
          </w:p>
        </w:tc>
      </w:tr>
      <w:tr>
        <w:tc>
          <w:tcPr>
            <w:tcW w:type="dxa" w:w="2700"/>
          </w:tcPr>
          <w:p>
            <w:r>
              <w:rPr>
                <w:b w:val="false"/>
                <w:bCs w:val="false"/>
                <w:sz w:val="18"/>
                <w:szCs w:val="18"/>
              </w:rPr>
              <w:t xml:space="preserve">Execution Evidence Log</w:t>
            </w:r>
          </w:p>
        </w:tc>
        <w:tc>
          <w:tcPr>
            <w:tcW w:type="dxa" w:w="4900"/>
          </w:tcPr>
          <w:p>
            <w:r>
              <w:rPr>
                <w:b w:val="false"/>
                <w:bCs w:val="false"/>
                <w:sz w:val="18"/>
                <w:szCs w:val="18"/>
              </w:rPr>
              <w:t xml:space="preserve">Central index of Work-Package-level evidence artefacts under Section 28</w:t>
            </w:r>
          </w:p>
        </w:tc>
        <w:tc>
          <w:tcPr>
            <w:tcW w:type="dxa" w:w="1400"/>
            <w:shd w:fill="F5D6D6" w:val="clear"/>
          </w:tcPr>
          <w:p>
            <w:r>
              <w:rPr>
                <w:b w:val="false"/>
                <w:bCs w:val="false"/>
                <w:sz w:val="18"/>
                <w:szCs w:val="18"/>
              </w:rPr>
              <w:t xml:space="preserve">Not Yet Realized</w:t>
            </w:r>
          </w:p>
        </w:tc>
      </w:tr>
      <w:tr>
        <w:tc>
          <w:tcPr>
            <w:tcW w:type="dxa" w:w="2700"/>
          </w:tcPr>
          <w:p>
            <w:r>
              <w:rPr>
                <w:b w:val="false"/>
                <w:bCs w:val="false"/>
                <w:sz w:val="18"/>
                <w:szCs w:val="18"/>
              </w:rPr>
              <w:t xml:space="preserve">Decision Log</w:t>
            </w:r>
          </w:p>
        </w:tc>
        <w:tc>
          <w:tcPr>
            <w:tcW w:type="dxa" w:w="4900"/>
          </w:tcPr>
          <w:p>
            <w:r>
              <w:rPr>
                <w:b w:val="false"/>
                <w:bCs w:val="false"/>
                <w:sz w:val="18"/>
                <w:szCs w:val="18"/>
              </w:rPr>
              <w:t xml:space="preserve">Records decisions made under the Section 11 Decision Authority Matrix</w:t>
            </w:r>
          </w:p>
        </w:tc>
        <w:tc>
          <w:tcPr>
            <w:tcW w:type="dxa" w:w="1400"/>
            <w:shd w:fill="F5D6D6" w:val="clear"/>
          </w:tcPr>
          <w:p>
            <w:r>
              <w:rPr>
                <w:b w:val="false"/>
                <w:bCs w:val="false"/>
                <w:sz w:val="18"/>
                <w:szCs w:val="18"/>
              </w:rPr>
              <w:t xml:space="preserve">Not Yet Realized</w:t>
            </w:r>
          </w:p>
        </w:tc>
      </w:tr>
    </w:tbl>
    <w:p>
      <w:pPr>
        <w:pStyle w:val="Heading1"/>
        <w:spacing w:after="160" w:before="320"/>
      </w:pPr>
      <w:r>
        <w:t xml:space="preserve">34. Repository Governance</w:t>
      </w:r>
    </w:p>
    <w:p>
      <w:pPr>
        <w:pStyle w:val="ListParagraph"/>
        <w:numPr>
          <w:ilvl w:val="0"/>
          <w:numId w:val="1"/>
        </w:numPr>
        <w:spacing w:after="60"/>
      </w:pPr>
      <w:r>
        <w:rPr>
          <w:sz w:val="21"/>
          <w:szCs w:val="21"/>
        </w:rPr>
        <w:t xml:space="preserve">All ERP-02 documents are stored under the same approved-baseline repository structure as ERP-01, not a parallel location.</w:t>
      </w:r>
    </w:p>
    <w:p>
      <w:pPr>
        <w:pStyle w:val="ListParagraph"/>
        <w:numPr>
          <w:ilvl w:val="0"/>
          <w:numId w:val="1"/>
        </w:numPr>
        <w:spacing w:after="60"/>
      </w:pPr>
      <w:r>
        <w:rPr>
          <w:sz w:val="21"/>
          <w:szCs w:val="21"/>
        </w:rPr>
        <w:t xml:space="preserve">ERP-02 inherits the repository-hygiene recommendations raised in ERP-01A Sections 7 and 9: no duplicate copies of a canonical document at two paths, and no superseded predecessor document retained without an explicit archival marker.</w:t>
      </w:r>
    </w:p>
    <w:p>
      <w:pPr>
        <w:pStyle w:val="ListParagraph"/>
        <w:numPr>
          <w:ilvl w:val="0"/>
          <w:numId w:val="1"/>
        </w:numPr>
        <w:spacing w:after="60"/>
      </w:pPr>
      <w:r>
        <w:rPr>
          <w:sz w:val="21"/>
          <w:szCs w:val="21"/>
        </w:rPr>
        <w:t xml:space="preserve">Every ERP-02 document is version-labeled and status-labeled using the same convention as ERP-01 ("Version X.Y | Status: …").</w:t>
      </w:r>
    </w:p>
    <w:p>
      <w:pPr>
        <w:pStyle w:val="Heading1"/>
        <w:spacing w:after="160" w:before="320"/>
      </w:pPr>
      <w:r>
        <w:t xml:space="preserve">35. Documentation Governance</w:t>
      </w:r>
    </w:p>
    <w:p>
      <w:pPr>
        <w:pStyle w:val="ListParagraph"/>
        <w:numPr>
          <w:ilvl w:val="0"/>
          <w:numId w:val="1"/>
        </w:numPr>
        <w:spacing w:after="60"/>
      </w:pPr>
      <w:r>
        <w:rPr>
          <w:sz w:val="21"/>
          <w:szCs w:val="21"/>
        </w:rPr>
        <w:t xml:space="preserve">Every ERP-02 document states, at minimum, its relationship to ERP-01/ERP-01A, its scope, and which ERP-01 identifiers it reuses.</w:t>
      </w:r>
    </w:p>
    <w:p>
      <w:pPr>
        <w:pStyle w:val="ListParagraph"/>
        <w:numPr>
          <w:ilvl w:val="0"/>
          <w:numId w:val="1"/>
        </w:numPr>
        <w:spacing w:after="60"/>
      </w:pPr>
      <w:r>
        <w:rPr>
          <w:sz w:val="21"/>
          <w:szCs w:val="21"/>
        </w:rPr>
        <w:t xml:space="preserve">No ERP-02 document may introduce a new AR, EGD, ER, VAR, WP, Portfolio, Wave, or KPI identifier; doing so is a documentation-governance violation requiring immediate correction.</w:t>
      </w:r>
    </w:p>
    <w:p>
      <w:pPr>
        <w:pStyle w:val="ListParagraph"/>
        <w:numPr>
          <w:ilvl w:val="0"/>
          <w:numId w:val="1"/>
        </w:numPr>
        <w:spacing w:after="60"/>
      </w:pPr>
      <w:r>
        <w:rPr>
          <w:sz w:val="21"/>
          <w:szCs w:val="21"/>
        </w:rPr>
        <w:t xml:space="preserve">Terminology (Validated / Partially Validated / Not Evidenced / Not Yet Realized / Reserved for Future Realization Phases) is used consistently across all ERP-02 documents.</w:t>
      </w:r>
    </w:p>
    <w:p>
      <w:pPr>
        <w:pStyle w:val="Heading1"/>
        <w:spacing w:after="160" w:before="320"/>
      </w:pPr>
      <w:r>
        <w:t xml:space="preserve">36. Review and Approval Process</w:t>
      </w:r>
    </w:p>
    <w:p>
      <w:pPr>
        <w:spacing w:after="160"/>
      </w:pPr>
      <w:r>
        <w:rPr>
          <w:b w:val="false"/>
          <w:bCs w:val="false"/>
          <w:i w:val="false"/>
          <w:iCs w:val="false"/>
          <w:sz w:val="21"/>
          <w:szCs w:val="21"/>
        </w:rPr>
        <w:t xml:space="preserve">Each ERP-02 document is reviewed by the Enterprise Architecture Board for architecture-compliance and by PMO for execution-governance consistency before status can move from DRAFT FOR REVIEW to APPROVED. Both review functions are Not Yet Realized as of this document, pending the charter and staffing actions tracked in Section 38.</w:t>
      </w:r>
    </w:p>
    <w:p>
      <w:pPr>
        <w:pStyle w:val="Heading1"/>
        <w:spacing w:after="160" w:before="320"/>
      </w:pPr>
      <w:r>
        <w:t xml:space="preserve">37. Governance Lifecycle</w:t>
      </w:r>
    </w:p>
    <w:p>
      <w:pPr>
        <w:spacing w:after="160"/>
      </w:pPr>
      <w:r>
        <w:rPr>
          <w:b w:val="false"/>
          <w:bCs w:val="false"/>
          <w:i w:val="false"/>
          <w:iCs w:val="false"/>
          <w:sz w:val="21"/>
          <w:szCs w:val="21"/>
        </w:rPr>
        <w:t xml:space="preserve">This framework itself moves through the same lifecycle it defines for execution artefacts: DRAFT FOR REVIEW → reviewed → approved → in force. It becomes in force only once the Section 38 exit criteria are met. Until then, all governance bodies, roles, and cadences described in this document are target-state and Not Yet Realized.</w:t>
      </w:r>
    </w:p>
    <w:p>
      <w:pPr>
        <w:pStyle w:val="Heading1"/>
        <w:spacing w:after="160" w:before="320"/>
      </w:pPr>
      <w:r>
        <w:t xml:space="preserve">38. Exit Criteria for Phase A</w:t>
      </w:r>
    </w:p>
    <w:p>
      <w:pPr>
        <w:spacing w:after="160"/>
      </w:pPr>
      <w:r>
        <w:rPr>
          <w:b w:val="false"/>
          <w:bCs w:val="false"/>
          <w:i w:val="false"/>
          <w:iCs w:val="false"/>
          <w:sz w:val="21"/>
          <w:szCs w:val="21"/>
        </w:rPr>
        <w:t xml:space="preserve">ERP-02 Phase A is complete, and execution may begin under this framework, only once all of the following are evidenced: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800"/>
        <w:gridCol w:w="2300"/>
      </w:tblGrid>
      <w:tr>
        <w:trPr>
          <w:tblHeader/>
        </w:trPr>
        <w:tc>
          <w:tcPr>
            <w:tcW w:type="dxa" w:w="6800"/>
            <w:shd w:fill="1F3864" w:val="clear"/>
          </w:tcPr>
          <w:p>
            <w:r>
              <w:rPr>
                <w:b/>
                <w:bCs/>
                <w:color w:val="FFFFFF"/>
                <w:sz w:val="18"/>
                <w:szCs w:val="18"/>
              </w:rPr>
              <w:t xml:space="preserve">Exit Criterion</w:t>
            </w:r>
          </w:p>
        </w:tc>
        <w:tc>
          <w:tcPr>
            <w:tcW w:type="dxa" w:w="2300"/>
            <w:shd w:fill="1F3864" w:val="clear"/>
          </w:tcPr>
          <w:p>
            <w:r>
              <w:rPr>
                <w:b/>
                <w:bCs/>
                <w:color w:val="FFFFFF"/>
                <w:sz w:val="18"/>
                <w:szCs w:val="18"/>
              </w:rPr>
              <w:t xml:space="preserve">Status</w:t>
            </w:r>
          </w:p>
        </w:tc>
      </w:tr>
      <w:tr>
        <w:tc>
          <w:tcPr>
            <w:tcW w:type="dxa" w:w="6800"/>
          </w:tcPr>
          <w:p>
            <w:r>
              <w:rPr>
                <w:b w:val="false"/>
                <w:bCs w:val="false"/>
                <w:sz w:val="18"/>
                <w:szCs w:val="18"/>
              </w:rPr>
              <w:t xml:space="preserve">Named, accountable owners assigned to all nine ERP-01 Enterprise Governance Decisions (closing AP-009)</w:t>
            </w:r>
          </w:p>
        </w:tc>
        <w:tc>
          <w:tcPr>
            <w:tcW w:type="dxa" w:w="2300"/>
            <w:shd w:fill="F5D6D6" w:val="clear"/>
          </w:tcPr>
          <w:p>
            <w:r>
              <w:rPr>
                <w:b w:val="false"/>
                <w:bCs w:val="false"/>
                <w:sz w:val="18"/>
                <w:szCs w:val="18"/>
              </w:rPr>
              <w:t xml:space="preserve">Not Yet Realized</w:t>
            </w:r>
          </w:p>
        </w:tc>
      </w:tr>
      <w:tr>
        <w:tc>
          <w:tcPr>
            <w:tcW w:type="dxa" w:w="6800"/>
          </w:tcPr>
          <w:p>
            <w:r>
              <w:rPr>
                <w:b w:val="false"/>
                <w:bCs w:val="false"/>
                <w:sz w:val="18"/>
                <w:szCs w:val="18"/>
              </w:rPr>
              <w:t xml:space="preserve">Architecture Governance Board chartered and staffed</w:t>
            </w:r>
          </w:p>
        </w:tc>
        <w:tc>
          <w:tcPr>
            <w:tcW w:type="dxa" w:w="2300"/>
            <w:shd w:fill="F5D6D6" w:val="clear"/>
          </w:tcPr>
          <w:p>
            <w:r>
              <w:rPr>
                <w:b w:val="false"/>
                <w:bCs w:val="false"/>
                <w:sz w:val="18"/>
                <w:szCs w:val="18"/>
              </w:rPr>
              <w:t xml:space="preserve">Not Yet Realized</w:t>
            </w:r>
          </w:p>
        </w:tc>
      </w:tr>
      <w:tr>
        <w:tc>
          <w:tcPr>
            <w:tcW w:type="dxa" w:w="6800"/>
          </w:tcPr>
          <w:p>
            <w:r>
              <w:rPr>
                <w:b w:val="false"/>
                <w:bCs w:val="false"/>
                <w:sz w:val="18"/>
                <w:szCs w:val="18"/>
              </w:rPr>
              <w:t xml:space="preserve">PMO Governance function staffed and reporting cadence agreed</w:t>
            </w:r>
          </w:p>
        </w:tc>
        <w:tc>
          <w:tcPr>
            <w:tcW w:type="dxa" w:w="2300"/>
            <w:shd w:fill="F5D6D6" w:val="clear"/>
          </w:tcPr>
          <w:p>
            <w:r>
              <w:rPr>
                <w:b w:val="false"/>
                <w:bCs w:val="false"/>
                <w:sz w:val="18"/>
                <w:szCs w:val="18"/>
              </w:rPr>
              <w:t xml:space="preserve">Not Yet Realized</w:t>
            </w:r>
          </w:p>
        </w:tc>
      </w:tr>
      <w:tr>
        <w:tc>
          <w:tcPr>
            <w:tcW w:type="dxa" w:w="6800"/>
          </w:tcPr>
          <w:p>
            <w:r>
              <w:rPr>
                <w:b w:val="false"/>
                <w:bCs w:val="false"/>
                <w:sz w:val="18"/>
                <w:szCs w:val="18"/>
              </w:rPr>
              <w:t xml:space="preserve">Decision Authority Matrix (Section 11) formally accepted by all named roles</w:t>
            </w:r>
          </w:p>
        </w:tc>
        <w:tc>
          <w:tcPr>
            <w:tcW w:type="dxa" w:w="2300"/>
            <w:shd w:fill="F5D6D6" w:val="clear"/>
          </w:tcPr>
          <w:p>
            <w:r>
              <w:rPr>
                <w:b w:val="false"/>
                <w:bCs w:val="false"/>
                <w:sz w:val="18"/>
                <w:szCs w:val="18"/>
              </w:rPr>
              <w:t xml:space="preserve">Not Yet Realized</w:t>
            </w:r>
          </w:p>
        </w:tc>
      </w:tr>
      <w:tr>
        <w:tc>
          <w:tcPr>
            <w:tcW w:type="dxa" w:w="6800"/>
          </w:tcPr>
          <w:p>
            <w:r>
              <w:rPr>
                <w:b w:val="false"/>
                <w:bCs w:val="false"/>
                <w:sz w:val="18"/>
                <w:szCs w:val="18"/>
              </w:rPr>
              <w:t xml:space="preserve">Escalation Model (Section 12) response-time targets agreed</w:t>
            </w:r>
          </w:p>
        </w:tc>
        <w:tc>
          <w:tcPr>
            <w:tcW w:type="dxa" w:w="2300"/>
            <w:shd w:fill="F5D6D6" w:val="clear"/>
          </w:tcPr>
          <w:p>
            <w:r>
              <w:rPr>
                <w:b w:val="false"/>
                <w:bCs w:val="false"/>
                <w:sz w:val="18"/>
                <w:szCs w:val="18"/>
              </w:rPr>
              <w:t xml:space="preserve">Not Yet Realized</w:t>
            </w:r>
          </w:p>
        </w:tc>
      </w:tr>
      <w:tr>
        <w:tc>
          <w:tcPr>
            <w:tcW w:type="dxa" w:w="6800"/>
          </w:tcPr>
          <w:p>
            <w:r>
              <w:rPr>
                <w:b w:val="false"/>
                <w:bCs w:val="false"/>
                <w:sz w:val="18"/>
                <w:szCs w:val="18"/>
              </w:rPr>
              <w:t xml:space="preserve">ERP-01A duplicate-file and superseded-document findings dispositioned (archived or removed)</w:t>
            </w:r>
          </w:p>
        </w:tc>
        <w:tc>
          <w:tcPr>
            <w:tcW w:type="dxa" w:w="2300"/>
            <w:shd w:fill="F5D6D6" w:val="clear"/>
          </w:tcPr>
          <w:p>
            <w:r>
              <w:rPr>
                <w:b w:val="false"/>
                <w:bCs w:val="false"/>
                <w:sz w:val="18"/>
                <w:szCs w:val="18"/>
              </w:rPr>
              <w:t xml:space="preserve">Not Yet Realized</w:t>
            </w:r>
          </w:p>
        </w:tc>
      </w:tr>
    </w:tbl>
    <w:p>
      <w:pPr>
        <w:spacing w:after="160"/>
      </w:pPr>
      <w:r>
        <w:rPr>
          <w:b w:val="false"/>
          <w:bCs w:val="false"/>
          <w:i/>
          <w:iCs/>
          <w:sz w:val="21"/>
          <w:szCs w:val="21"/>
        </w:rPr>
        <w:t xml:space="preserve">This document does not itself satisfy these criteria; it defines them. Phase A remains open until each row above can be truthfully re-stated as Validated in a future ERP-02 status document.</w:t>
      </w:r>
    </w:p>
    <w:p>
      <w:pPr>
        <w:pStyle w:val="Heading1"/>
        <w:spacing w:after="160" w:before="320"/>
      </w:pPr>
      <w:r>
        <w:t xml:space="preserve">39. References to ERP-01 Baseline</w:t>
      </w:r>
    </w:p>
    <w:p>
      <w:pPr>
        <w:pStyle w:val="ListParagraph"/>
        <w:numPr>
          <w:ilvl w:val="0"/>
          <w:numId w:val="1"/>
        </w:numPr>
        <w:spacing w:after="60"/>
      </w:pPr>
      <w:r>
        <w:rPr>
          <w:sz w:val="21"/>
          <w:szCs w:val="21"/>
        </w:rPr>
        <w:t xml:space="preserve">ERP-01 Phase A.1–A.3 — Enterprise Physical Data Model Realization Assessment, Governance &amp; Disposition Assessment, and Architecture Baseline &amp; Resolution Repository</w:t>
      </w:r>
    </w:p>
    <w:p>
      <w:pPr>
        <w:pStyle w:val="ListParagraph"/>
        <w:numPr>
          <w:ilvl w:val="0"/>
          <w:numId w:val="1"/>
        </w:numPr>
        <w:spacing w:after="60"/>
      </w:pPr>
      <w:r>
        <w:rPr>
          <w:sz w:val="21"/>
          <w:szCs w:val="21"/>
        </w:rPr>
        <w:t xml:space="preserve">ERP-01 Phase B — Enterprise Architecture Realization Roadmap &amp; Portfolio Plan</w:t>
      </w:r>
    </w:p>
    <w:p>
      <w:pPr>
        <w:pStyle w:val="ListParagraph"/>
        <w:numPr>
          <w:ilvl w:val="0"/>
          <w:numId w:val="1"/>
        </w:numPr>
        <w:spacing w:after="60"/>
      </w:pPr>
      <w:r>
        <w:rPr>
          <w:sz w:val="21"/>
          <w:szCs w:val="21"/>
        </w:rPr>
        <w:t xml:space="preserve">ERP-01 Phase C, Sections 1–9 — Engineering Catalog, Impact Assessment, Design Specification, Implementation Blueprint, Conformance Plan, Testing &amp; Verification Strategy, Risk-Control Matrix, Acceptance Criteria</w:t>
      </w:r>
    </w:p>
    <w:p>
      <w:pPr>
        <w:pStyle w:val="ListParagraph"/>
        <w:numPr>
          <w:ilvl w:val="0"/>
          <w:numId w:val="1"/>
        </w:numPr>
        <w:spacing w:after="60"/>
      </w:pPr>
      <w:r>
        <w:rPr>
          <w:sz w:val="21"/>
          <w:szCs w:val="21"/>
        </w:rPr>
        <w:t xml:space="preserve">ERP-01 Phase C, Sections 10.1–10.14 — Executive Dashboard Suite</w:t>
      </w:r>
    </w:p>
    <w:p>
      <w:pPr>
        <w:pStyle w:val="ListParagraph"/>
        <w:numPr>
          <w:ilvl w:val="0"/>
          <w:numId w:val="1"/>
        </w:numPr>
        <w:spacing w:after="60"/>
      </w:pPr>
      <w:r>
        <w:rPr>
          <w:sz w:val="21"/>
          <w:szCs w:val="21"/>
        </w:rPr>
        <w:t xml:space="preserve">ERP-01A — Enterprise Repository Quality Assurance &amp; Baseline Validation Report, Version 1.0</w:t>
      </w:r>
    </w:p>
    <w:p>
      <w:pPr>
        <w:pStyle w:val="Heading1"/>
        <w:spacing w:after="160" w:before="320"/>
      </w:pPr>
      <w:r>
        <w:t xml:space="preserve">40. Conclusion</w:t>
      </w:r>
    </w:p>
    <w:p>
      <w:pPr>
        <w:spacing w:after="160"/>
      </w:pPr>
      <w:r>
        <w:rPr>
          <w:b w:val="false"/>
          <w:bCs w:val="false"/>
          <w:i w:val="false"/>
          <w:iCs w:val="false"/>
          <w:sz w:val="21"/>
          <w:szCs w:val="21"/>
        </w:rPr>
        <w:t xml:space="preserve">This document establishes the enterprise execution governance framework for ERP-02 without altering, reinterpreting, or duplicating any element of the ERP-01 architecture baseline. Every identifier reused here — AR-0001–AR-0010, EGD-0001–EGD-0009, ER-0001–ER-0010, VAR-01–VAR-04, AP-001–AP-009, WP-0001–WP-0006, Portfolios 1–8, Waves 1–5, and KPI-01–KPI-10 — is carried forward exactly as approved in ERP-01 and validated in ERP-01A.</w:t>
      </w:r>
    </w:p>
    <w:p>
      <w:pPr>
        <w:spacing w:after="160"/>
      </w:pPr>
      <w:r>
        <w:rPr>
          <w:b/>
          <w:bCs/>
          <w:i w:val="false"/>
          <w:iCs w:val="false"/>
          <w:sz w:val="21"/>
          <w:szCs w:val="21"/>
        </w:rPr>
        <w:t xml:space="preserve">No governance body described in this document is yet operating, no role is yet staffed, and no execution evidence yet exists; each is honestly marked Not Yet Realized or Reserved for Future Realization Phases. This document is the governance constitution ERP-02 execution will operate under once its Phase A exit criteria (Section 38) are met — it is not, itself, evidence that execution has begun.</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2026-07-10T05:42:37.483Z</dcterms:created>
  <dcterms:modified xsi:type="dcterms:W3CDTF">2026-07-10T05:42:37.497Z</dcterms:modified>
</cp:coreProperties>
</file>

<file path=docProps/custom.xml><?xml version="1.0" encoding="utf-8"?>
<Properties xmlns="http://schemas.openxmlformats.org/officeDocument/2006/custom-properties" xmlns:vt="http://schemas.openxmlformats.org/officeDocument/2006/docPropsVTypes"/>
</file>