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44"/>
          <w:szCs w:val="44"/>
        </w:rPr>
        <w:t xml:space="preserve">ERP-02 — Phase C</w:t>
      </w:r>
    </w:p>
    <w:p>
      <w:pPr>
        <w:spacing w:after="100"/>
      </w:pPr>
      <w:r>
        <w:rPr>
          <w:rFonts w:ascii="Calibri" w:cs="Calibri" w:eastAsia="Calibri" w:hAnsi="Calibri"/>
          <w:b/>
          <w:bCs/>
          <w:sz w:val="32"/>
          <w:szCs w:val="32"/>
        </w:rPr>
        <w:t xml:space="preserve">Enterprise Engineering Execution Control</w:t>
      </w:r>
    </w:p>
    <w:p>
      <w:pPr>
        <w:spacing w:after="100"/>
      </w:pPr>
      <w:r>
        <w:rPr>
          <w:rFonts w:ascii="Calibri" w:cs="Calibri" w:eastAsia="Calibri" w:hAnsi="Calibri"/>
          <w:i/>
          <w:iCs/>
          <w:color w:val="595959"/>
          <w:sz w:val="22"/>
          <w:szCs w:val="22"/>
        </w:rPr>
        <w:t xml:space="preserve">HireRise Career Intelligence Platform — Target-State Enterprise Architecture Execution Repository</w:t>
      </w:r>
    </w:p>
    <w:p>
      <w:pPr>
        <w:spacing w:after="400"/>
      </w:pPr>
      <w:r>
        <w:rPr>
          <w:rFonts w:ascii="Calibri" w:cs="Calibri" w:eastAsia="Calibri" w:hAnsi="Calibri"/>
          <w:color w:val="595959"/>
          <w:sz w:val="20"/>
          <w:szCs w:val="20"/>
        </w:rPr>
        <w:t xml:space="preserve">Version 1.0 | Status: DRAFT FOR REVIEW</w:t>
      </w:r>
    </w:p>
    <w:p>
      <w:pPr>
        <w:pStyle w:val="Heading2"/>
        <w:spacing w:after="150" w:before="300"/>
      </w:pPr>
      <w:r>
        <w:t xml:space="preserve">Document Classification</w:t>
      </w:r>
    </w:p>
    <w:p>
      <w:pPr>
        <w:spacing w:after="160"/>
      </w:pPr>
      <w:r>
        <w:rPr>
          <w:rFonts w:ascii="Calibri" w:cs="Calibri" w:eastAsia="Calibri" w:hAnsi="Calibri"/>
          <w:b w:val="false"/>
          <w:bCs w:val="false"/>
          <w:i w:val="false"/>
          <w:iCs w:val="false"/>
          <w:sz w:val="21"/>
          <w:szCs w:val="21"/>
        </w:rPr>
        <w:t xml:space="preserve">This document is a target-state engineering execution-control specification. It does not represent an existing, operating engineering governance organization. Governance bodies referenced from ERP-02 Phase A remain Not Yet Realized (uncharted, unstaffed) as of this document unless otherwise evidenced below.</w:t>
      </w:r>
    </w:p>
    <w:p>
      <w:pPr>
        <w:spacing w:after="160"/>
      </w:pPr>
      <w:r>
        <w:rPr>
          <w:rFonts w:ascii="Calibri" w:cs="Calibri" w:eastAsia="Calibri" w:hAnsi="Calibri"/>
          <w:b w:val="false"/>
          <w:bCs w:val="false"/>
          <w:i w:val="false"/>
          <w:iCs w:val="false"/>
          <w:sz w:val="21"/>
          <w:szCs w:val="21"/>
        </w:rPr>
        <w:t xml:space="preserve">This document introduces no new Architecture Requirement, Enterprise Governance Decision, Enterprise Resolution, Variance, Work Package, Portfolio, Wave, or KPI identifier, and does not duplicate ERP-01 Phase C's engineering design, implementation blueprint, conformance plan, testing strategy, acceptance criteria, or executive dashboards. It governs a different layer: how engineering execution is controlled — source control, CI/CD, environments, database change, and technical review — while those approved artifacts are realized.</w:t>
      </w:r>
    </w:p>
    <w:p>
      <w:pPr>
        <w:pStyle w:val="Heading2"/>
        <w:spacing w:after="150" w:before="300"/>
      </w:pPr>
      <w:r>
        <w:t xml:space="preserve">A Note on Repository Evidence</w:t>
      </w:r>
    </w:p>
    <w:p>
      <w:pPr>
        <w:spacing w:after="160"/>
      </w:pPr>
      <w:r>
        <w:rPr>
          <w:rFonts w:ascii="Calibri" w:cs="Calibri" w:eastAsia="Calibri" w:hAnsi="Calibri"/>
          <w:b w:val="false"/>
          <w:bCs w:val="false"/>
          <w:i w:val="false"/>
          <w:iCs w:val="false"/>
          <w:sz w:val="21"/>
          <w:szCs w:val="21"/>
        </w:rPr>
        <w:t xml:space="preserve">This document distinguishes two things that are easy to conflate: (a) engineering tooling that exists in the repository today, and (b) execution of the six approved Work Packages using that tooling. Where (a) is confirmed by repository inspection, it is reported as Validated infrastructure. Where (b) has not occurred — which is every Work Package, as of this document — it is reported as "Not Yet Realized," regardless of how mature the surrounding tooling is. Mature tooling is not evidence of Work Package execution.</w:t>
      </w:r>
    </w:p>
    <w:p>
      <w:r>
        <w:br w:type="page"/>
      </w:r>
    </w:p>
    <w:p>
      <w:pPr>
        <w:pStyle w:val="Heading1"/>
        <w:spacing w:after="200" w:before="400"/>
      </w:pPr>
      <w:r>
        <w:t xml:space="preserve">1. Executive Summary</w:t>
      </w:r>
    </w:p>
    <w:p>
      <w:pPr>
        <w:spacing w:after="160"/>
      </w:pPr>
      <w:r>
        <w:rPr>
          <w:rFonts w:ascii="Calibri" w:cs="Calibri" w:eastAsia="Calibri" w:hAnsi="Calibri"/>
          <w:b w:val="false"/>
          <w:bCs w:val="false"/>
          <w:i w:val="false"/>
          <w:iCs w:val="false"/>
          <w:sz w:val="21"/>
          <w:szCs w:val="21"/>
        </w:rPr>
        <w:t xml:space="preserve">ERP-02 Phase C governs engineering execution control for the six Work Packages approved in ERP-01 (WP-0001–WP-0006), operating under the governance framework ERP-02 Phase A established and the portfolio/wave sequencing ERP-02 Phase B confirmed. Repository inspection confirms real, operating engineering infrastructure: a PR-triggered governance pipeline (lint, circular-dependency, and dependency-rule checks for both frontend and backend), a push-triggered CI/CD pipeline (quality gate, security scanning, Docker build, migration safety checks, staged deployment to staging and production), and a dedicated secret-scanning workflow.</w:t>
      </w:r>
    </w:p>
    <w:p>
      <w:pPr>
        <w:spacing w:after="160"/>
      </w:pPr>
      <w:r>
        <w:rPr>
          <w:rFonts w:ascii="Calibri" w:cs="Calibri" w:eastAsia="Calibri" w:hAnsi="Calibri"/>
          <w:b w:val="false"/>
          <w:bCs w:val="false"/>
          <w:i w:val="false"/>
          <w:iCs w:val="false"/>
          <w:sz w:val="21"/>
          <w:szCs w:val="21"/>
        </w:rPr>
        <w:t xml:space="preserve">This infrastructure is Validated as existing. Its use to execute any of the six approved Work Packages is not — 0 of 6 Work Packages have been executed, consistent with ERP-01A and ERP-02 Phase B. This document establishes the controls that will apply once execution begins, and records two evidenced engineering-risk findings (§24) that exist independently of Work Package execution and should be corrected regardless of when execution starts.</w:t>
      </w:r>
    </w:p>
    <w:p>
      <w:pPr>
        <w:pStyle w:val="Heading1"/>
        <w:spacing w:after="200" w:before="400"/>
      </w:pPr>
      <w:r>
        <w:t xml:space="preserve">2. Purpose</w:t>
      </w:r>
    </w:p>
    <w:p>
      <w:pPr>
        <w:spacing w:after="160"/>
      </w:pPr>
      <w:r>
        <w:rPr>
          <w:rFonts w:ascii="Calibri" w:cs="Calibri" w:eastAsia="Calibri" w:hAnsi="Calibri"/>
          <w:b w:val="false"/>
          <w:bCs w:val="false"/>
          <w:i w:val="false"/>
          <w:iCs w:val="false"/>
          <w:sz w:val="21"/>
          <w:szCs w:val="21"/>
        </w:rPr>
        <w:t xml:space="preserve">To define, once, how engineering execution against the approved ERP-01 baseline is controlled: source repository governance, CI/CD gates, build and deployment control, database change control, technical review, and the evidence and reporting model that ties every engineering activity back to the AR/EGD/WP it realizes. This document does not restate ERP-01 Phase C's design or testing strategy, and does not claim any control described here has yet been exercised against an approved Work Package.</w:t>
      </w:r>
    </w:p>
    <w:p>
      <w:pPr>
        <w:pStyle w:val="Heading1"/>
        <w:spacing w:after="200" w:before="400"/>
      </w:pPr>
      <w:r>
        <w:t xml:space="preserve">3. Scope</w:t>
      </w:r>
    </w:p>
    <w:p>
      <w:pPr>
        <w:spacing w:after="160"/>
      </w:pPr>
      <w:r>
        <w:rPr>
          <w:rFonts w:ascii="Calibri" w:cs="Calibri" w:eastAsia="Calibri" w:hAnsi="Calibri"/>
          <w:b w:val="false"/>
          <w:bCs w:val="false"/>
          <w:i w:val="false"/>
          <w:iCs w:val="false"/>
          <w:sz w:val="21"/>
          <w:szCs w:val="21"/>
        </w:rPr>
        <w:t xml:space="preserve">In scope: engineering execution control for WP-0001–WP-0006 across Portfolio 1 (Enterprise Data Platform), Portfolio 2 (Enterprise Security), and Portfolio 8 (Governance &amp; Quality) — the three Active portfolios per ERP-01 Phase B. This document also documents currently-evidenced engineering infrastructure (CI/CD, source governance) that exists independently of any specific Work Package, since that infrastructure is what execution will run through.</w:t>
      </w:r>
    </w:p>
    <w:p>
      <w:pPr>
        <w:spacing w:after="160"/>
      </w:pPr>
      <w:r>
        <w:rPr>
          <w:rFonts w:ascii="Calibri" w:cs="Calibri" w:eastAsia="Calibri" w:hAnsi="Calibri"/>
          <w:b w:val="false"/>
          <w:bCs w:val="false"/>
          <w:i w:val="false"/>
          <w:iCs w:val="false"/>
          <w:sz w:val="21"/>
          <w:szCs w:val="21"/>
        </w:rPr>
        <w:t xml:space="preserve">Out of scope: Portfolios 3–7 and Waves 4–5, which remain Reserved for Future Realization Phases; any redefinition of an AR, EGD, ER, VAR, WP, Portfolio, Wave, or KPI; any engineering design or testing-strategy content already covered by ERP-01 Phase C.</w:t>
      </w:r>
    </w:p>
    <w:p>
      <w:pPr>
        <w:pStyle w:val="Heading1"/>
        <w:spacing w:after="200" w:before="400"/>
      </w:pPr>
      <w:r>
        <w:t xml:space="preserve">4. Relationship to ERP-01 Engineering Baseline and ERP-02 Phases A–B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Document</w:t>
            </w:r>
          </w:p>
        </w:tc>
        <w:tc>
          <w:tcPr>
            <w:tcW w:type="dxa" w:w="3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Governs</w:t>
            </w:r>
          </w:p>
        </w:tc>
        <w:tc>
          <w:tcPr>
            <w:tcW w:type="dxa" w:w="3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This Document's Relationship</w:t>
            </w:r>
          </w:p>
        </w:tc>
      </w:tr>
      <w:tr>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C §1–9</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Engineering design, implementation blueprint, conformance plan, testing strategy, acceptance criteria</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Referenced, not duplicated. ERP-02 Phase C assumes these specifications and controls how execution against them is tracked.</w:t>
            </w:r>
          </w:p>
        </w:tc>
      </w:tr>
      <w:tr>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C §10.1–10.14</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Executive dashboard suite</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Referenced as the reporting format ERP-02 execution reporting (§27) aligns to.</w:t>
            </w:r>
          </w:p>
        </w:tc>
      </w:tr>
      <w:tr>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ERP-02 Phase A</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bodies, RACI, decision authority, escalation, exit criteria</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Adopted unchanged. This document does not re-charter any governance body; all remain Not Yet Realized per Phase A §38 until its own exit criteria are met.</w:t>
            </w:r>
          </w:p>
        </w:tc>
      </w:tr>
      <w:tr>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ERP-02 Phase B</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Portfolio/Wave sequencing and execution readiness</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Adopted unchanged. This document controls how, not when or in what order.</w:t>
            </w:r>
          </w:p>
        </w:tc>
      </w:tr>
    </w:tbl>
    <w:p>
      <w:pPr>
        <w:pStyle w:val="Heading1"/>
        <w:spacing w:after="200" w:before="400"/>
      </w:pPr>
      <w:r>
        <w:t xml:space="preserve">5. Engineering Execution Philosophy and Control Objectives</w:t>
      </w:r>
    </w:p>
    <w:p>
      <w:pPr>
        <w:pStyle w:val="ListParagraph"/>
        <w:numPr>
          <w:ilvl w:val="0"/>
          <w:numId w:val="1"/>
        </w:numPr>
        <w:spacing w:after="80"/>
      </w:pPr>
      <w:r>
        <w:t xml:space="preserve">Evidence over inference: a control is Validated only when repository inspection confirms it; a Work Package is realized only when its specified evidence (ERP-02 Phase B §22) exists.</w:t>
      </w:r>
    </w:p>
    <w:p>
      <w:pPr>
        <w:pStyle w:val="ListParagraph"/>
        <w:numPr>
          <w:ilvl w:val="0"/>
          <w:numId w:val="1"/>
        </w:numPr>
        <w:spacing w:after="80"/>
      </w:pPr>
      <w:r>
        <w:t xml:space="preserve">Infrastructure maturity is not execution progress: existing CI/CD sophistication does not, by itself, advance any Work Package's status.</w:t>
      </w:r>
    </w:p>
    <w:p>
      <w:pPr>
        <w:pStyle w:val="ListParagraph"/>
        <w:numPr>
          <w:ilvl w:val="0"/>
          <w:numId w:val="1"/>
        </w:numPr>
        <w:spacing w:after="80"/>
      </w:pPr>
      <w:r>
        <w:t xml:space="preserve">No control invented ahead of evidence: every control described below is either already evidenced in the repository or explicitly marked Not Yet Realized; none is asserted as active without a cited artifact.</w:t>
      </w:r>
    </w:p>
    <w:p>
      <w:pPr>
        <w:pStyle w:val="ListParagraph"/>
        <w:numPr>
          <w:ilvl w:val="0"/>
          <w:numId w:val="1"/>
        </w:numPr>
        <w:spacing w:after="80"/>
      </w:pPr>
      <w:r>
        <w:t xml:space="preserve">Architecture primacy preserved: no engineering control may approve execution that contradicts an ERP-01 AR, EGD, ER, or VAR.</w:t>
      </w:r>
    </w:p>
    <w:p>
      <w:pPr>
        <w:pStyle w:val="ListParagraph"/>
        <w:numPr>
          <w:ilvl w:val="0"/>
          <w:numId w:val="1"/>
        </w:numPr>
        <w:spacing w:after="80"/>
      </w:pPr>
      <w:r>
        <w:t xml:space="preserve">Segregation of duties: consistent with ERP-02 Phase A §28, no engineering evidence may be authored and approved by the same role.</w:t>
      </w:r>
    </w:p>
    <w:p>
      <w:pPr>
        <w:pStyle w:val="Heading1"/>
        <w:spacing w:after="200" w:before="400"/>
      </w:pPr>
      <w:r>
        <w:t xml:space="preserve">6. Engineering Governance Structure</w:t>
      </w:r>
    </w:p>
    <w:p>
      <w:pPr>
        <w:spacing w:after="160"/>
      </w:pPr>
      <w:r>
        <w:rPr>
          <w:rFonts w:ascii="Calibri" w:cs="Calibri" w:eastAsia="Calibri" w:hAnsi="Calibri"/>
          <w:b w:val="false"/>
          <w:bCs w:val="false"/>
          <w:i w:val="false"/>
          <w:iCs w:val="false"/>
          <w:sz w:val="21"/>
          <w:szCs w:val="21"/>
        </w:rPr>
        <w:t xml:space="preserve">This document operates entirely within the three-tier governance structure ERP-02 Phase A §8 already established (Enterprise, Domain, Execution tiers) and does not create new governance bodies. Engineering-relevant bodies from that framework — Engineering Governance, Platform Engineering Governance, DevOps Governance, Security Governance, Quality Governance — remain Not Yet Realized (uncharted, unstaffed) per Phase A §13–24. Until they are chartered, the engineering controls in this document (§9–§24) apply as defined process, exercised informally by whoever performs the engineering work, not as output of a chartered governance body.</w:t>
      </w:r>
    </w:p>
    <w:p>
      <w:pPr>
        <w:pStyle w:val="Heading1"/>
        <w:spacing w:after="200" w:before="400"/>
      </w:pPr>
      <w:r>
        <w:t xml:space="preserve">7. Engineering Execution Lifecycle</w:t>
      </w:r>
    </w:p>
    <w:p>
      <w:pPr>
        <w:spacing w:after="160"/>
      </w:pPr>
      <w:r>
        <w:rPr>
          <w:rFonts w:ascii="Calibri" w:cs="Calibri" w:eastAsia="Calibri" w:hAnsi="Calibri"/>
          <w:b w:val="false"/>
          <w:bCs w:val="false"/>
          <w:i w:val="false"/>
          <w:iCs w:val="false"/>
          <w:sz w:val="21"/>
          <w:szCs w:val="21"/>
        </w:rPr>
        <w:t xml:space="preserve">Each Work Package moves through the same five stages once execution begins: (1) Not Yet Realized — approved, unexecuted; (2) In Execution — engineering activity underway against the controls in §9–§24; (3) Evidence Submitted — the Work Package's specified evidence artifact (per ERP-02 Phase B §22) has been produced; (4) Verified — the accountable role has confirmed the evidence meets the acceptance method; (5) Accepted — status may be truthfully reported as complete. No Work Package may skip a stage, and no report may describe a Work Package as being in a later stage than its recorded evidence supports. As of this document, all six Work Packages are at stage 1.</w:t>
      </w:r>
    </w:p>
    <w:p>
      <w:pPr>
        <w:pStyle w:val="Heading1"/>
        <w:spacing w:after="200" w:before="400"/>
      </w:pPr>
      <w:r>
        <w:t xml:space="preserve">8. Engineering Work Package Control</w:t>
      </w:r>
    </w:p>
    <w:p>
      <w:pPr>
        <w:spacing w:after="160"/>
      </w:pPr>
      <w:r>
        <w:rPr>
          <w:rFonts w:ascii="Calibri" w:cs="Calibri" w:eastAsia="Calibri" w:hAnsi="Calibri"/>
          <w:b w:val="false"/>
          <w:bCs w:val="false"/>
          <w:i w:val="false"/>
          <w:iCs w:val="false"/>
          <w:sz w:val="21"/>
          <w:szCs w:val="21"/>
        </w:rPr>
        <w:t xml:space="preserve">For each approved Work Package: engineering objective, engineering controls that will apply, required evidence, and current execution status.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600"/>
        <w:gridCol w:w="2600"/>
        <w:gridCol w:w="2000"/>
        <w:gridCol w:w="15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WP</w:t>
            </w:r>
          </w:p>
        </w:tc>
        <w:tc>
          <w:tcPr>
            <w:tcW w:type="dxa" w:w="3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Engineering Objective</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Engineering Controls</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Required Evidence</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Required Approval</w:t>
            </w:r>
          </w:p>
        </w:tc>
        <w:tc>
          <w:tcPr>
            <w:tcW w:type="dxa" w:w="1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Current Status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Author the revised Phase A document describing the live public-schema model as canonical.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Documentation-diff review against live schema; no source-code change.</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Table inventory diff vs. live schema, zero discrepancies.</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Technical review by Enterprise Architecture Owner role.</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Verify RLS coverage on activity/cognitive/signal-vector tables.</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Query-level RLS policy audit; no schema change required.</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Written RLS status and policy list per table.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 engineering sign-off.</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Partitioning assessment for high-growth tables, once triggered.</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Migration governance controls (§16) apply if partitioning is executed.</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 row-count/latency check output against EGD-0004 trigger.</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Platform engineering lead sign-off.</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WP-0004</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Document accepted direct-FK taxonomy pattern; add per-release denormalization check.</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New CI check to be added to governance.yml or equivalent job.</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Per-release automated denormalization check output.</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Data governance owner sign-off.</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WP-0005</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Column-level access review for free-text/JSON payload columns.</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Query-level access audit; no schema change required.</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Column-level access decision record.</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 engineering sign-off.</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w:t>
            </w:r>
          </w:p>
        </w:tc>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Assign named, accountable owners to all nine EGDs.</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Organizational action; no engineering/CI control applies.</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Owner roster populated against Governance Decision Register.</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Executive sponsor sign-off.</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bl>
    <w:p>
      <w:pPr>
        <w:pStyle w:val="Heading1"/>
        <w:spacing w:after="200" w:before="400"/>
      </w:pPr>
      <w:r>
        <w:t xml:space="preserve">9. Engineering Repository Governance</w:t>
      </w:r>
    </w:p>
    <w:p>
      <w:pPr>
        <w:spacing w:after="160"/>
      </w:pPr>
      <w:r>
        <w:rPr>
          <w:rFonts w:ascii="Calibri" w:cs="Calibri" w:eastAsia="Calibri" w:hAnsi="Calibri"/>
          <w:b w:val="false"/>
          <w:bCs w:val="false"/>
          <w:i w:val="false"/>
          <w:iCs w:val="false"/>
          <w:sz w:val="21"/>
          <w:szCs w:val="21"/>
        </w:rPr>
        <w:t xml:space="preserve">Confirmed repository structure: a monorepo split into front/ (Vite + TypeScript + React frontend) and core/ (Node.js backend, Supabase-based), plus infra/, nginx/, and documents/. This structure is Validated by direct repository inspection and requires no further control to establish — it already exists.</w:t>
      </w:r>
    </w:p>
    <w:p>
      <w:pPr>
        <w:spacing w:after="160"/>
      </w:pPr>
      <w:r>
        <w:rPr>
          <w:rFonts w:ascii="Calibri" w:cs="Calibri" w:eastAsia="Calibri" w:hAnsi="Calibri"/>
          <w:b w:val="false"/>
          <w:bCs w:val="false"/>
          <w:i w:val="false"/>
          <w:iCs w:val="false"/>
          <w:sz w:val="21"/>
          <w:szCs w:val="21"/>
        </w:rPr>
        <w:t xml:space="preserve">Repository hygiene: ERP-01A previously identified duplicate and superseded document locations within the architecture-documentation tree (§7, §9 of that report). This document extends that same hygiene principle to engineering artifacts: no engineering evidence artifact should be duplicated across two paths without an explicit archival marker, consistent with ERP-02 Phase A §34.</w:t>
      </w:r>
    </w:p>
    <w:p>
      <w:pPr>
        <w:pStyle w:val="Heading1"/>
        <w:spacing w:after="200" w:before="400"/>
      </w:pPr>
      <w:r>
        <w:t xml:space="preserve">10. Source Code Governance and Branch Management</w:t>
      </w:r>
    </w:p>
    <w:p>
      <w:pPr>
        <w:spacing w:after="160"/>
      </w:pPr>
      <w:r>
        <w:rPr>
          <w:rFonts w:ascii="Calibri" w:cs="Calibri" w:eastAsia="Calibri" w:hAnsi="Calibri"/>
          <w:b w:val="false"/>
          <w:bCs w:val="false"/>
          <w:i w:val="false"/>
          <w:iCs w:val="false"/>
          <w:sz w:val="21"/>
          <w:szCs w:val="21"/>
        </w:rPr>
        <w:t xml:space="preserve">Validated branch model, per repository inspection of .github/workflows/deploy.yml and front/.github/workflows/frontend-ci.yml:</w:t>
      </w:r>
    </w:p>
    <w:p>
      <w:pPr>
        <w:pStyle w:val="ListParagraph"/>
        <w:numPr>
          <w:ilvl w:val="0"/>
          <w:numId w:val="1"/>
        </w:numPr>
        <w:spacing w:after="80"/>
      </w:pPr>
      <w:r>
        <w:t xml:space="preserve">deploy.yml (root CI/CD pipeline) triggers on push and pull_request to main and staging only.</w:t>
      </w:r>
    </w:p>
    <w:p>
      <w:pPr>
        <w:pStyle w:val="ListParagraph"/>
        <w:numPr>
          <w:ilvl w:val="0"/>
          <w:numId w:val="1"/>
        </w:numPr>
        <w:spacing w:after="80"/>
      </w:pPr>
      <w:r>
        <w:t xml:space="preserve">frontend-ci.yml triggers on push/pull_request to main, develop, and feature/** branches.</w:t>
      </w:r>
    </w:p>
    <w:p>
      <w:pPr>
        <w:spacing w:after="160"/>
      </w:pPr>
      <w:r>
        <w:rPr>
          <w:rFonts w:ascii="Calibri" w:cs="Calibri" w:eastAsia="Calibri" w:hAnsi="Calibri"/>
          <w:b w:val="false"/>
          <w:bCs w:val="false"/>
          <w:i w:val="false"/>
          <w:iCs w:val="false"/>
          <w:sz w:val="21"/>
          <w:szCs w:val="21"/>
        </w:rPr>
        <w:t xml:space="preserve">These two workflows do not share an identical branch model — deploy.yml has no develop or feature/** trigger, and frontend-ci.yml has no staging trigger. This is recorded as an engineering-risk observation in §24, not corrected here, since correcting it is an engineering change subject to the change-control process in §21.</w:t>
      </w:r>
    </w:p>
    <w:p>
      <w:pPr>
        <w:spacing w:after="160"/>
      </w:pPr>
      <w:r>
        <w:rPr>
          <w:rFonts w:ascii="Calibri" w:cs="Calibri" w:eastAsia="Calibri" w:hAnsi="Calibri"/>
          <w:b w:val="false"/>
          <w:bCs w:val="false"/>
          <w:i w:val="false"/>
          <w:iCs w:val="false"/>
          <w:sz w:val="21"/>
          <w:szCs w:val="21"/>
        </w:rPr>
        <w:t xml:space="preserve">No CODEOWNERS file was found in the repository. The pull request template (.github/PULL_REQUEST_TEMPLATE.md) documents a review requirement — changes marked "Boundary change" or "Infrastructure change" require review from a platform-architecture reviewer — but this requirement is process-documented only; it is not yet programmatically enforced by a CODEOWNERS-based required review. Status: Partially Realized (documented), Not Yet Realized (enforced).</w:t>
      </w:r>
    </w:p>
    <w:p>
      <w:pPr>
        <w:pStyle w:val="Heading1"/>
        <w:spacing w:after="200" w:before="400"/>
      </w:pPr>
      <w:r>
        <w:t xml:space="preserve">11. CI/CD Governance</w:t>
      </w:r>
    </w:p>
    <w:p>
      <w:pPr>
        <w:spacing w:after="160"/>
      </w:pPr>
      <w:r>
        <w:rPr>
          <w:rFonts w:ascii="Calibri" w:cs="Calibri" w:eastAsia="Calibri" w:hAnsi="Calibri"/>
          <w:b w:val="false"/>
          <w:bCs w:val="false"/>
          <w:i w:val="false"/>
          <w:iCs w:val="false"/>
          <w:sz w:val="21"/>
          <w:szCs w:val="21"/>
        </w:rPr>
        <w:t xml:space="preserve">Validated, existing CI/CD infrastructure, confirmed by direct inspection of four workflow 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00"/>
      </w:tblGrid>
      <w:tr>
        <w:trPr>
          <w:tblHeader/>
        </w:trPr>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Workflow</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Trigger</w:t>
            </w:r>
          </w:p>
        </w:tc>
        <w:tc>
          <w:tcPr>
            <w:tcW w:type="dxa" w:w="5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Function</w:t>
            </w:r>
          </w:p>
        </w:tc>
      </w:tr>
      <w:tr>
        <w:tc>
          <w:tcPr>
            <w:tcW w:type="dxa" w:w="17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governance.yml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Pull request (opened/synchronize/reopened)</w:t>
            </w:r>
          </w:p>
        </w:tc>
        <w:tc>
          <w:tcPr>
            <w:tcW w:type="dxa" w:w="5000"/>
            <w:tcMar>
              <w:top w:type="dxa" w:w="60"/>
              <w:left w:type="dxa" w:w="80"/>
              <w:bottom w:type="dxa" w:w="60"/>
              <w:right w:type="dxa" w:w="80"/>
            </w:tcMar>
          </w:tcPr>
          <w:p>
            <w:r>
              <w:rPr>
                <w:rFonts w:ascii="Calibri" w:cs="Calibri" w:eastAsia="Calibri" w:hAnsi="Calibri"/>
                <w:b w:val="false"/>
                <w:bCs w:val="false"/>
                <w:color w:val="000000"/>
                <w:sz w:val="18"/>
                <w:szCs w:val="18"/>
              </w:rPr>
              <w:t xml:space="preserve">ESLint (zero warnings) and circular-dependency / dependency-rule checks (madge, dependency-cruiser) for both frontend and backend.</w:t>
            </w:r>
          </w:p>
        </w:tc>
      </w:tr>
      <w:tr>
        <w:tc>
          <w:tcPr>
            <w:tcW w:type="dxa" w:w="1700"/>
            <w:tcMar>
              <w:top w:type="dxa" w:w="60"/>
              <w:left w:type="dxa" w:w="80"/>
              <w:bottom w:type="dxa" w:w="60"/>
              <w:right w:type="dxa" w:w="80"/>
            </w:tcMar>
          </w:tcPr>
          <w:p>
            <w:r>
              <w:rPr>
                <w:rFonts w:ascii="Calibri" w:cs="Calibri" w:eastAsia="Calibri" w:hAnsi="Calibri"/>
                <w:b w:val="false"/>
                <w:bCs w:val="false"/>
                <w:color w:val="000000"/>
                <w:sz w:val="18"/>
                <w:szCs w:val="18"/>
              </w:rPr>
              <w:t xml:space="preserve">deploy.yml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Push/PR to main, staging</w:t>
            </w:r>
          </w:p>
        </w:tc>
        <w:tc>
          <w:tcPr>
            <w:tcW w:type="dxa" w:w="5000"/>
            <w:tcMar>
              <w:top w:type="dxa" w:w="60"/>
              <w:left w:type="dxa" w:w="80"/>
              <w:bottom w:type="dxa" w:w="60"/>
              <w:right w:type="dxa" w:w="80"/>
            </w:tcMar>
          </w:tcPr>
          <w:p>
            <w:r>
              <w:rPr>
                <w:rFonts w:ascii="Calibri" w:cs="Calibri" w:eastAsia="Calibri" w:hAnsi="Calibri"/>
                <w:b w:val="false"/>
                <w:bCs w:val="false"/>
                <w:color w:val="000000"/>
                <w:sz w:val="18"/>
                <w:szCs w:val="18"/>
              </w:rPr>
              <w:t xml:space="preserve">Quality gate (lint, typecheck, backend test with coverage) → security scan (Gitleaks, npm audit, Trivy) → Docker build/push → migration safety check → staged deploy → production deploy.</w:t>
            </w:r>
          </w:p>
        </w:tc>
      </w:tr>
      <w:tr>
        <w:tc>
          <w:tcPr>
            <w:tcW w:type="dxa" w:w="1700"/>
            <w:tcMar>
              <w:top w:type="dxa" w:w="60"/>
              <w:left w:type="dxa" w:w="80"/>
              <w:bottom w:type="dxa" w:w="60"/>
              <w:right w:type="dxa" w:w="80"/>
            </w:tcMar>
          </w:tcPr>
          <w:p>
            <w:r>
              <w:rPr>
                <w:rFonts w:ascii="Calibri" w:cs="Calibri" w:eastAsia="Calibri" w:hAnsi="Calibri"/>
                <w:b w:val="false"/>
                <w:bCs w:val="false"/>
                <w:color w:val="000000"/>
                <w:sz w:val="18"/>
                <w:szCs w:val="18"/>
              </w:rPr>
              <w:t xml:space="preserve">frontend-ci.yml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Push/PR to main, develop, feature/**</w:t>
            </w:r>
          </w:p>
        </w:tc>
        <w:tc>
          <w:tcPr>
            <w:tcW w:type="dxa" w:w="5000"/>
            <w:tcMar>
              <w:top w:type="dxa" w:w="60"/>
              <w:left w:type="dxa" w:w="80"/>
              <w:bottom w:type="dxa" w:w="60"/>
              <w:right w:type="dxa" w:w="80"/>
            </w:tcMar>
          </w:tcPr>
          <w:p>
            <w:r>
              <w:rPr>
                <w:rFonts w:ascii="Calibri" w:cs="Calibri" w:eastAsia="Calibri" w:hAnsi="Calibri"/>
                <w:b w:val="false"/>
                <w:bCs w:val="false"/>
                <w:color w:val="000000"/>
                <w:sz w:val="18"/>
                <w:szCs w:val="18"/>
              </w:rPr>
              <w:t xml:space="preserve">TypeScript type-check and ESLint for the frontend.</w:t>
            </w:r>
          </w:p>
        </w:tc>
      </w:tr>
      <w:tr>
        <w:tc>
          <w:tcPr>
            <w:tcW w:type="dxa" w:w="1700"/>
            <w:tcMar>
              <w:top w:type="dxa" w:w="60"/>
              <w:left w:type="dxa" w:w="80"/>
              <w:bottom w:type="dxa" w:w="60"/>
              <w:right w:type="dxa" w:w="80"/>
            </w:tcMar>
          </w:tcPr>
          <w:p>
            <w:r>
              <w:rPr>
                <w:rFonts w:ascii="Calibri" w:cs="Calibri" w:eastAsia="Calibri" w:hAnsi="Calibri"/>
                <w:b w:val="false"/>
                <w:bCs w:val="false"/>
                <w:color w:val="000000"/>
                <w:sz w:val="18"/>
                <w:szCs w:val="18"/>
              </w:rPr>
              <w:t xml:space="preserve">secret-scan.yml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Push/PR to main</w:t>
            </w:r>
          </w:p>
        </w:tc>
        <w:tc>
          <w:tcPr>
            <w:tcW w:type="dxa" w:w="5000"/>
            <w:tcMar>
              <w:top w:type="dxa" w:w="60"/>
              <w:left w:type="dxa" w:w="80"/>
              <w:bottom w:type="dxa" w:w="60"/>
              <w:right w:type="dxa" w:w="80"/>
            </w:tcMar>
          </w:tcPr>
          <w:p>
            <w:r>
              <w:rPr>
                <w:rFonts w:ascii="Calibri" w:cs="Calibri" w:eastAsia="Calibri" w:hAnsi="Calibri"/>
                <w:b w:val="false"/>
                <w:bCs w:val="false"/>
                <w:color w:val="000000"/>
                <w:sz w:val="18"/>
                <w:szCs w:val="18"/>
              </w:rPr>
              <w:t xml:space="preserve">Gitleaks secret scan, backend-scoped.</w:t>
            </w:r>
          </w:p>
        </w:tc>
      </w:tr>
    </w:tbl>
    <w:p>
      <w:pPr>
        <w:spacing w:after="160"/>
      </w:pPr>
      <w:r>
        <w:rPr>
          <w:rFonts w:ascii="Calibri" w:cs="Calibri" w:eastAsia="Calibri" w:hAnsi="Calibri"/>
          <w:b w:val="false"/>
          <w:bCs w:val="false"/>
          <w:i w:val="false"/>
          <w:iCs w:val="false"/>
          <w:sz w:val="21"/>
          <w:szCs w:val="21"/>
        </w:rPr>
        <w:t xml:space="preserve">This infrastructure is Validated. Its exercise against any of the six approved Work Packages is Not Yet Realized, since none has entered execution.</w:t>
      </w:r>
    </w:p>
    <w:p>
      <w:pPr>
        <w:pStyle w:val="Heading1"/>
        <w:spacing w:after="200" w:before="400"/>
      </w:pPr>
      <w:r>
        <w:t xml:space="preserve">12. Build Governance</w:t>
      </w:r>
    </w:p>
    <w:p>
      <w:pPr>
        <w:spacing w:after="160"/>
      </w:pPr>
      <w:r>
        <w:rPr>
          <w:rFonts w:ascii="Calibri" w:cs="Calibri" w:eastAsia="Calibri" w:hAnsi="Calibri"/>
          <w:b w:val="false"/>
          <w:bCs w:val="false"/>
          <w:i w:val="false"/>
          <w:iCs w:val="false"/>
          <w:sz w:val="21"/>
          <w:szCs w:val="21"/>
        </w:rPr>
        <w:t xml:space="preserve">Validated: deploy.yml builds separate backend (core/infra/docker/Dockerfile.backend) and frontend (front/infra/docker/Dockerfile.frontend) Docker images via Buildx, tagged by short commit SHA and branch ref, pushed to GitHub Container Registry (ghcr.io), with layer caching scoped per image. Each built image is scanned by Trivy for CRITICAL-severity vulnerabilities, with the pipeline configured to fail the build (exit-code 1) on a CRITICAL finding in the final image.</w:t>
      </w:r>
    </w:p>
    <w:p>
      <w:pPr>
        <w:pStyle w:val="Heading1"/>
        <w:spacing w:after="200" w:before="400"/>
      </w:pPr>
      <w:r>
        <w:t xml:space="preserve">13. Deployment Pipeline Governance</w:t>
      </w:r>
    </w:p>
    <w:p>
      <w:pPr>
        <w:spacing w:after="160"/>
      </w:pPr>
      <w:r>
        <w:rPr>
          <w:rFonts w:ascii="Calibri" w:cs="Calibri" w:eastAsia="Calibri" w:hAnsi="Calibri"/>
          <w:b w:val="false"/>
          <w:bCs w:val="false"/>
          <w:i w:val="false"/>
          <w:iCs w:val="false"/>
          <w:sz w:val="21"/>
          <w:szCs w:val="21"/>
        </w:rPr>
        <w:t xml:space="preserve">Validated: staging deploys automatically on push to the staging branch via SSH to a staging host, running database migrations before a scaled rolling update (api=2, frontend=2), followed by health-check smoke tests against both the API and frontend. Production deploys automatically on push to main, following the same migration-then-rolling-update pattern, additionally recording a GitHub deployment status and retaining the previous image tag for rollback if the post-deploy health check fails.</w:t>
      </w:r>
    </w:p>
    <w:p>
      <w:pPr>
        <w:spacing w:after="160"/>
      </w:pPr>
      <w:r>
        <w:rPr>
          <w:rFonts w:ascii="Calibri" w:cs="Calibri" w:eastAsia="Calibri" w:hAnsi="Calibri"/>
          <w:b w:val="false"/>
          <w:bCs w:val="false"/>
          <w:i w:val="false"/>
          <w:iCs w:val="false"/>
          <w:sz w:val="21"/>
          <w:szCs w:val="21"/>
        </w:rPr>
        <w:t xml:space="preserve">Not independently verifiable from the exported repository: whether GitHub Environment protection rules (e.g., required manual approval before the production job runs) are configured in the live repository settings. The workflow file's job-level configuration references a production environment but repository-level protection-rule configuration is not exported with the code. Status: Not Yet Verified — this should be confirmed directly in repository settings rather than assumed from the workflow file alone.</w:t>
      </w:r>
    </w:p>
    <w:p>
      <w:pPr>
        <w:pStyle w:val="Heading1"/>
        <w:spacing w:after="200" w:before="400"/>
      </w:pPr>
      <w:r>
        <w:t xml:space="preserve">14. Configuration Management and Environment Governance</w:t>
      </w:r>
    </w:p>
    <w:p>
      <w:pPr>
        <w:spacing w:after="160"/>
      </w:pPr>
      <w:r>
        <w:rPr>
          <w:rFonts w:ascii="Calibri" w:cs="Calibri" w:eastAsia="Calibri" w:hAnsi="Calibri"/>
          <w:b w:val="false"/>
          <w:bCs w:val="false"/>
          <w:i w:val="false"/>
          <w:iCs w:val="false"/>
          <w:sz w:val="21"/>
          <w:szCs w:val="21"/>
        </w:rPr>
        <w:t xml:space="preserve">Validated: distinct docker-compose.dev.yml and docker-compose.prod.yml files define separate development and production service topologies (API, frontend, Redis cache, and supporting services). Nginx configuration (nginx/nginx.conf, nginx/conf.d/proxy-params.conf, nginx/conf.d/ssl-params.conf) provides a shared reverse-proxy and TLS-parameter layer across environments. Three logical environments are evidenced end-to-end in the CI/CD pipeline: development (local), staging (staging.hirerise.com), and production (hirerise.com).</w:t>
      </w:r>
    </w:p>
    <w:p>
      <w:pPr>
        <w:pStyle w:val="Heading1"/>
        <w:spacing w:after="200" w:before="400"/>
      </w:pPr>
      <w:r>
        <w:t xml:space="preserve">15. Infrastructure Governance</w:t>
      </w:r>
    </w:p>
    <w:p>
      <w:pPr>
        <w:spacing w:after="160"/>
      </w:pPr>
      <w:r>
        <w:rPr>
          <w:rFonts w:ascii="Calibri" w:cs="Calibri" w:eastAsia="Calibri" w:hAnsi="Calibri"/>
          <w:b w:val="false"/>
          <w:bCs w:val="false"/>
          <w:i w:val="false"/>
          <w:iCs w:val="false"/>
          <w:sz w:val="21"/>
          <w:szCs w:val="21"/>
        </w:rPr>
        <w:t xml:space="preserve">Validated: containerized infrastructure via Docker Compose, with an Nginx reverse proxy in front of application containers. No infrastructure-as-code tooling (e.g., Terraform, CloudFormation, Pulumi) was found in the repository; host-level provisioning for the staging and production hosts referenced in deploy.yml is Not Yet Realized as a version-controlled artifact — it is not visible to this repository and should not be assumed to exist.</w:t>
      </w:r>
    </w:p>
    <w:p>
      <w:pPr>
        <w:pStyle w:val="Heading1"/>
        <w:spacing w:after="200" w:before="400"/>
      </w:pPr>
      <w:r>
        <w:t xml:space="preserve">16. Database Change Governance</w:t>
      </w:r>
    </w:p>
    <w:p>
      <w:pPr>
        <w:spacing w:after="160"/>
      </w:pPr>
      <w:r>
        <w:rPr>
          <w:rFonts w:ascii="Calibri" w:cs="Calibri" w:eastAsia="Calibri" w:hAnsi="Calibri"/>
          <w:b w:val="false"/>
          <w:bCs w:val="false"/>
          <w:i w:val="false"/>
          <w:iCs w:val="false"/>
          <w:sz w:val="21"/>
          <w:szCs w:val="21"/>
        </w:rPr>
        <w:t xml:space="preserve">Validated: 71 migration files exist under core/supabase/migrations. The CI pipeline's migration-check job enforces two controls on any newly-added migration in a push: (1) filename must be prefixed with a 14-digit timestamp (YYYYMMDDHHMMSS_), and (2) unguarded destructive statements (DROP TABLE, DROP COLUMN, TRUNCATE) outside an IF EXISTS guard are blocked. The six earliest migration files (000–006) predate this naming convention and would not themselves pass the check; this is expected — the check only evaluates files changed in a given push, not the historical migration set — but it means the convention is enforced prospectively, not retroactively. Migrations are applied idempotently via scripts/run-migrations.js during both staging and production deploys, and a drift-check script (npm run drift:check) exists in the backend package for detecting schema drift outside this process.</w:t>
      </w:r>
    </w:p>
    <w:p>
      <w:pPr>
        <w:pStyle w:val="Heading1"/>
        <w:spacing w:after="200" w:before="400"/>
      </w:pPr>
      <w:r>
        <w:t xml:space="preserve">17. API and Integration Governance</w:t>
      </w:r>
    </w:p>
    <w:p>
      <w:pPr>
        <w:spacing w:after="160"/>
      </w:pPr>
      <w:r>
        <w:rPr>
          <w:rFonts w:ascii="Calibri" w:cs="Calibri" w:eastAsia="Calibri" w:hAnsi="Calibri"/>
          <w:b w:val="false"/>
          <w:bCs w:val="false"/>
          <w:i w:val="false"/>
          <w:iCs w:val="false"/>
          <w:sz w:val="21"/>
          <w:szCs w:val="21"/>
        </w:rPr>
        <w:t xml:space="preserve">No OpenAPI/Swagger specification or equivalent formal API contract document was found in the repository. API governance currently exists only at the process level: the pull request template requires new query hooks to document their endpoint, method, and query-key registration. Formal API contract documentation and automated contract testing beyond the existing test:contract script are Not Yet Realized.</w:t>
      </w:r>
    </w:p>
    <w:p>
      <w:pPr>
        <w:spacing w:after="160"/>
      </w:pPr>
      <w:r>
        <w:rPr>
          <w:rFonts w:ascii="Calibri" w:cs="Calibri" w:eastAsia="Calibri" w:hAnsi="Calibri"/>
          <w:b w:val="false"/>
          <w:bCs w:val="false"/>
          <w:i w:val="false"/>
          <w:iCs w:val="false"/>
          <w:sz w:val="21"/>
          <w:szCs w:val="21"/>
        </w:rPr>
        <w:t xml:space="preserve">External integrations are evidenced by configuration artifacts present in the repository (Supabase, a Google Sheets–based integration) but no formal integration-governance framework — versioned contracts, deprecation policy, integration health monitoring — currently exists for them. Status: Not Yet Realized as a governed function, though the integrations themselves are operationally present.</w:t>
      </w:r>
    </w:p>
    <w:p>
      <w:pPr>
        <w:pStyle w:val="Heading1"/>
        <w:spacing w:after="200" w:before="400"/>
      </w:pPr>
      <w:r>
        <w:t xml:space="preserve">18. Security Engineering Control</w:t>
      </w:r>
    </w:p>
    <w:p>
      <w:pPr>
        <w:spacing w:after="160"/>
      </w:pPr>
      <w:r>
        <w:rPr>
          <w:rFonts w:ascii="Calibri" w:cs="Calibri" w:eastAsia="Calibri" w:hAnsi="Calibri"/>
          <w:b w:val="false"/>
          <w:bCs w:val="false"/>
          <w:i w:val="false"/>
          <w:iCs w:val="false"/>
          <w:sz w:val="21"/>
          <w:szCs w:val="21"/>
        </w:rPr>
        <w:t xml:space="preserve">Validated: automated secret scanning (Gitleaks) runs both as a dedicated workflow and as a job within the main CI/CD pipeline; dependency vulnerability scanning (npm audit) runs at high severity threshold (non-blocking); filesystem and container image vulnerability scanning (Trivy) runs with CRITICAL/HIGH severity, blocking the pipeline on CRITICAL findings in built images.</w:t>
      </w:r>
    </w:p>
    <w:p>
      <w:pPr>
        <w:spacing w:after="160"/>
      </w:pPr>
      <w:r>
        <w:rPr>
          <w:rFonts w:ascii="Calibri" w:cs="Calibri" w:eastAsia="Calibri" w:hAnsi="Calibri"/>
          <w:b w:val="false"/>
          <w:bCs w:val="false"/>
          <w:i w:val="false"/>
          <w:iCs w:val="false"/>
          <w:sz w:val="21"/>
          <w:szCs w:val="21"/>
        </w:rPr>
        <w:t xml:space="preserve">One security-control gap is noted here as a factual, currently-open finding rather than glossed over: plaintext credential files (API keys, a database password file, and a token file) were found in the repository root and core/ directory outside of any secrets-management mechanism, as previously identified during initial repository review. This is an active control gap that the automated Gitleaks scanning above is designed to catch on any new commit, but which predates or bypasses that control for files already present in the repository snapshot. Status: Open — recommended for immediate rotation and removal, independent of any Work Package's execution timeline.</w:t>
      </w:r>
    </w:p>
    <w:p>
      <w:pPr>
        <w:pStyle w:val="Heading1"/>
        <w:spacing w:after="200" w:before="400"/>
      </w:pPr>
      <w:r>
        <w:t xml:space="preserve">19. Quality Engineering Control and Testing Governance</w:t>
      </w:r>
    </w:p>
    <w:p>
      <w:pPr>
        <w:spacing w:after="160"/>
      </w:pPr>
      <w:r>
        <w:rPr>
          <w:rFonts w:ascii="Calibri" w:cs="Calibri" w:eastAsia="Calibri" w:hAnsi="Calibri"/>
          <w:b w:val="false"/>
          <w:bCs w:val="false"/>
          <w:i w:val="false"/>
          <w:iCs w:val="false"/>
          <w:sz w:val="21"/>
          <w:szCs w:val="21"/>
        </w:rPr>
        <w:t xml:space="preserve">Validated, backend: Jest-based test suite (npm test, run with coverage and uploaded to Codecov in CI), a separate contract-test script (test:contract), and standalone health/readiness smoke-test scripts (health:smoke, ready:smoke) used during deployment verification.</w:t>
      </w:r>
    </w:p>
    <w:p>
      <w:pPr>
        <w:spacing w:after="160"/>
      </w:pPr>
      <w:r>
        <w:rPr>
          <w:rFonts w:ascii="Calibri" w:cs="Calibri" w:eastAsia="Calibri" w:hAnsi="Calibri"/>
          <w:b w:val="false"/>
          <w:bCs w:val="false"/>
          <w:i w:val="false"/>
          <w:iCs w:val="false"/>
          <w:sz w:val="21"/>
          <w:szCs w:val="21"/>
        </w:rPr>
        <w:t xml:space="preserve">Not Yet Realized, frontend: the frontend package defines no test script (only dev, build, lint, preview). The CI quality gate performs frontend lint and type-check but does not execute any frontend automated test suite, because none is defined. This is recorded as a genuine testing-governance gap, not assumed to exist because backend testing is mature.</w:t>
      </w:r>
    </w:p>
    <w:p>
      <w:pPr>
        <w:pStyle w:val="Heading1"/>
        <w:spacing w:after="200" w:before="400"/>
      </w:pPr>
      <w:r>
        <w:t xml:space="preserve">20. Technical Review Process</w:t>
      </w:r>
    </w:p>
    <w:p>
      <w:pPr>
        <w:spacing w:after="160"/>
      </w:pPr>
      <w:r>
        <w:rPr>
          <w:rFonts w:ascii="Calibri" w:cs="Calibri" w:eastAsia="Calibri" w:hAnsi="Calibri"/>
          <w:b w:val="false"/>
          <w:bCs w:val="false"/>
          <w:i w:val="false"/>
          <w:iCs w:val="false"/>
          <w:sz w:val="21"/>
          <w:szCs w:val="21"/>
        </w:rPr>
        <w:t xml:space="preserve">Documented process (pull request template): every PR is classified by change type (Feature, Boundary change, Infrastructure change, Refactor, Hotfix), and Boundary or Infrastructure changes are marked as requiring platform-architecture review. As noted in §10, this requirement is not backed by a CODEOWNERS enforcement mechanism, so it currently depends on reviewer discipline rather than a required, blocking review. Formalizing this as an enforced control is an engineering risk item (§24), not a change made by this document.</w:t>
      </w:r>
    </w:p>
    <w:p>
      <w:pPr>
        <w:pStyle w:val="Heading1"/>
        <w:spacing w:after="200" w:before="400"/>
      </w:pPr>
      <w:r>
        <w:t xml:space="preserve">21. Engineering Change Control</w:t>
      </w:r>
    </w:p>
    <w:p>
      <w:pPr>
        <w:spacing w:after="160"/>
      </w:pPr>
      <w:r>
        <w:rPr>
          <w:rFonts w:ascii="Calibri" w:cs="Calibri" w:eastAsia="Calibri" w:hAnsi="Calibri"/>
          <w:b w:val="false"/>
          <w:bCs w:val="false"/>
          <w:i w:val="false"/>
          <w:iCs w:val="false"/>
          <w:sz w:val="21"/>
          <w:szCs w:val="21"/>
        </w:rPr>
        <w:t xml:space="preserve">Consistent with ERP-02 Phase A §25: any engineering change that stays within an already-approved AR/EGD/ER/VAR requires only Engineering Leadership sign-off (once that role is staffed); any change that would alter the meaning or scope of an approved identifier is out of ERP-02's authority and must return to an ERP-01-class architecture process. Examples of in-scope engineering changes under this document: reconciling the branch-trigger mismatch noted in §10, adding a CODEOWNERS-enforced review gate (§20), or adding the frontend test script noted in §19. None of these requires a new AR, EGD, or WP — they are engineering-quality corrections, not architecture changes.</w:t>
      </w:r>
    </w:p>
    <w:p>
      <w:pPr>
        <w:pStyle w:val="Heading1"/>
        <w:spacing w:after="200" w:before="400"/>
      </w:pPr>
      <w:r>
        <w:t xml:space="preserve">22. Architecture Compliance During Engineering</w:t>
      </w:r>
    </w:p>
    <w:p>
      <w:pPr>
        <w:spacing w:after="160"/>
      </w:pPr>
      <w:r>
        <w:rPr>
          <w:rFonts w:ascii="Calibri" w:cs="Calibri" w:eastAsia="Calibri" w:hAnsi="Calibri"/>
          <w:b w:val="false"/>
          <w:bCs w:val="false"/>
          <w:i w:val="false"/>
          <w:iCs w:val="false"/>
          <w:sz w:val="21"/>
          <w:szCs w:val="21"/>
        </w:rPr>
        <w:t xml:space="preserve">Every engineering activity performed under this document must trace to at least one AR, EGD, or WP from ERP-01, per ERP-02 Phase A §26. The six approved Work Packages already carry that traceability (ERP-02 Phase B §9, §23). Engineering activity discovered during execution that does not trace to an approved identifier — for example, an ad hoc schema change unrelated to WP-0001, WP-0003, or WP-0004 — is out of ERP-02 Phase C's scope and must be routed to the Enterprise Architecture Board for disposition before proceeding.</w:t>
      </w:r>
    </w:p>
    <w:p>
      <w:pPr>
        <w:pStyle w:val="Heading1"/>
        <w:spacing w:after="200" w:before="400"/>
      </w:pPr>
      <w:r>
        <w:t xml:space="preserve">23. Technical Debt Governance</w:t>
      </w:r>
    </w:p>
    <w:p>
      <w:pPr>
        <w:spacing w:after="160"/>
      </w:pPr>
      <w:r>
        <w:rPr>
          <w:rFonts w:ascii="Calibri" w:cs="Calibri" w:eastAsia="Calibri" w:hAnsi="Calibri"/>
          <w:b w:val="false"/>
          <w:bCs w:val="false"/>
          <w:i w:val="false"/>
          <w:iCs w:val="false"/>
          <w:sz w:val="21"/>
          <w:szCs w:val="21"/>
        </w:rPr>
        <w:t xml:space="preserve">Reused exactly from ERP-01 Phase A.3 KPI-09: one Critical, one Strategic, one Tactical, and one Acceptable-conditional debt classification, unchanged as of this document. This document adds no new debt classification. The two engineering-risk findings in §24 (branch-trigger mismatch; missing frontend test script) are recorded as candidate Tactical-class technical debt items pending formal classification by whichever governance body is chartered to own the Technical Debt Governance register under ERP-02 Phase A.</w:t>
      </w:r>
    </w:p>
    <w:p>
      <w:pPr>
        <w:pStyle w:val="Heading1"/>
        <w:spacing w:after="200" w:before="400"/>
      </w:pPr>
      <w:r>
        <w:t xml:space="preserve">24. Engineering Risk Control</w:t>
      </w:r>
    </w:p>
    <w:p>
      <w:pPr>
        <w:spacing w:after="160"/>
      </w:pPr>
      <w:r>
        <w:rPr>
          <w:rFonts w:ascii="Calibri" w:cs="Calibri" w:eastAsia="Calibri" w:hAnsi="Calibri"/>
          <w:b w:val="false"/>
          <w:bCs w:val="false"/>
          <w:i w:val="false"/>
          <w:iCs w:val="false"/>
          <w:sz w:val="21"/>
          <w:szCs w:val="21"/>
        </w:rPr>
        <w:t xml:space="preserve">Two engineering-risk findings, confirmed by direct repository inspection, are recorded here as factual observations independent of Work Package execution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300"/>
      </w:tblGrid>
      <w:tr>
        <w:trPr>
          <w:tblHeader/>
        </w:trPr>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Finding</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Evidence</w:t>
            </w:r>
          </w:p>
        </w:tc>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Risk</w:t>
            </w:r>
          </w:p>
        </w:tc>
        <w:tc>
          <w:tcPr>
            <w:tcW w:type="dxa" w:w="2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Recommended Disposition</w:t>
            </w:r>
          </w:p>
        </w:tc>
      </w:tr>
      <w:tr>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Branch-trigger mismatch between deploy.yml and frontend-ci.yml</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deploy.yml triggers on main/staging only; frontend-ci.yml triggers on main/develop/feature/**</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Low–Medium: frontend changes on staging are not exercised by frontend-ci.yml's type-check/lint job, only by deploy.yml's quality gate</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Reconcile branch lists across both workflows as an engineering change (§21)</w:t>
            </w:r>
          </w:p>
        </w:tc>
      </w:tr>
      <w:tr>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No frontend automated test suite</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front/package.json defines no test script; CI quality gate does not execute frontend tests</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Medium: frontend regressions are not caught pre-deploy the way backend regressions are (Jest + coverage)</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Add a frontend test framework and script as an engineering change (§21)</w:t>
            </w:r>
          </w:p>
        </w:tc>
      </w:tr>
      <w:tr>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Plaintext credential files in repository</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API key, database password, and token files found outside secrets management</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High until rotated</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Rotate and remove immediately; independent of Work Package timeline (§18)</w:t>
            </w:r>
          </w:p>
        </w:tc>
      </w:tr>
      <w:tr>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Technical review not programmatically enforced</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No CODEOWNERS file; PR template review requirement is process-only</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Medium: architecture-boundary changes can merge without the review the template calls for</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Add CODEOWNERS mapping to enforce the existing PR template requirement (§20)</w:t>
            </w:r>
          </w:p>
        </w:tc>
      </w:tr>
    </w:tbl>
    <w:p>
      <w:pPr>
        <w:pStyle w:val="Heading1"/>
        <w:spacing w:after="200" w:before="400"/>
      </w:pPr>
      <w:r>
        <w:t xml:space="preserve">25. Engineering Metrics and KPI Monitoring</w:t>
      </w:r>
    </w:p>
    <w:p>
      <w:pPr>
        <w:spacing w:after="160"/>
      </w:pPr>
      <w:r>
        <w:rPr>
          <w:rFonts w:ascii="Calibri" w:cs="Calibri" w:eastAsia="Calibri" w:hAnsi="Calibri"/>
          <w:b w:val="false"/>
          <w:bCs w:val="false"/>
          <w:i w:val="false"/>
          <w:iCs w:val="false"/>
          <w:sz w:val="21"/>
          <w:szCs w:val="21"/>
        </w:rPr>
        <w:t xml:space="preserve">This document reuses ERP-01's ten KPIs exactly (KPI-01–KPI-10) and adds no new KPI, consistent with ERP-02 Phase A §31. Engineering-level metrics available today from repository inspection but not yet formally tied to a KPI-monitoring cadence: CI pipeline pass/fail rate, Trivy/Gitleaks/npm-audit finding counts per run, and backend test coverage percentage from Codecov. Formal monitoring ownership and cadence for these metrics is Not Yet Realized, consistent with Phase A §31's finding that KPI ownership and review cadence remain unassigned pending governance-body staffing.</w:t>
      </w:r>
    </w:p>
    <w:p>
      <w:pPr>
        <w:pStyle w:val="Heading1"/>
        <w:spacing w:after="200" w:before="400"/>
      </w:pPr>
      <w:r>
        <w:t xml:space="preserve">26. Engineering Evidence Collection</w:t>
      </w:r>
    </w:p>
    <w:p>
      <w:pPr>
        <w:spacing w:after="160"/>
      </w:pPr>
      <w:r>
        <w:rPr>
          <w:rFonts w:ascii="Calibri" w:cs="Calibri" w:eastAsia="Calibri" w:hAnsi="Calibri"/>
          <w:b w:val="false"/>
          <w:bCs w:val="false"/>
          <w:i w:val="false"/>
          <w:iCs w:val="false"/>
          <w:sz w:val="21"/>
          <w:szCs w:val="21"/>
        </w:rPr>
        <w:t xml:space="preserve">Per ERP-02 Phase A §28, engineering evidence is recorded only where it factually exists and is stored against the Work Package identifier it supports. For the six approved Work Packages, the specific evidence artifacts required are listed in §8 above and were first specified in ERP-02 Phase B §22; this document does not redefine them. CI/CD run logs, Codecov reports, and Trivy/Gitleaks scan outputs are candidate evidence sources for future Work Package verification (e.g., a WP-0002 RLS verification could reference a specific query audit output) but no such evidence has yet been generated in service of any Work Package.</w:t>
      </w:r>
    </w:p>
    <w:p>
      <w:pPr>
        <w:pStyle w:val="Heading1"/>
        <w:spacing w:after="200" w:before="400"/>
      </w:pPr>
      <w:r>
        <w:t xml:space="preserve">27. Engineering Reporting and Review Cadence</w:t>
      </w:r>
    </w:p>
    <w:p>
      <w:pPr>
        <w:spacing w:after="160"/>
      </w:pPr>
      <w:r>
        <w:rPr>
          <w:rFonts w:ascii="Calibri" w:cs="Calibri" w:eastAsia="Calibri" w:hAnsi="Calibri"/>
          <w:b w:val="false"/>
          <w:bCs w:val="false"/>
          <w:i w:val="false"/>
          <w:iCs w:val="false"/>
          <w:sz w:val="21"/>
          <w:szCs w:val="21"/>
        </w:rPr>
        <w:t xml:space="preserve">Engineering status reporting uses the same evidence-first vocabulary as ERP-01 and ERP-02 Phase A: Validated, Partially Realized, Not Yet Realized, Reserved for Future Realization Phases. Review cadence for engineering execution is Reserved for Future Realization Phases pending the same precondition ERP-02 Phase A §32 already identified: no governance body or meeting cadence is chartered yet. Once Wave 1 execution begins (WP-0002, WP-0006), the minimum reporting artifact is a per-Work-Package evidence update against §8's table, not a narrative progress claim.</w:t>
      </w:r>
    </w:p>
    <w:p>
      <w:pPr>
        <w:pStyle w:val="Heading1"/>
        <w:spacing w:after="200" w:before="400"/>
      </w:pPr>
      <w:r>
        <w:t xml:space="preserve">28. Engineering Acceptance Gates and Exit Criteria</w:t>
      </w:r>
    </w:p>
    <w:p>
      <w:pPr>
        <w:spacing w:after="160"/>
      </w:pPr>
      <w:r>
        <w:rPr>
          <w:rFonts w:ascii="Calibri" w:cs="Calibri" w:eastAsia="Calibri" w:hAnsi="Calibri"/>
          <w:b w:val="false"/>
          <w:bCs w:val="false"/>
          <w:i w:val="false"/>
          <w:iCs w:val="false"/>
          <w:sz w:val="21"/>
          <w:szCs w:val="21"/>
        </w:rPr>
        <w:t xml:space="preserve">Gate EC-1 (Wave 1 engineering readiness): WP-0002 and WP-0006 evidence, per §8, is submitted and verified. Not yet met.</w:t>
      </w:r>
    </w:p>
    <w:p>
      <w:pPr>
        <w:spacing w:after="160"/>
      </w:pPr>
      <w:r>
        <w:rPr>
          <w:rFonts w:ascii="Calibri" w:cs="Calibri" w:eastAsia="Calibri" w:hAnsi="Calibri"/>
          <w:b w:val="false"/>
          <w:bCs w:val="false"/>
          <w:i w:val="false"/>
          <w:iCs w:val="false"/>
          <w:sz w:val="21"/>
          <w:szCs w:val="21"/>
        </w:rPr>
        <w:t xml:space="preserve">Gate EC-2 (Wave 2 engineering readiness): WP-0001, WP-0004, WP-0005 evidence is submitted and verified, and the two engineering-risk findings in §24 rated Medium or higher are dispositioned. Not yet met; gated on Gate EC-1.</w:t>
      </w:r>
    </w:p>
    <w:p>
      <w:pPr>
        <w:spacing w:after="160"/>
      </w:pPr>
      <w:r>
        <w:rPr>
          <w:rFonts w:ascii="Calibri" w:cs="Calibri" w:eastAsia="Calibri" w:hAnsi="Calibri"/>
          <w:b w:val="false"/>
          <w:bCs w:val="false"/>
          <w:i w:val="false"/>
          <w:iCs w:val="false"/>
          <w:sz w:val="21"/>
          <w:szCs w:val="21"/>
        </w:rPr>
        <w:t xml:space="preserve">ERP-02 Phase C Exit Criteria: this document exits DRAFT status once (a) at least one Work Package has real, verified evidence recorded against it per §8, and (b) the plaintext-credential finding in §24 has been remediated. Until both are true, this document remains a control specification with zero engineering execution evidence to report, by design — consistent with how ERP-02 Phase A and Phase B each state their own non-completion honestly.</w:t>
      </w:r>
    </w:p>
    <w:p>
      <w:pPr>
        <w:pStyle w:val="Heading1"/>
        <w:spacing w:after="200" w:before="400"/>
      </w:pPr>
      <w:r>
        <w:t xml:space="preserve">29. References to ERP-01</w:t>
      </w:r>
    </w:p>
    <w:p>
      <w:pPr>
        <w:pStyle w:val="ListParagraph"/>
        <w:numPr>
          <w:ilvl w:val="0"/>
          <w:numId w:val="1"/>
        </w:numPr>
        <w:spacing w:after="80"/>
      </w:pPr>
      <w:r>
        <w:t xml:space="preserve">ERP-01 Phase A.1–A.3 — Enterprise Physical Data Model Realization Assessment, Governance &amp; Disposition Assessment, Architecture Baseline &amp; Resolution Repository</w:t>
      </w:r>
    </w:p>
    <w:p>
      <w:pPr>
        <w:pStyle w:val="ListParagraph"/>
        <w:numPr>
          <w:ilvl w:val="0"/>
          <w:numId w:val="1"/>
        </w:numPr>
        <w:spacing w:after="80"/>
      </w:pPr>
      <w:r>
        <w:t xml:space="preserve">ERP-01 Phase B — Enterprise Architecture Realization Roadmap &amp; Portfolio Plan</w:t>
      </w:r>
    </w:p>
    <w:p>
      <w:pPr>
        <w:pStyle w:val="ListParagraph"/>
        <w:numPr>
          <w:ilvl w:val="0"/>
          <w:numId w:val="1"/>
        </w:numPr>
        <w:spacing w:after="80"/>
      </w:pPr>
      <w:r>
        <w:t xml:space="preserve">ERP-01 Phase C §1–9 — Engineering Catalog, Design Specification, Implementation Blueprint, Conformance Plan, Testing &amp; Verification Strategy, Risk-Control Matrix, Acceptance Criteria</w:t>
      </w:r>
    </w:p>
    <w:p>
      <w:pPr>
        <w:pStyle w:val="ListParagraph"/>
        <w:numPr>
          <w:ilvl w:val="0"/>
          <w:numId w:val="1"/>
        </w:numPr>
        <w:spacing w:after="80"/>
      </w:pPr>
      <w:r>
        <w:t xml:space="preserve">ERP-01 Phase C §10.1–10.14 — Executive Dashboard Suite</w:t>
      </w:r>
    </w:p>
    <w:p>
      <w:pPr>
        <w:pStyle w:val="ListParagraph"/>
        <w:numPr>
          <w:ilvl w:val="0"/>
          <w:numId w:val="1"/>
        </w:numPr>
        <w:spacing w:after="80"/>
      </w:pPr>
      <w:r>
        <w:t xml:space="preserve">ERP-01A — Enterprise Repository Quality Assurance &amp; Baseline Validation Report</w:t>
      </w:r>
    </w:p>
    <w:p>
      <w:pPr>
        <w:pStyle w:val="ListParagraph"/>
        <w:numPr>
          <w:ilvl w:val="0"/>
          <w:numId w:val="1"/>
        </w:numPr>
        <w:spacing w:after="80"/>
      </w:pPr>
      <w:r>
        <w:t xml:space="preserve">ERP-02 Phase A — Enterprise Execution Governance Framework</w:t>
      </w:r>
    </w:p>
    <w:p>
      <w:pPr>
        <w:pStyle w:val="ListParagraph"/>
        <w:numPr>
          <w:ilvl w:val="0"/>
          <w:numId w:val="1"/>
        </w:numPr>
        <w:spacing w:after="80"/>
      </w:pPr>
      <w:r>
        <w:t xml:space="preserve">ERP-02 Phase B — Enterprise Portfolio Execution Planning</w:t>
      </w:r>
    </w:p>
    <w:p>
      <w:pPr>
        <w:pStyle w:val="Heading1"/>
        <w:spacing w:after="200" w:before="400"/>
      </w:pPr>
      <w:r>
        <w:t xml:space="preserve">30. Conclusion</w:t>
      </w:r>
    </w:p>
    <w:p>
      <w:pPr>
        <w:spacing w:after="160"/>
      </w:pPr>
      <w:r>
        <w:rPr>
          <w:rFonts w:ascii="Calibri" w:cs="Calibri" w:eastAsia="Calibri" w:hAnsi="Calibri"/>
          <w:b w:val="false"/>
          <w:bCs w:val="false"/>
          <w:i w:val="false"/>
          <w:iCs w:val="false"/>
          <w:sz w:val="21"/>
          <w:szCs w:val="21"/>
        </w:rPr>
        <w:t xml:space="preserve">ERP-02 Phase C establishes engineering execution control for the six Work Packages ERP-01 has approved, without redesigning architecture, redefining any identifier, or duplicating ERP-01 Phase C's engineering specifications. Repository inspection confirms mature, real CI/CD, build, deployment, and database-change infrastructure already exists — but confirms equally clearly that none of the six approved Work Packages has used it yet. Four engineering-risk findings are recorded honestly as open items independent of Work Package timing. This document, like ERP-02 Phase A and Phase B before it, is a control specification the program will operate under once execution begins — it is not itself evidence that execution has begun.</w:t>
      </w:r>
    </w:p>
    <w:p>
      <w:r>
        <w:br w:type="page"/>
      </w:r>
    </w:p>
    <w:p>
      <w:pPr>
        <w:pStyle w:val="Heading1"/>
        <w:spacing w:after="200" w:before="400"/>
      </w:pPr>
      <w:r>
        <w:t xml:space="preserve">Appendix A — Mapping to the 38-Topic Engineering Execution Control Template</w:t>
      </w:r>
    </w:p>
    <w:p>
      <w:pPr>
        <w:spacing w:after="160"/>
      </w:pPr>
      <w:r>
        <w:rPr>
          <w:rFonts w:ascii="Calibri" w:cs="Calibri" w:eastAsia="Calibri" w:hAnsi="Calibri"/>
          <w:b w:val="false"/>
          <w:bCs w:val="false"/>
          <w:i w:val="false"/>
          <w:iCs w:val="false"/>
          <w:sz w:val="21"/>
          <w:szCs w:val="21"/>
        </w:rPr>
        <w:t xml:space="preserve">Provided for traceability against the full engineering-execution-control topic list, consolidated into the sections above rather than issued as 38 separate near-empty headers, consistent with ERP-01 Phase B and ERP-02 Phase B's documentation practice.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500"/>
        <w:gridCol w:w="2700"/>
      </w:tblGrid>
      <w:tr>
        <w:trPr>
          <w:tblHeader/>
        </w:trPr>
        <w:tc>
          <w:tcPr>
            <w:tcW w:type="dxa" w:w="6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Template Topic</w:t>
            </w:r>
          </w:p>
        </w:tc>
        <w:tc>
          <w:tcPr>
            <w:tcW w:type="dxa" w:w="2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Addressed In</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 Executive Summary</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 Purpose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 Scope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4. Relationship to ERP-01 Engineering Baseline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5–6. Engineering Execution Philosophy &amp; Control Objectives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7. Engineering Governance Structure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8. Engineering Execution Lifecycle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9. Engineering Work Package Control</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§8</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10. Engineering Repository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§9</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11–12. Source Code Governance &amp; Branch Management</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§10</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13. CI/CD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14. Build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15. Deployment Pipeline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16–17. Configuration Management &amp; Environment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18. Infrastructure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19. Database Change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20–21. API &amp; Integration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22. Security Engineering Control</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§18</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23–24. Quality Engineering Control &amp; Testing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§19</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25. Technical Review Process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§20</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26. Engineering Change Control</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27. Architecture Compliance During Engineering</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28. Technical Debt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29. Engineering Risk Control</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30–31. Engineering Metrics &amp; KPI Monitoring</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32. Engineering Evidence Collection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33–34. Engineering Reporting &amp; Review Cadence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35–36. Engineering Acceptance Gates &amp; Exit Criteria</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§28</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37. References to ERP-01</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§29</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38. Conclusion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§30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2026-07-10T06:01:00.991Z</dcterms:created>
  <dcterms:modified xsi:type="dcterms:W3CDTF">2026-07-10T06:01:00.992Z</dcterms:modified>
</cp:coreProperties>
</file>

<file path=docProps/custom.xml><?xml version="1.0" encoding="utf-8"?>
<Properties xmlns="http://schemas.openxmlformats.org/officeDocument/2006/custom-properties" xmlns:vt="http://schemas.openxmlformats.org/officeDocument/2006/docPropsVTypes"/>
</file>