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ERP-02 — Phase E</w:t>
      </w:r>
    </w:p>
    <w:p>
      <w:pPr>
        <w:spacing w:after="400" w:before="200"/>
        <w:jc w:val="center"/>
      </w:pPr>
      <w:r>
        <w:rPr>
          <w:b/>
          <w:bCs/>
          <w:color w:val="9C6F1E"/>
          <w:sz w:val="30"/>
          <w:szCs w:val="30"/>
        </w:rPr>
        <w:t xml:space="preserve">Enterprise Architecture Compliance During Delivery</w:t>
      </w:r>
    </w:p>
    <w:p>
      <w:pPr>
        <w:spacing w:after="120"/>
        <w:jc w:val="center"/>
      </w:pPr>
      <w:r>
        <w:rPr>
          <w:i/>
          <w:iCs/>
          <w:sz w:val="24"/>
          <w:szCs w:val="24"/>
        </w:rPr>
        <w:t xml:space="preserve">HireRise Career Intelligence Platform</w:t>
      </w:r>
    </w:p>
    <w:p>
      <w:pPr>
        <w:spacing w:after="600"/>
        <w:jc w:val="center"/>
      </w:pPr>
      <w:r>
        <w:rPr>
          <w:i/>
          <w:iCs/>
          <w:color w:val="595959"/>
          <w:sz w:val="22"/>
          <w:szCs w:val="22"/>
        </w:rPr>
        <w:t xml:space="preserve">Target-State Enterprise Architecture Execution Repository</w:t>
      </w:r>
    </w:p>
    <w:p>
      <w:pPr>
        <w:spacing w:after="100"/>
        <w:jc w:val="center"/>
      </w:pPr>
      <w:r>
        <w:rPr>
          <w:sz w:val="22"/>
          <w:szCs w:val="22"/>
        </w:rPr>
        <w:t xml:space="preserve">Version 1.0  |  Status: DRAFT FOR REVIEW</w:t>
      </w:r>
    </w:p>
    <w:p>
      <w:pPr>
        <w:spacing w:after="100"/>
        <w:jc w:val="center"/>
      </w:pPr>
      <w:r>
        <w:rPr>
          <w:color w:val="595959"/>
          <w:sz w:val="20"/>
          <w:szCs w:val="20"/>
        </w:rPr>
        <w:t xml:space="preserve">Program: ERP-02 Enterprise Architecture Execution &amp; Realization Program</w:t>
      </w:r>
    </w:p>
    <w:p>
      <w:pPr>
        <w:jc w:val="center"/>
      </w:pPr>
      <w:r>
        <w:rPr>
          <w:color w:val="595959"/>
          <w:sz w:val="20"/>
          <w:szCs w:val="20"/>
        </w:rPr>
        <w:t xml:space="preserve">Predecessor Documents: ERP-01, ERP-01A, ERP-02 Phases A–D</w:t>
      </w:r>
    </w:p>
    <w:p>
      <w:pPr>
        <w:spacing w:after="120" w:before="1200"/>
      </w:pPr>
      <w:r>
        <w:rPr>
          <w:b/>
          <w:bCs/>
          <w:color w:val="1F3864"/>
          <w:sz w:val="24"/>
          <w:szCs w:val="24"/>
        </w:rPr>
        <w:t xml:space="preserve">Document Classification</w:t>
      </w:r>
    </w:p>
    <w:p>
      <w:pPr>
        <w:spacing w:after="160" w:line="276"/>
      </w:pPr>
      <w:r>
        <w:t xml:space="preserve">This document is a target-state enterprise architecture compliance specification. It does not represent an existing, operating compliance or audit organization. Governance bodies referenced from ERP-02 Phase A remain Not Yet Realized (uncharted, unstaffed) as of this document unless otherwise evidenced below. Current State and Target State are distinguished throughout; implementation and compliance evidence are never fabricated.</w:t>
      </w:r>
    </w:p>
    <w:p>
      <w:pPr>
        <w:spacing w:after="160" w:line="276"/>
      </w:pPr>
      <w:r>
        <w:t xml:space="preserve">This document introduces no new Architecture Requirement, Enterprise Governance Decision, Enterprise Resolution, Variance, Work Package, Portfolio, Wave, Milestone, or KPI identifier, redefines no Work Package, and reinterprets no Architecture Requirement. It does not duplicate ERP-02 Phase A's governance framework, Phase B's sequencing, Phase C's engineering controls, or Phase D's realization lifecycle. It governs a distinct layer: whether implementation, as and when it occurs, conforms to the ten Architecture Requirements ERP-01 Phase A.3 approved.</w:t>
      </w:r>
    </w:p>
    <w:p>
      <w:pPr>
        <w:spacing w:after="160" w:line="276"/>
      </w:pPr>
      <w:r>
        <w:t xml:space="preserve">A Note on Compliance Evidence. Compliance is reported per Architecture Requirement, not inferred from Work Package activity. Three Architecture Requirements — AR-0008, AR-0009, AR-0010 — are standing architecture, already implemented and evidenced independent of the six approved Work Packages, and are reported Architecture Conformant. AR-0003 is conformant via an accepted variance (VAR-03) even though its governance documentation (WP-0004) remains unrealized. The remaining six Architecture Requirements are reported Compliance Not Yet Assessable, honestly, pending implementation evidence.</w:t>
      </w:r>
    </w:p>
    <w:p>
      <w:pPr>
        <w:sectPr>
          <w:footerReference w:type="default" r:id="rId7"/>
          <w:pgSz w:w="12240" w:h="15840" w:orient="portrait"/>
          <w:pgMar w:top="1440" w:right="1440" w:bottom="1440" w:left="1440" w:header="708" w:footer="708" w:gutter="0"/>
          <w:pgNumType/>
          <w:docGrid w:linePitch="360"/>
        </w:sectPr>
      </w:pPr>
    </w:p>
    <w:p>
      <w:pPr>
        <w:pStyle w:val="Heading1"/>
        <w:spacing w:after="180" w:before="360"/>
      </w:pPr>
      <w:r>
        <w:t xml:space="preserve">1. Executive Summary</w:t>
      </w:r>
    </w:p>
    <w:p>
      <w:pPr>
        <w:spacing w:after="160" w:line="276"/>
      </w:pPr>
      <w:r>
        <w:t xml:space="preserve">ERP-02 Phase E establishes the enterprise architecture compliance framework that governs whether implementation, during and after delivery, conforms to the ten Architecture Requirements ERP-01 Phase A.3 approved. It defines the compliance lifecycle, evidence standard, review and audit process, deviation and drift management, and reporting model that apply from the moment engineering execution begins (ERP-02 Phase C) and Work Package realization proceeds (ERP-02 Phase D).</w:t>
      </w:r>
    </w:p>
    <w:p>
      <w:pPr>
        <w:spacing w:after="160" w:line="276"/>
      </w:pPr>
      <w:r>
        <w:t xml:space="preserve">Repository inspection, reused unchanged from ERP-01 Phase A.3 §7, confirms a mixed compliance baseline: three Architecture Requirements (AR-0008, AR-0009, AR-0010) are standing, already-conformant architecture; one (AR-0003) is conformant through an accepted variance even though its governance documentation is unrealized; and six (AR-0001, AR-0002, AR-0004, AR-0005, AR-0006, AR-0007) remain Compliance Not Yet Assessable, either deferred by governance decision or pending Work Package execution that has not yet occurred. This document reports that baseline honestly and establishes the mechanism by which compliance state will be recognized as it changes.</w:t>
      </w:r>
    </w:p>
    <w:p>
      <w:pPr>
        <w:spacing w:after="160" w:line="276"/>
      </w:pPr>
      <w:r>
        <w:t xml:space="preserve">Phase E does not redesign architecture, redefine Work Packages, or reinterpret Architecture Requirements. It is the compliance-governance counterpart to Phase D's realization governance: Phase D asks whether a Work Package is done; Phase E asks whether what was done conforms to what ERP-01 approved.</w:t>
      </w:r>
    </w:p>
    <w:p>
      <w:pPr>
        <w:pStyle w:val="Heading1"/>
        <w:spacing w:after="180" w:before="360"/>
      </w:pPr>
      <w:r>
        <w:t xml:space="preserve">2. Purpose</w:t>
      </w:r>
    </w:p>
    <w:p>
      <w:pPr>
        <w:spacing w:after="160" w:line="276"/>
      </w:pPr>
      <w:r>
        <w:t xml:space="preserve">This document exists to answer, for each of the ten approved Architecture Requirements, a standing governance question: does current implementation conform to the requirement, is that conformance evidenced, and — where it is not yet conformant — what compliance evidence, review, and approval must occur before conformance can be recognized. It is the canonical compliance reference that all future compliance reporting, audit preparation, and executive review shall cite rather than re-derive from ERP-01 directly.</w:t>
      </w:r>
    </w:p>
    <w:p>
      <w:pPr>
        <w:pStyle w:val="Heading1"/>
        <w:spacing w:after="180" w:before="360"/>
      </w:pPr>
      <w:r>
        <w:t xml:space="preserve">3. Scope</w:t>
      </w:r>
    </w:p>
    <w:p>
      <w:pPr>
        <w:spacing w:after="120"/>
      </w:pPr>
      <w:r>
        <w:rPr>
          <w:b/>
          <w:bCs/>
        </w:rPr>
        <w:t xml:space="preserve">In Scope</w:t>
      </w:r>
    </w:p>
    <w:p>
      <w:pPr>
        <w:pStyle w:val="ListParagraph"/>
        <w:numPr>
          <w:ilvl w:val="0"/>
          <w:numId w:val="1"/>
        </w:numPr>
        <w:spacing w:after="80"/>
      </w:pPr>
      <w:r>
        <w:t xml:space="preserve">Architecture compliance for all ten approved Architecture Requirements, AR-0001 through AR-0010.</w:t>
      </w:r>
    </w:p>
    <w:p>
      <w:pPr>
        <w:pStyle w:val="ListParagraph"/>
        <w:numPr>
          <w:ilvl w:val="0"/>
          <w:numId w:val="1"/>
        </w:numPr>
        <w:spacing w:after="80"/>
      </w:pPr>
      <w:r>
        <w:t xml:space="preserve">Compliance lifecycle, evidence, review, audit, exception, variance, and drift governance as applied during delivery.</w:t>
      </w:r>
    </w:p>
    <w:p>
      <w:pPr>
        <w:pStyle w:val="ListParagraph"/>
        <w:numPr>
          <w:ilvl w:val="0"/>
          <w:numId w:val="1"/>
        </w:numPr>
        <w:spacing w:after="80"/>
      </w:pPr>
      <w:r>
        <w:t xml:space="preserve">Compliance reporting, executive review cadence, and compliance dashboard input definitions.</w:t>
      </w:r>
    </w:p>
    <w:p>
      <w:pPr>
        <w:pStyle w:val="ListParagraph"/>
        <w:numPr>
          <w:ilvl w:val="0"/>
          <w:numId w:val="1"/>
        </w:numPr>
        <w:spacing w:after="80"/>
      </w:pPr>
      <w:r>
        <w:t xml:space="preserve">Traceability from Architecture Requirement through Operational Compliance.</w:t>
      </w:r>
    </w:p>
    <w:p>
      <w:pPr>
        <w:spacing w:after="120"/>
      </w:pPr>
      <w:r>
        <w:rPr>
          <w:b/>
          <w:bCs/>
        </w:rPr>
        <w:t xml:space="preserve">Out of Scope</w:t>
      </w:r>
    </w:p>
    <w:p>
      <w:pPr>
        <w:pStyle w:val="ListParagraph"/>
        <w:numPr>
          <w:ilvl w:val="0"/>
          <w:numId w:val="1"/>
        </w:numPr>
        <w:spacing w:after="80"/>
      </w:pPr>
      <w:r>
        <w:t xml:space="preserve">Architecture design or redesign of any kind (ERP-01 authoritative).</w:t>
      </w:r>
    </w:p>
    <w:p>
      <w:pPr>
        <w:pStyle w:val="ListParagraph"/>
        <w:numPr>
          <w:ilvl w:val="0"/>
          <w:numId w:val="1"/>
        </w:numPr>
        <w:spacing w:after="80"/>
      </w:pPr>
      <w:r>
        <w:t xml:space="preserve">Work Package definition, sequencing, or realization lifecycle (ERP-01, ERP-02 Phase B, ERP-02 Phase D authoritative).</w:t>
      </w:r>
    </w:p>
    <w:p>
      <w:pPr>
        <w:pStyle w:val="ListParagraph"/>
        <w:numPr>
          <w:ilvl w:val="0"/>
          <w:numId w:val="1"/>
        </w:numPr>
        <w:spacing w:after="80"/>
      </w:pPr>
      <w:r>
        <w:t xml:space="preserve">Engineering execution controls — source control, CI/CD, environments (ERP-02 Phase C authoritative).</w:t>
      </w:r>
    </w:p>
    <w:p>
      <w:pPr>
        <w:pStyle w:val="ListParagraph"/>
        <w:numPr>
          <w:ilvl w:val="0"/>
          <w:numId w:val="1"/>
        </w:numPr>
        <w:spacing w:after="80"/>
      </w:pPr>
      <w:r>
        <w:t xml:space="preserve">Reinterpretation of any Architecture Requirement, Enterprise Governance Decision, Enterprise Resolution, or Variance.</w:t>
      </w:r>
    </w:p>
    <w:p>
      <w:pPr>
        <w:pStyle w:val="ListParagraph"/>
        <w:numPr>
          <w:ilvl w:val="0"/>
          <w:numId w:val="1"/>
        </w:numPr>
        <w:spacing w:after="80"/>
      </w:pPr>
      <w:r>
        <w:t xml:space="preserve">Portfolios 3–7 and Waves 4–5, which remain Reserved for Future Realization Phases and carry no compliance obligation until a Work Package is approved against them.</w:t>
      </w:r>
    </w:p>
    <w:p>
      <w:pPr>
        <w:pStyle w:val="Heading1"/>
        <w:spacing w:after="180" w:before="360"/>
      </w:pPr>
      <w:r>
        <w:t xml:space="preserve">4. Relationship to ERP-01 Architecture Baseline</w:t>
      </w:r>
    </w:p>
    <w:p>
      <w:pPr>
        <w:spacing w:after="160" w:line="276"/>
      </w:pPr>
      <w:r>
        <w:t xml:space="preserve">ERP-01 Phase A.3 §7 (Enterprise Architecture Traceability Matrix) is the sole authoritative source for the conformance status, certification level, and verification method of every Architecture Requirement. This document reuses that matrix exactly, in Section 11, and adds nothing beyond a compliance-lifecycle state for each requirement. Where this document and ERP-01 Phase A.3 §7 could be read as disagreeing, ERP-01 Phase A.3 §7 governs.</w:t>
      </w:r>
    </w:p>
    <w:p>
      <w:pPr>
        <w:pStyle w:val="Heading1"/>
        <w:spacing w:after="180" w:before="360"/>
      </w:pPr>
      <w:r>
        <w:t xml:space="preserve">5. Relationship to ERP-02 Phases 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1F3864" w:val="clear"/>
            <w:tcMar>
              <w:top w:type="dxa" w:w="80"/>
              <w:left w:type="dxa" w:w="100"/>
              <w:bottom w:type="dxa" w:w="80"/>
              <w:right w:type="dxa" w:w="100"/>
            </w:tcMar>
            <w:vAlign w:val="center"/>
          </w:tcPr>
          <w:p>
            <w:r>
              <w:rPr>
                <w:b/>
                <w:bCs/>
                <w:color w:val="FFFFFF"/>
                <w:sz w:val="18"/>
                <w:szCs w:val="18"/>
              </w:rPr>
              <w:t xml:space="preserve">Prior Phase</w:t>
            </w:r>
          </w:p>
        </w:tc>
        <w:tc>
          <w:tcPr>
            <w:tcW w:type="dxa" w:w="3600"/>
            <w:shd w:fill="1F3864" w:val="clear"/>
            <w:tcMar>
              <w:top w:type="dxa" w:w="80"/>
              <w:left w:type="dxa" w:w="100"/>
              <w:bottom w:type="dxa" w:w="80"/>
              <w:right w:type="dxa" w:w="100"/>
            </w:tcMar>
            <w:vAlign w:val="center"/>
          </w:tcPr>
          <w:p>
            <w:r>
              <w:rPr>
                <w:b/>
                <w:bCs/>
                <w:color w:val="FFFFFF"/>
                <w:sz w:val="18"/>
                <w:szCs w:val="18"/>
              </w:rPr>
              <w:t xml:space="preserve">Governs</w:t>
            </w:r>
          </w:p>
        </w:tc>
        <w:tc>
          <w:tcPr>
            <w:tcW w:type="dxa" w:w="3800"/>
            <w:shd w:fill="1F3864" w:val="clear"/>
            <w:tcMar>
              <w:top w:type="dxa" w:w="80"/>
              <w:left w:type="dxa" w:w="100"/>
              <w:bottom w:type="dxa" w:w="80"/>
              <w:right w:type="dxa" w:w="100"/>
            </w:tcMar>
            <w:vAlign w:val="center"/>
          </w:tcPr>
          <w:p>
            <w:r>
              <w:rPr>
                <w:b/>
                <w:bCs/>
                <w:color w:val="FFFFFF"/>
                <w:sz w:val="18"/>
                <w:szCs w:val="18"/>
              </w:rPr>
              <w:t xml:space="preserve">What Phase E Adds</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ERP-02 Phase A</w:t>
            </w:r>
          </w:p>
        </w:tc>
        <w:tc>
          <w:tcPr>
            <w:tcW w:type="dxa" w:w="3600"/>
            <w:tcMar>
              <w:top w:type="dxa" w:w="80"/>
              <w:left w:type="dxa" w:w="100"/>
              <w:bottom w:type="dxa" w:w="80"/>
              <w:right w:type="dxa" w:w="100"/>
            </w:tcMar>
            <w:vAlign w:val="center"/>
          </w:tcPr>
          <w:p>
            <w:r>
              <w:rPr>
                <w:b w:val="false"/>
                <w:bCs w:val="false"/>
                <w:color w:val="000000"/>
                <w:sz w:val="18"/>
                <w:szCs w:val="18"/>
              </w:rPr>
              <w:t xml:space="preserve">Execution governance framework — roles, bodies, decision rights.</w:t>
            </w:r>
          </w:p>
        </w:tc>
        <w:tc>
          <w:tcPr>
            <w:tcW w:type="dxa" w:w="3800"/>
            <w:tcMar>
              <w:top w:type="dxa" w:w="80"/>
              <w:left w:type="dxa" w:w="100"/>
              <w:bottom w:type="dxa" w:w="80"/>
              <w:right w:type="dxa" w:w="100"/>
            </w:tcMar>
            <w:vAlign w:val="center"/>
          </w:tcPr>
          <w:p>
            <w:r>
              <w:rPr>
                <w:b w:val="false"/>
                <w:bCs w:val="false"/>
                <w:color w:val="000000"/>
                <w:sz w:val="18"/>
                <w:szCs w:val="18"/>
              </w:rPr>
              <w:t xml:space="preserve">Applies those roles to compliance review and audit authority.</w:t>
            </w:r>
          </w:p>
        </w:tc>
      </w:tr>
      <w:tr>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ERP-02 Phase B</w:t>
            </w:r>
          </w:p>
        </w:tc>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Portfolio and wave sequencing.</w:t>
            </w:r>
          </w:p>
        </w:tc>
        <w:tc>
          <w:tcPr>
            <w:tcW w:type="dxa" w:w="3800"/>
            <w:shd w:fill="F2F2F2" w:val="clear"/>
            <w:tcMar>
              <w:top w:type="dxa" w:w="80"/>
              <w:left w:type="dxa" w:w="100"/>
              <w:bottom w:type="dxa" w:w="80"/>
              <w:right w:type="dxa" w:w="100"/>
            </w:tcMar>
            <w:vAlign w:val="center"/>
          </w:tcPr>
          <w:p>
            <w:r>
              <w:rPr>
                <w:b w:val="false"/>
                <w:bCs w:val="false"/>
                <w:color w:val="000000"/>
                <w:sz w:val="18"/>
                <w:szCs w:val="18"/>
              </w:rPr>
              <w:t xml:space="preserve">Confirms which Architecture Requirements have an approved Work Package to carry them toward conformance, and which remain deferred.</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ERP-02 Phase C</w:t>
            </w:r>
          </w:p>
        </w:tc>
        <w:tc>
          <w:tcPr>
            <w:tcW w:type="dxa" w:w="3600"/>
            <w:tcMar>
              <w:top w:type="dxa" w:w="80"/>
              <w:left w:type="dxa" w:w="100"/>
              <w:bottom w:type="dxa" w:w="80"/>
              <w:right w:type="dxa" w:w="100"/>
            </w:tcMar>
            <w:vAlign w:val="center"/>
          </w:tcPr>
          <w:p>
            <w:r>
              <w:rPr>
                <w:b w:val="false"/>
                <w:bCs w:val="false"/>
                <w:color w:val="000000"/>
                <w:sz w:val="18"/>
                <w:szCs w:val="18"/>
              </w:rPr>
              <w:t xml:space="preserve">Engineering execution control.</w:t>
            </w:r>
          </w:p>
        </w:tc>
        <w:tc>
          <w:tcPr>
            <w:tcW w:type="dxa" w:w="3800"/>
            <w:tcMar>
              <w:top w:type="dxa" w:w="80"/>
              <w:left w:type="dxa" w:w="100"/>
              <w:bottom w:type="dxa" w:w="80"/>
              <w:right w:type="dxa" w:w="100"/>
            </w:tcMar>
            <w:vAlign w:val="center"/>
          </w:tcPr>
          <w:p>
            <w:r>
              <w:rPr>
                <w:b w:val="false"/>
                <w:bCs w:val="false"/>
                <w:color w:val="000000"/>
                <w:sz w:val="18"/>
                <w:szCs w:val="18"/>
              </w:rPr>
              <w:t xml:space="preserve">Governs whether engineering execution, once it occurs, is compliant with the Architecture Requirement it implements.</w:t>
            </w:r>
          </w:p>
        </w:tc>
      </w:tr>
      <w:tr>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ERP-02 Phase D</w:t>
            </w:r>
          </w:p>
        </w:tc>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Work Package realization lifecycle.</w:t>
            </w:r>
          </w:p>
        </w:tc>
        <w:tc>
          <w:tcPr>
            <w:tcW w:type="dxa" w:w="3800"/>
            <w:shd w:fill="F2F2F2" w:val="clear"/>
            <w:tcMar>
              <w:top w:type="dxa" w:w="80"/>
              <w:left w:type="dxa" w:w="100"/>
              <w:bottom w:type="dxa" w:w="80"/>
              <w:right w:type="dxa" w:w="100"/>
            </w:tcMar>
            <w:vAlign w:val="center"/>
          </w:tcPr>
          <w:p>
            <w:r>
              <w:rPr>
                <w:b w:val="false"/>
                <w:bCs w:val="false"/>
                <w:color w:val="000000"/>
                <w:sz w:val="18"/>
                <w:szCs w:val="18"/>
              </w:rPr>
              <w:t xml:space="preserve">Distinguishes Work Package realization ("is it done") from architecture compliance ("does it conform") — a realized Work Package still requires compliance verification.</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ERP-02 Phase E</w:t>
            </w:r>
          </w:p>
        </w:tc>
        <w:tc>
          <w:tcPr>
            <w:tcW w:type="dxa" w:w="3600"/>
            <w:tcMar>
              <w:top w:type="dxa" w:w="80"/>
              <w:left w:type="dxa" w:w="100"/>
              <w:bottom w:type="dxa" w:w="80"/>
              <w:right w:type="dxa" w:w="100"/>
            </w:tcMar>
            <w:vAlign w:val="center"/>
          </w:tcPr>
          <w:p>
            <w:r>
              <w:rPr>
                <w:b w:val="false"/>
                <w:bCs w:val="false"/>
                <w:color w:val="000000"/>
                <w:sz w:val="18"/>
                <w:szCs w:val="18"/>
              </w:rPr>
              <w:t xml:space="preserve">Architecture compliance during delivery (this document).</w:t>
            </w:r>
          </w:p>
        </w:tc>
        <w:tc>
          <w:tcPr>
            <w:tcW w:type="dxa" w:w="3800"/>
            <w:tcMar>
              <w:top w:type="dxa" w:w="80"/>
              <w:left w:type="dxa" w:w="100"/>
              <w:bottom w:type="dxa" w:w="80"/>
              <w:right w:type="dxa" w:w="100"/>
            </w:tcMar>
            <w:vAlign w:val="center"/>
          </w:tcPr>
          <w:p>
            <w:r>
              <w:rPr>
                <w:b w:val="false"/>
                <w:bCs w:val="false"/>
                <w:color w:val="000000"/>
                <w:sz w:val="18"/>
                <w:szCs w:val="18"/>
              </w:rPr>
              <w:t xml:space="preserve">Compliance lifecycle, evidence, review, audit, drift, and reporting for every Architecture Requirement.</w:t>
            </w:r>
          </w:p>
        </w:tc>
      </w:tr>
    </w:tbl>
    <w:p>
      <w:pPr>
        <w:spacing w:after="160" w:line="276"/>
      </w:pPr>
      <w:r>
        <w:t xml:space="preserve"/>
      </w:r>
    </w:p>
    <w:p>
      <w:pPr>
        <w:pStyle w:val="Heading1"/>
        <w:spacing w:after="180" w:before="360"/>
      </w:pPr>
      <w:r>
        <w:t xml:space="preserve">6. Architecture Compliance Philosophy</w:t>
      </w:r>
    </w:p>
    <w:p>
      <w:pPr>
        <w:spacing w:after="160" w:line="276"/>
      </w:pPr>
      <w:r>
        <w:t xml:space="preserve">Compliance is a claim about conformance to an approved requirement, not a claim about effort or activity. A Work Package can be Realized under ERP-02 Phase D while the Architecture Requirement it implements remains unverified for compliance, because realization confirms the deliverable was produced while compliance confirms the deliverable conforms to what was approved. This document treats the two as related but distinct, and never substitutes one for the other.</w:t>
      </w:r>
    </w:p>
    <w:p>
      <w:pPr>
        <w:spacing w:after="160" w:line="276"/>
      </w:pPr>
      <w:r>
        <w:t xml:space="preserve">Consistent with AP-002 (repository evidence governs implementation decisions) and AP-006 (every gap requires an explicit disposition), every compliance claim in this document is either reused verbatim from ERP-01 Phase A.3 §7, a direct non-speculative application of that evidence to the compliance lifecycle this document defines, or explicitly marked Compliance Not Yet Assessable.</w:t>
      </w:r>
    </w:p>
    <w:p>
      <w:pPr>
        <w:pStyle w:val="Heading1"/>
        <w:spacing w:after="180" w:before="360"/>
      </w:pPr>
      <w:r>
        <w:t xml:space="preserve">7. Architecture Compliance Principles</w:t>
      </w:r>
    </w:p>
    <w:p>
      <w:pPr>
        <w:pStyle w:val="ListParagraph"/>
        <w:numPr>
          <w:ilvl w:val="0"/>
          <w:numId w:val="1"/>
        </w:numPr>
        <w:spacing w:after="80"/>
      </w:pPr>
      <w:r>
        <w:t xml:space="preserve">Evidence precedes compliance. No Architecture Requirement is reported conformant without the evidence this document requires.</w:t>
      </w:r>
    </w:p>
    <w:p>
      <w:pPr>
        <w:pStyle w:val="ListParagraph"/>
        <w:numPr>
          <w:ilvl w:val="0"/>
          <w:numId w:val="1"/>
        </w:numPr>
        <w:spacing w:after="80"/>
      </w:pPr>
      <w:r>
        <w:t xml:space="preserve">Compliance is requirement-scoped. Reporting is always per Architecture Requirement; no aggregate compliance percentage substitutes for the individual state of each of the ten requirements.</w:t>
      </w:r>
    </w:p>
    <w:p>
      <w:pPr>
        <w:pStyle w:val="ListParagraph"/>
        <w:numPr>
          <w:ilvl w:val="0"/>
          <w:numId w:val="1"/>
        </w:numPr>
        <w:spacing w:after="80"/>
      </w:pPr>
      <w:r>
        <w:t xml:space="preserve">Deferred is not non-compliant. An Architecture Requirement governed by a Deferred Enterprise Governance Decision (AR-0001, AR-0004, AR-0005, AR-0006) is reported Compliance Not Yet Assessable, not out of compliance — deferral is an approved governance state, not a violation.</w:t>
      </w:r>
    </w:p>
    <w:p>
      <w:pPr>
        <w:pStyle w:val="ListParagraph"/>
        <w:numPr>
          <w:ilvl w:val="0"/>
          <w:numId w:val="1"/>
        </w:numPr>
        <w:spacing w:after="80"/>
      </w:pPr>
      <w:r>
        <w:t xml:space="preserve">Drift is never silently accepted. Implementation that departs from an approved Architecture Requirement without a corresponding Enterprise Governance Decision or Variance is architecture drift and is governed under Section 21, regardless of engineering intent.</w:t>
      </w:r>
    </w:p>
    <w:p>
      <w:pPr>
        <w:pStyle w:val="ListParagraph"/>
        <w:numPr>
          <w:ilvl w:val="0"/>
          <w:numId w:val="1"/>
        </w:numPr>
        <w:spacing w:after="80"/>
      </w:pPr>
      <w:r>
        <w:t xml:space="preserve">Honest reporting over favorable reporting. Compliance Not Yet Assessable is reported for every requirement lacking implementation evidence, regardless of how mature the surrounding engineering infrastructure is.</w:t>
      </w:r>
    </w:p>
    <w:p>
      <w:pPr>
        <w:pStyle w:val="Heading1"/>
        <w:spacing w:after="180" w:before="360"/>
      </w:pPr>
      <w:r>
        <w:t xml:space="preserve">8. Enterprise Compliance Model</w:t>
      </w:r>
    </w:p>
    <w:p>
      <w:pPr>
        <w:spacing w:after="160" w:line="276"/>
      </w:pPr>
      <w:r>
        <w:t xml:space="preserve">Compliance is modeled at three nested levels: (1) Architecture Requirement compliance — does implementation conform to the requirement (Section 11); (2) Work Package compliance — does a realized Work Package's deliverable conform to the Architecture Requirement and Enterprise Governance Decision it was bound to (Section 13); and (3) Repository compliance — does the codebase as a whole remain free of undocumented drift from any Architecture Requirement, including those with no active Work Package (Section 15). All three levels are evidence-based and independently reportable; a passing state at one level does not imply a passing state at another.</w:t>
      </w:r>
    </w:p>
    <w:p>
      <w:pPr>
        <w:pStyle w:val="Heading1"/>
        <w:spacing w:after="180" w:before="360"/>
      </w:pPr>
      <w:r>
        <w:t xml:space="preserve">9. Architecture Compliance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F3864" w:val="clear"/>
            <w:tcMar>
              <w:top w:type="dxa" w:w="80"/>
              <w:left w:type="dxa" w:w="100"/>
              <w:bottom w:type="dxa" w:w="80"/>
              <w:right w:type="dxa" w:w="100"/>
            </w:tcMar>
            <w:vAlign w:val="center"/>
          </w:tcPr>
          <w:p>
            <w:r>
              <w:rPr>
                <w:b/>
                <w:bCs/>
                <w:color w:val="FFFFFF"/>
                <w:sz w:val="18"/>
                <w:szCs w:val="18"/>
              </w:rPr>
              <w:t xml:space="preserve">State</w:t>
            </w:r>
          </w:p>
        </w:tc>
        <w:tc>
          <w:tcPr>
            <w:tcW w:type="dxa" w:w="5900"/>
            <w:shd w:fill="1F3864" w:val="clear"/>
            <w:tcMar>
              <w:top w:type="dxa" w:w="80"/>
              <w:left w:type="dxa" w:w="100"/>
              <w:bottom w:type="dxa" w:w="80"/>
              <w:right w:type="dxa" w:w="100"/>
            </w:tcMar>
            <w:vAlign w:val="center"/>
          </w:tcPr>
          <w:p>
            <w:r>
              <w:rPr>
                <w:b/>
                <w:bCs/>
                <w:color w:val="FFFFFF"/>
                <w:sz w:val="18"/>
                <w:szCs w:val="18"/>
              </w:rPr>
              <w:t xml:space="preserve">Definition</w:t>
            </w:r>
          </w:p>
        </w:tc>
      </w:tr>
      <w:tr>
        <w:tc>
          <w:tcPr>
            <w:tcW w:type="dxa" w:w="3400"/>
            <w:tcMar>
              <w:top w:type="dxa" w:w="80"/>
              <w:left w:type="dxa" w:w="100"/>
              <w:bottom w:type="dxa" w:w="80"/>
              <w:right w:type="dxa" w:w="100"/>
            </w:tcMar>
            <w:vAlign w:val="center"/>
          </w:tcPr>
          <w:p>
            <w:r>
              <w:rPr>
                <w:b w:val="false"/>
                <w:bCs w:val="false"/>
                <w:color w:val="000000"/>
                <w:sz w:val="18"/>
                <w:szCs w:val="18"/>
              </w:rPr>
              <w:t xml:space="preserve">1. Architecture Approved</w:t>
            </w:r>
          </w:p>
        </w:tc>
        <w:tc>
          <w:tcPr>
            <w:tcW w:type="dxa" w:w="5900"/>
            <w:tcMar>
              <w:top w:type="dxa" w:w="80"/>
              <w:left w:type="dxa" w:w="100"/>
              <w:bottom w:type="dxa" w:w="80"/>
              <w:right w:type="dxa" w:w="100"/>
            </w:tcMar>
            <w:vAlign w:val="center"/>
          </w:tcPr>
          <w:p>
            <w:r>
              <w:rPr>
                <w:b w:val="false"/>
                <w:bCs w:val="false"/>
                <w:color w:val="000000"/>
                <w:sz w:val="18"/>
                <w:szCs w:val="18"/>
              </w:rPr>
              <w:t xml:space="preserve">Requirement is approved in ERP-01 Phase A.3 (baseline state for all ten Architecture Requirements).</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2. Implementation Planned</w:t>
            </w:r>
          </w:p>
        </w:tc>
        <w:tc>
          <w:tcPr>
            <w:tcW w:type="dxa" w:w="5900"/>
            <w:shd w:fill="F2F2F2" w:val="clear"/>
            <w:tcMar>
              <w:top w:type="dxa" w:w="80"/>
              <w:left w:type="dxa" w:w="100"/>
              <w:bottom w:type="dxa" w:w="80"/>
              <w:right w:type="dxa" w:w="100"/>
            </w:tcMar>
            <w:vAlign w:val="center"/>
          </w:tcPr>
          <w:p>
            <w:r>
              <w:rPr>
                <w:b w:val="false"/>
                <w:bCs w:val="false"/>
                <w:color w:val="000000"/>
                <w:sz w:val="18"/>
                <w:szCs w:val="18"/>
              </w:rPr>
              <w:t xml:space="preserve">A Work Package carrying the requirement is sequenced (ERP-02 Phase B), or the requirement is confirmed Deferred.</w:t>
            </w:r>
          </w:p>
        </w:tc>
      </w:tr>
      <w:tr>
        <w:tc>
          <w:tcPr>
            <w:tcW w:type="dxa" w:w="3400"/>
            <w:tcMar>
              <w:top w:type="dxa" w:w="80"/>
              <w:left w:type="dxa" w:w="100"/>
              <w:bottom w:type="dxa" w:w="80"/>
              <w:right w:type="dxa" w:w="100"/>
            </w:tcMar>
            <w:vAlign w:val="center"/>
          </w:tcPr>
          <w:p>
            <w:r>
              <w:rPr>
                <w:b w:val="false"/>
                <w:bCs w:val="false"/>
                <w:color w:val="000000"/>
                <w:sz w:val="18"/>
                <w:szCs w:val="18"/>
              </w:rPr>
              <w:t xml:space="preserve">3. Engineering Controlled</w:t>
            </w:r>
          </w:p>
        </w:tc>
        <w:tc>
          <w:tcPr>
            <w:tcW w:type="dxa" w:w="5900"/>
            <w:tcMar>
              <w:top w:type="dxa" w:w="80"/>
              <w:left w:type="dxa" w:w="100"/>
              <w:bottom w:type="dxa" w:w="80"/>
              <w:right w:type="dxa" w:w="100"/>
            </w:tcMar>
            <w:vAlign w:val="center"/>
          </w:tcPr>
          <w:p>
            <w:r>
              <w:rPr>
                <w:b w:val="false"/>
                <w:bCs w:val="false"/>
                <w:color w:val="000000"/>
                <w:sz w:val="18"/>
                <w:szCs w:val="18"/>
              </w:rPr>
              <w:t xml:space="preserve">Engineering execution against the requirement is subject to ERP-02 Phase C's validated controls.</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4. Implementation Executed</w:t>
            </w:r>
          </w:p>
        </w:tc>
        <w:tc>
          <w:tcPr>
            <w:tcW w:type="dxa" w:w="5900"/>
            <w:shd w:fill="F2F2F2" w:val="clear"/>
            <w:tcMar>
              <w:top w:type="dxa" w:w="80"/>
              <w:left w:type="dxa" w:w="100"/>
              <w:bottom w:type="dxa" w:w="80"/>
              <w:right w:type="dxa" w:w="100"/>
            </w:tcMar>
            <w:vAlign w:val="center"/>
          </w:tcPr>
          <w:p>
            <w:r>
              <w:rPr>
                <w:b w:val="false"/>
                <w:bCs w:val="false"/>
                <w:color w:val="000000"/>
                <w:sz w:val="18"/>
                <w:szCs w:val="18"/>
              </w:rPr>
              <w:t xml:space="preserve">Work Package realization evidence exists that engineering work occurred (ERP-02 Phase D, State 4).</w:t>
            </w:r>
          </w:p>
        </w:tc>
      </w:tr>
      <w:tr>
        <w:tc>
          <w:tcPr>
            <w:tcW w:type="dxa" w:w="3400"/>
            <w:tcMar>
              <w:top w:type="dxa" w:w="80"/>
              <w:left w:type="dxa" w:w="100"/>
              <w:bottom w:type="dxa" w:w="80"/>
              <w:right w:type="dxa" w:w="100"/>
            </w:tcMar>
            <w:vAlign w:val="center"/>
          </w:tcPr>
          <w:p>
            <w:r>
              <w:rPr>
                <w:b w:val="false"/>
                <w:bCs w:val="false"/>
                <w:color w:val="000000"/>
                <w:sz w:val="18"/>
                <w:szCs w:val="18"/>
              </w:rPr>
              <w:t xml:space="preserve">5. Compliance Evidence Collected</w:t>
            </w:r>
          </w:p>
        </w:tc>
        <w:tc>
          <w:tcPr>
            <w:tcW w:type="dxa" w:w="5900"/>
            <w:tcMar>
              <w:top w:type="dxa" w:w="80"/>
              <w:left w:type="dxa" w:w="100"/>
              <w:bottom w:type="dxa" w:w="80"/>
              <w:right w:type="dxa" w:w="100"/>
            </w:tcMar>
            <w:vAlign w:val="center"/>
          </w:tcPr>
          <w:p>
            <w:r>
              <w:rPr>
                <w:b w:val="false"/>
                <w:bCs w:val="false"/>
                <w:color w:val="000000"/>
                <w:sz w:val="18"/>
                <w:szCs w:val="18"/>
              </w:rPr>
              <w:t xml:space="preserve">Compliance-specific evidence (Section 16) is filed, distinct from realization evidence.</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6. Compliance Reviewed</w:t>
            </w:r>
          </w:p>
        </w:tc>
        <w:tc>
          <w:tcPr>
            <w:tcW w:type="dxa" w:w="5900"/>
            <w:shd w:fill="F2F2F2" w:val="clear"/>
            <w:tcMar>
              <w:top w:type="dxa" w:w="80"/>
              <w:left w:type="dxa" w:w="100"/>
              <w:bottom w:type="dxa" w:w="80"/>
              <w:right w:type="dxa" w:w="100"/>
            </w:tcMar>
            <w:vAlign w:val="center"/>
          </w:tcPr>
          <w:p>
            <w:r>
              <w:rPr>
                <w:b w:val="false"/>
                <w:bCs w:val="false"/>
                <w:color w:val="000000"/>
                <w:sz w:val="18"/>
                <w:szCs w:val="18"/>
              </w:rPr>
              <w:t xml:space="preserve">Named review confirms evidence addresses the exact requirement text (Section 17).</w:t>
            </w:r>
          </w:p>
        </w:tc>
      </w:tr>
      <w:tr>
        <w:tc>
          <w:tcPr>
            <w:tcW w:type="dxa" w:w="3400"/>
            <w:tcMar>
              <w:top w:type="dxa" w:w="80"/>
              <w:left w:type="dxa" w:w="100"/>
              <w:bottom w:type="dxa" w:w="80"/>
              <w:right w:type="dxa" w:w="100"/>
            </w:tcMar>
            <w:vAlign w:val="center"/>
          </w:tcPr>
          <w:p>
            <w:r>
              <w:rPr>
                <w:b w:val="false"/>
                <w:bCs w:val="false"/>
                <w:color w:val="000000"/>
                <w:sz w:val="18"/>
                <w:szCs w:val="18"/>
              </w:rPr>
              <w:t xml:space="preserve">7. Compliance Verified</w:t>
            </w:r>
          </w:p>
        </w:tc>
        <w:tc>
          <w:tcPr>
            <w:tcW w:type="dxa" w:w="5900"/>
            <w:tcMar>
              <w:top w:type="dxa" w:w="80"/>
              <w:left w:type="dxa" w:w="100"/>
              <w:bottom w:type="dxa" w:w="80"/>
              <w:right w:type="dxa" w:w="100"/>
            </w:tcMar>
            <w:vAlign w:val="center"/>
          </w:tcPr>
          <w:p>
            <w:r>
              <w:rPr>
                <w:b w:val="false"/>
                <w:bCs w:val="false"/>
                <w:color w:val="000000"/>
                <w:sz w:val="18"/>
                <w:szCs w:val="18"/>
              </w:rPr>
              <w:t xml:space="preserve">Review has passed with no open finding.</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8. Compliance Accepted</w:t>
            </w:r>
          </w:p>
        </w:tc>
        <w:tc>
          <w:tcPr>
            <w:tcW w:type="dxa" w:w="5900"/>
            <w:shd w:fill="F2F2F2" w:val="clear"/>
            <w:tcMar>
              <w:top w:type="dxa" w:w="80"/>
              <w:left w:type="dxa" w:w="100"/>
              <w:bottom w:type="dxa" w:w="80"/>
              <w:right w:type="dxa" w:w="100"/>
            </w:tcMar>
            <w:vAlign w:val="center"/>
          </w:tcPr>
          <w:p>
            <w:r>
              <w:rPr>
                <w:b w:val="false"/>
                <w:bCs w:val="false"/>
                <w:color w:val="000000"/>
                <w:sz w:val="18"/>
                <w:szCs w:val="18"/>
              </w:rPr>
              <w:t xml:space="preserve">Formal acceptance record signed (mirrors, but is distinct from, ERP-02 Phase D Section 18 acceptance).</w:t>
            </w:r>
          </w:p>
        </w:tc>
      </w:tr>
      <w:tr>
        <w:tc>
          <w:tcPr>
            <w:tcW w:type="dxa" w:w="3400"/>
            <w:tcMar>
              <w:top w:type="dxa" w:w="80"/>
              <w:left w:type="dxa" w:w="100"/>
              <w:bottom w:type="dxa" w:w="80"/>
              <w:right w:type="dxa" w:w="100"/>
            </w:tcMar>
            <w:vAlign w:val="center"/>
          </w:tcPr>
          <w:p>
            <w:r>
              <w:rPr>
                <w:b w:val="false"/>
                <w:bCs w:val="false"/>
                <w:color w:val="000000"/>
                <w:sz w:val="18"/>
                <w:szCs w:val="18"/>
              </w:rPr>
              <w:t xml:space="preserve">9. Architecture Conformant</w:t>
            </w:r>
          </w:p>
        </w:tc>
        <w:tc>
          <w:tcPr>
            <w:tcW w:type="dxa" w:w="5900"/>
            <w:tcMar>
              <w:top w:type="dxa" w:w="80"/>
              <w:left w:type="dxa" w:w="100"/>
              <w:bottom w:type="dxa" w:w="80"/>
              <w:right w:type="dxa" w:w="100"/>
            </w:tcMar>
            <w:vAlign w:val="center"/>
          </w:tcPr>
          <w:p>
            <w:r>
              <w:rPr>
                <w:b w:val="false"/>
                <w:bCs w:val="false"/>
                <w:color w:val="000000"/>
                <w:sz w:val="18"/>
                <w:szCs w:val="18"/>
              </w:rPr>
              <w:t xml:space="preserve">Requirement is certified conformant at the certification level ERP-01 Phase A.3 defines.</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10. Operational Compliance</w:t>
            </w:r>
          </w:p>
        </w:tc>
        <w:tc>
          <w:tcPr>
            <w:tcW w:type="dxa" w:w="5900"/>
            <w:shd w:fill="F2F2F2" w:val="clear"/>
            <w:tcMar>
              <w:top w:type="dxa" w:w="80"/>
              <w:left w:type="dxa" w:w="100"/>
              <w:bottom w:type="dxa" w:w="80"/>
              <w:right w:type="dxa" w:w="100"/>
            </w:tcMar>
            <w:vAlign w:val="center"/>
          </w:tcPr>
          <w:p>
            <w:r>
              <w:rPr>
                <w:b w:val="false"/>
                <w:bCs w:val="false"/>
                <w:color w:val="000000"/>
                <w:sz w:val="18"/>
                <w:szCs w:val="18"/>
              </w:rPr>
              <w:t xml:space="preserve">Conformance is maintained under ongoing operation, subject to periodic re-verification (Section 18).</w:t>
            </w:r>
          </w:p>
        </w:tc>
      </w:tr>
    </w:tbl>
    <w:p>
      <w:pPr>
        <w:spacing w:after="160" w:line="276"/>
      </w:pPr>
      <w:r>
        <w:t xml:space="preserve"/>
      </w:r>
    </w:p>
    <w:p>
      <w:pPr>
        <w:spacing w:after="160" w:line="276"/>
      </w:pPr>
      <w:r>
        <w:t xml:space="preserve">Architecture compliance is distinct from Work Package realization (ERP-02 Phase D) and engineering execution (ERP-02 Phase C): a requirement can only reach State 5 once its Work Package has reached ERP-02 Phase D lifecycle State 4 or later, but reaching Phase D's Realized state does not, by itself, advance compliance past State 4.</w:t>
      </w:r>
    </w:p>
    <w:p>
      <w:pPr>
        <w:pStyle w:val="Heading1"/>
        <w:spacing w:after="180" w:before="360"/>
      </w:pPr>
      <w:r>
        <w:t xml:space="preserve">10. Compliance Governance</w:t>
      </w:r>
    </w:p>
    <w:p>
      <w:pPr>
        <w:spacing w:after="160" w:line="276"/>
      </w:pPr>
      <w:r>
        <w:t xml:space="preserve">Compliance governance authority sits with the Enterprise Architecture Board and the roles ERP-02 Phase A defines for architecture conformance decisions. As those bodies remain Not Yet Realized (unstaffed) as of this document, compliance review and approval under Sections 17 and 24 are target-state processes, applied here to the evidence already available in the repository, pending role realization under WP-0006.</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spacing w:after="180" w:before="360"/>
      </w:pPr>
      <w:r>
        <w:t xml:space="preserve">11. Architecture Requirement Compliance</w:t>
      </w:r>
    </w:p>
    <w:p>
      <w:pPr>
        <w:spacing w:after="160" w:line="276"/>
      </w:pPr>
      <w:r>
        <w:t xml:space="preserve">Complete compliance profile for all ten Architecture Requirements, reused exactly from ERP-01 Phase A.3 §7. This is the authoritative compliance inventory for the ERP-02 program.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1300"/>
        <w:gridCol w:w="1900"/>
        <w:gridCol w:w="900"/>
        <w:gridCol w:w="2550"/>
      </w:tblGrid>
      <w:tr>
        <w:trPr>
          <w:tblHeader/>
        </w:trPr>
        <w:tc>
          <w:tcPr>
            <w:tcW w:type="dxa" w:w="700"/>
            <w:shd w:fill="1F3864" w:val="clear"/>
            <w:tcMar>
              <w:top w:type="dxa" w:w="80"/>
              <w:left w:type="dxa" w:w="100"/>
              <w:bottom w:type="dxa" w:w="80"/>
              <w:right w:type="dxa" w:w="100"/>
            </w:tcMar>
            <w:vAlign w:val="center"/>
          </w:tcPr>
          <w:p>
            <w:r>
              <w:rPr>
                <w:b/>
                <w:bCs/>
                <w:color w:val="FFFFFF"/>
                <w:sz w:val="18"/>
                <w:szCs w:val="18"/>
              </w:rPr>
              <w:t xml:space="preserve">AR</w:t>
            </w:r>
          </w:p>
        </w:tc>
        <w:tc>
          <w:tcPr>
            <w:tcW w:type="dxa" w:w="1950"/>
            <w:shd w:fill="1F3864" w:val="clear"/>
            <w:tcMar>
              <w:top w:type="dxa" w:w="80"/>
              <w:left w:type="dxa" w:w="100"/>
              <w:bottom w:type="dxa" w:w="80"/>
              <w:right w:type="dxa" w:w="100"/>
            </w:tcMar>
            <w:vAlign w:val="center"/>
          </w:tcPr>
          <w:p>
            <w:r>
              <w:rPr>
                <w:b/>
                <w:bCs/>
                <w:color w:val="FFFFFF"/>
                <w:sz w:val="18"/>
                <w:szCs w:val="18"/>
              </w:rPr>
              <w:t xml:space="preserve">Requirement Topic</w:t>
            </w:r>
          </w:p>
        </w:tc>
        <w:tc>
          <w:tcPr>
            <w:tcW w:type="dxa" w:w="1300"/>
            <w:shd w:fill="1F3864" w:val="clear"/>
            <w:tcMar>
              <w:top w:type="dxa" w:w="80"/>
              <w:left w:type="dxa" w:w="100"/>
              <w:bottom w:type="dxa" w:w="80"/>
              <w:right w:type="dxa" w:w="100"/>
            </w:tcMar>
            <w:vAlign w:val="center"/>
          </w:tcPr>
          <w:p>
            <w:r>
              <w:rPr>
                <w:b/>
                <w:bCs/>
                <w:color w:val="FFFFFF"/>
                <w:sz w:val="18"/>
                <w:szCs w:val="18"/>
              </w:rPr>
              <w:t xml:space="preserve">EGD</w:t>
            </w:r>
          </w:p>
        </w:tc>
        <w:tc>
          <w:tcPr>
            <w:tcW w:type="dxa" w:w="1900"/>
            <w:shd w:fill="1F3864" w:val="clear"/>
            <w:tcMar>
              <w:top w:type="dxa" w:w="80"/>
              <w:left w:type="dxa" w:w="100"/>
              <w:bottom w:type="dxa" w:w="80"/>
              <w:right w:type="dxa" w:w="100"/>
            </w:tcMar>
            <w:vAlign w:val="center"/>
          </w:tcPr>
          <w:p>
            <w:r>
              <w:rPr>
                <w:b/>
                <w:bCs/>
                <w:color w:val="FFFFFF"/>
                <w:sz w:val="18"/>
                <w:szCs w:val="18"/>
              </w:rPr>
              <w:t xml:space="preserve">Baseline Implementation Status</w:t>
            </w:r>
          </w:p>
        </w:tc>
        <w:tc>
          <w:tcPr>
            <w:tcW w:type="dxa" w:w="900"/>
            <w:shd w:fill="1F3864" w:val="clear"/>
            <w:tcMar>
              <w:top w:type="dxa" w:w="80"/>
              <w:left w:type="dxa" w:w="100"/>
              <w:bottom w:type="dxa" w:w="80"/>
              <w:right w:type="dxa" w:w="100"/>
            </w:tcMar>
            <w:vAlign w:val="center"/>
          </w:tcPr>
          <w:p>
            <w:r>
              <w:rPr>
                <w:b/>
                <w:bCs/>
                <w:color w:val="FFFFFF"/>
                <w:sz w:val="18"/>
                <w:szCs w:val="18"/>
              </w:rPr>
              <w:t xml:space="preserve">Bound WP</w:t>
            </w:r>
          </w:p>
        </w:tc>
        <w:tc>
          <w:tcPr>
            <w:tcW w:type="dxa" w:w="2550"/>
            <w:shd w:fill="1F3864" w:val="clear"/>
            <w:tcMar>
              <w:top w:type="dxa" w:w="80"/>
              <w:left w:type="dxa" w:w="100"/>
              <w:bottom w:type="dxa" w:w="80"/>
              <w:right w:type="dxa" w:w="100"/>
            </w:tcMar>
            <w:vAlign w:val="center"/>
          </w:tcPr>
          <w:p>
            <w:r>
              <w:rPr>
                <w:b/>
                <w:bCs/>
                <w:color w:val="FFFFFF"/>
                <w:sz w:val="18"/>
                <w:szCs w:val="18"/>
              </w:rPr>
              <w:t xml:space="preserve">Compliance State</w:t>
            </w:r>
          </w:p>
        </w:tc>
      </w:tr>
      <w:tr>
        <w:tc>
          <w:tcPr>
            <w:tcW w:type="dxa" w:w="700"/>
            <w:tcMar>
              <w:top w:type="dxa" w:w="80"/>
              <w:left w:type="dxa" w:w="100"/>
              <w:bottom w:type="dxa" w:w="80"/>
              <w:right w:type="dxa" w:w="100"/>
            </w:tcMar>
            <w:vAlign w:val="center"/>
          </w:tcPr>
          <w:p>
            <w:r>
              <w:rPr>
                <w:b w:val="false"/>
                <w:bCs w:val="false"/>
                <w:color w:val="000000"/>
                <w:sz w:val="18"/>
                <w:szCs w:val="18"/>
              </w:rPr>
              <w:t xml:space="preserve">AR-0001</w:t>
            </w:r>
          </w:p>
        </w:tc>
        <w:tc>
          <w:tcPr>
            <w:tcW w:type="dxa" w:w="1950"/>
            <w:tcMar>
              <w:top w:type="dxa" w:w="80"/>
              <w:left w:type="dxa" w:w="100"/>
              <w:bottom w:type="dxa" w:w="80"/>
              <w:right w:type="dxa" w:w="100"/>
            </w:tcMar>
            <w:vAlign w:val="center"/>
          </w:tcPr>
          <w:p>
            <w:r>
              <w:rPr>
                <w:b w:val="false"/>
                <w:bCs w:val="false"/>
                <w:color w:val="000000"/>
                <w:sz w:val="18"/>
                <w:szCs w:val="18"/>
              </w:rPr>
              <w:t xml:space="preserve">Schema Design — dedicated academic_domain schema</w:t>
            </w:r>
          </w:p>
        </w:tc>
        <w:tc>
          <w:tcPr>
            <w:tcW w:type="dxa" w:w="1300"/>
            <w:tcMar>
              <w:top w:type="dxa" w:w="80"/>
              <w:left w:type="dxa" w:w="100"/>
              <w:bottom w:type="dxa" w:w="80"/>
              <w:right w:type="dxa" w:w="100"/>
            </w:tcMar>
            <w:vAlign w:val="center"/>
          </w:tcPr>
          <w:p>
            <w:r>
              <w:rPr>
                <w:b w:val="false"/>
                <w:bCs w:val="false"/>
                <w:color w:val="000000"/>
                <w:sz w:val="18"/>
                <w:szCs w:val="18"/>
              </w:rPr>
              <w:t xml:space="preserve">EGD-0001 (Deferred)</w:t>
            </w:r>
          </w:p>
        </w:tc>
        <w:tc>
          <w:tcPr>
            <w:tcW w:type="dxa" w:w="1900"/>
            <w:tcMar>
              <w:top w:type="dxa" w:w="80"/>
              <w:left w:type="dxa" w:w="100"/>
              <w:bottom w:type="dxa" w:w="80"/>
              <w:right w:type="dxa" w:w="100"/>
            </w:tcMar>
            <w:vAlign w:val="center"/>
          </w:tcPr>
          <w:p>
            <w:r>
              <w:rPr>
                <w:b w:val="false"/>
                <w:bCs w:val="false"/>
                <w:color w:val="000000"/>
                <w:sz w:val="18"/>
                <w:szCs w:val="18"/>
              </w:rPr>
              <w:t xml:space="preserve">Not implemented (deferred by design)</w:t>
            </w:r>
          </w:p>
        </w:tc>
        <w:tc>
          <w:tcPr>
            <w:tcW w:type="dxa" w:w="900"/>
            <w:tcMar>
              <w:top w:type="dxa" w:w="80"/>
              <w:left w:type="dxa" w:w="100"/>
              <w:bottom w:type="dxa" w:w="80"/>
              <w:right w:type="dxa" w:w="100"/>
            </w:tcMar>
            <w:vAlign w:val="center"/>
          </w:tcPr>
          <w:p>
            <w:r>
              <w:rPr>
                <w:b w:val="false"/>
                <w:bCs w:val="false"/>
                <w:color w:val="000000"/>
                <w:sz w:val="18"/>
                <w:szCs w:val="18"/>
              </w:rPr>
              <w:t xml:space="preserve">—</w:t>
            </w:r>
          </w:p>
        </w:tc>
        <w:tc>
          <w:tcPr>
            <w:tcW w:type="dxa" w:w="2550"/>
            <w:tcMar>
              <w:top w:type="dxa" w:w="80"/>
              <w:left w:type="dxa" w:w="100"/>
              <w:bottom w:type="dxa" w:w="80"/>
              <w:right w:type="dxa" w:w="100"/>
            </w:tcMar>
            <w:vAlign w:val="center"/>
          </w:tcPr>
          <w:p>
            <w:r>
              <w:rPr>
                <w:b w:val="false"/>
                <w:bCs w:val="false"/>
                <w:color w:val="000000"/>
                <w:sz w:val="18"/>
                <w:szCs w:val="18"/>
              </w:rPr>
              <w:t xml:space="preserve">Compliance Not Yet Assessable — deferred, no approved Work Package.</w:t>
            </w:r>
          </w:p>
        </w:tc>
      </w:tr>
      <w:tr>
        <w:tc>
          <w:tcPr>
            <w:tcW w:type="dxa" w:w="700"/>
            <w:shd w:fill="F2F2F2" w:val="clear"/>
            <w:tcMar>
              <w:top w:type="dxa" w:w="80"/>
              <w:left w:type="dxa" w:w="100"/>
              <w:bottom w:type="dxa" w:w="80"/>
              <w:right w:type="dxa" w:w="100"/>
            </w:tcMar>
            <w:vAlign w:val="center"/>
          </w:tcPr>
          <w:p>
            <w:r>
              <w:rPr>
                <w:b w:val="false"/>
                <w:bCs w:val="false"/>
                <w:color w:val="000000"/>
                <w:sz w:val="18"/>
                <w:szCs w:val="18"/>
              </w:rPr>
              <w:t xml:space="preserve">AR-0002</w:t>
            </w:r>
          </w:p>
        </w:tc>
        <w:tc>
          <w:tcPr>
            <w:tcW w:type="dxa" w:w="1950"/>
            <w:shd w:fill="F2F2F2" w:val="clear"/>
            <w:tcMar>
              <w:top w:type="dxa" w:w="80"/>
              <w:left w:type="dxa" w:w="100"/>
              <w:bottom w:type="dxa" w:w="80"/>
              <w:right w:type="dxa" w:w="100"/>
            </w:tcMar>
            <w:vAlign w:val="center"/>
          </w:tcPr>
          <w:p>
            <w:r>
              <w:rPr>
                <w:b w:val="false"/>
                <w:bCs w:val="false"/>
                <w:color w:val="000000"/>
                <w:sz w:val="18"/>
                <w:szCs w:val="18"/>
              </w:rPr>
              <w:t xml:space="preserve">Naming Governance — 26 canonically-named tables</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EGD-0002 (Accepted)</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Not implemented under canonical names; documentation revision pending</w:t>
            </w:r>
          </w:p>
        </w:tc>
        <w:tc>
          <w:tcPr>
            <w:tcW w:type="dxa" w:w="900"/>
            <w:shd w:fill="F2F2F2" w:val="clear"/>
            <w:tcMar>
              <w:top w:type="dxa" w:w="80"/>
              <w:left w:type="dxa" w:w="100"/>
              <w:bottom w:type="dxa" w:w="80"/>
              <w:right w:type="dxa" w:w="100"/>
            </w:tcMar>
            <w:vAlign w:val="center"/>
          </w:tcPr>
          <w:p>
            <w:r>
              <w:rPr>
                <w:b w:val="false"/>
                <w:bCs w:val="false"/>
                <w:color w:val="000000"/>
                <w:sz w:val="18"/>
                <w:szCs w:val="18"/>
              </w:rPr>
              <w:t xml:space="preserve">WP-0001</w:t>
            </w:r>
          </w:p>
        </w:tc>
        <w:tc>
          <w:tcPr>
            <w:tcW w:type="dxa" w:w="255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 — pending WP-0001 realization.</w:t>
            </w:r>
          </w:p>
        </w:tc>
      </w:tr>
      <w:tr>
        <w:tc>
          <w:tcPr>
            <w:tcW w:type="dxa" w:w="700"/>
            <w:tcMar>
              <w:top w:type="dxa" w:w="80"/>
              <w:left w:type="dxa" w:w="100"/>
              <w:bottom w:type="dxa" w:w="80"/>
              <w:right w:type="dxa" w:w="100"/>
            </w:tcMar>
            <w:vAlign w:val="center"/>
          </w:tcPr>
          <w:p>
            <w:r>
              <w:rPr>
                <w:b w:val="false"/>
                <w:bCs w:val="false"/>
                <w:color w:val="000000"/>
                <w:sz w:val="18"/>
                <w:szCs w:val="18"/>
              </w:rPr>
              <w:t xml:space="preserve">AR-0003</w:t>
            </w:r>
          </w:p>
        </w:tc>
        <w:tc>
          <w:tcPr>
            <w:tcW w:type="dxa" w:w="1950"/>
            <w:tcMar>
              <w:top w:type="dxa" w:w="80"/>
              <w:left w:type="dxa" w:w="100"/>
              <w:bottom w:type="dxa" w:w="80"/>
              <w:right w:type="dxa" w:w="100"/>
            </w:tcMar>
            <w:vAlign w:val="center"/>
          </w:tcPr>
          <w:p>
            <w:r>
              <w:rPr>
                <w:b w:val="false"/>
                <w:bCs w:val="false"/>
                <w:color w:val="000000"/>
                <w:sz w:val="18"/>
                <w:szCs w:val="18"/>
              </w:rPr>
              <w:t xml:space="preserve">Data — taxonomy _code + taxonomy_version_id pattern</w:t>
            </w:r>
          </w:p>
        </w:tc>
        <w:tc>
          <w:tcPr>
            <w:tcW w:type="dxa" w:w="1300"/>
            <w:tcMar>
              <w:top w:type="dxa" w:w="80"/>
              <w:left w:type="dxa" w:w="100"/>
              <w:bottom w:type="dxa" w:w="80"/>
              <w:right w:type="dxa" w:w="100"/>
            </w:tcMar>
            <w:vAlign w:val="center"/>
          </w:tcPr>
          <w:p>
            <w:r>
              <w:rPr>
                <w:b w:val="false"/>
                <w:bCs w:val="false"/>
                <w:color w:val="000000"/>
                <w:sz w:val="18"/>
                <w:szCs w:val="18"/>
              </w:rPr>
              <w:t xml:space="preserve">EGD-0003 (Accepted, conditional)</w:t>
            </w:r>
          </w:p>
        </w:tc>
        <w:tc>
          <w:tcPr>
            <w:tcW w:type="dxa" w:w="1900"/>
            <w:tcMar>
              <w:top w:type="dxa" w:w="80"/>
              <w:left w:type="dxa" w:w="100"/>
              <w:bottom w:type="dxa" w:w="80"/>
              <w:right w:type="dxa" w:w="100"/>
            </w:tcMar>
            <w:vAlign w:val="center"/>
          </w:tcPr>
          <w:p>
            <w:r>
              <w:rPr>
                <w:b w:val="false"/>
                <w:bCs w:val="false"/>
                <w:color w:val="000000"/>
                <w:sz w:val="18"/>
                <w:szCs w:val="18"/>
              </w:rPr>
              <w:t xml:space="preserve">Implemented differently; accepted conditionally as a positive variance (VAR-03)</w:t>
            </w:r>
          </w:p>
        </w:tc>
        <w:tc>
          <w:tcPr>
            <w:tcW w:type="dxa" w:w="900"/>
            <w:tcMar>
              <w:top w:type="dxa" w:w="80"/>
              <w:left w:type="dxa" w:w="100"/>
              <w:bottom w:type="dxa" w:w="80"/>
              <w:right w:type="dxa" w:w="100"/>
            </w:tcMar>
            <w:vAlign w:val="center"/>
          </w:tcPr>
          <w:p>
            <w:r>
              <w:rPr>
                <w:b w:val="false"/>
                <w:bCs w:val="false"/>
                <w:color w:val="000000"/>
                <w:sz w:val="18"/>
                <w:szCs w:val="18"/>
              </w:rPr>
              <w:t xml:space="preserve">WP-0004</w:t>
            </w:r>
          </w:p>
        </w:tc>
        <w:tc>
          <w:tcPr>
            <w:tcW w:type="dxa" w:w="2550"/>
            <w:tcMar>
              <w:top w:type="dxa" w:w="80"/>
              <w:left w:type="dxa" w:w="100"/>
              <w:bottom w:type="dxa" w:w="80"/>
              <w:right w:type="dxa" w:w="100"/>
            </w:tcMar>
            <w:vAlign w:val="center"/>
          </w:tcPr>
          <w:p>
            <w:r>
              <w:rPr>
                <w:b w:val="false"/>
                <w:bCs w:val="false"/>
                <w:color w:val="000000"/>
                <w:sz w:val="18"/>
                <w:szCs w:val="18"/>
              </w:rPr>
              <w:t xml:space="preserve">Architecture Conformant via accepted Variance VAR-03. Governance documentation of the pattern (WP-0004) is separately Not Yet Realized.</w:t>
            </w:r>
          </w:p>
        </w:tc>
      </w:tr>
      <w:tr>
        <w:tc>
          <w:tcPr>
            <w:tcW w:type="dxa" w:w="700"/>
            <w:shd w:fill="F2F2F2" w:val="clear"/>
            <w:tcMar>
              <w:top w:type="dxa" w:w="80"/>
              <w:left w:type="dxa" w:w="100"/>
              <w:bottom w:type="dxa" w:w="80"/>
              <w:right w:type="dxa" w:w="100"/>
            </w:tcMar>
            <w:vAlign w:val="center"/>
          </w:tcPr>
          <w:p>
            <w:r>
              <w:rPr>
                <w:b w:val="false"/>
                <w:bCs w:val="false"/>
                <w:color w:val="000000"/>
                <w:sz w:val="18"/>
                <w:szCs w:val="18"/>
              </w:rPr>
              <w:t xml:space="preserve">AR-0004</w:t>
            </w:r>
          </w:p>
        </w:tc>
        <w:tc>
          <w:tcPr>
            <w:tcW w:type="dxa" w:w="1950"/>
            <w:shd w:fill="F2F2F2" w:val="clear"/>
            <w:tcMar>
              <w:top w:type="dxa" w:w="80"/>
              <w:left w:type="dxa" w:w="100"/>
              <w:bottom w:type="dxa" w:w="80"/>
              <w:right w:type="dxa" w:w="100"/>
            </w:tcMar>
            <w:vAlign w:val="center"/>
          </w:tcPr>
          <w:p>
            <w:r>
              <w:rPr>
                <w:b w:val="false"/>
                <w:bCs w:val="false"/>
                <w:color w:val="000000"/>
                <w:sz w:val="18"/>
                <w:szCs w:val="18"/>
              </w:rPr>
              <w:t xml:space="preserve">Performance/Scalability — native range partitioning</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EGD-0004 (Deferred)</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Not implemented (deferred)</w:t>
            </w:r>
          </w:p>
        </w:tc>
        <w:tc>
          <w:tcPr>
            <w:tcW w:type="dxa" w:w="900"/>
            <w:shd w:fill="F2F2F2" w:val="clear"/>
            <w:tcMar>
              <w:top w:type="dxa" w:w="80"/>
              <w:left w:type="dxa" w:w="100"/>
              <w:bottom w:type="dxa" w:w="80"/>
              <w:right w:type="dxa" w:w="100"/>
            </w:tcMar>
            <w:vAlign w:val="center"/>
          </w:tcPr>
          <w:p>
            <w:r>
              <w:rPr>
                <w:b w:val="false"/>
                <w:bCs w:val="false"/>
                <w:color w:val="000000"/>
                <w:sz w:val="18"/>
                <w:szCs w:val="18"/>
              </w:rPr>
              <w:t xml:space="preserve">WP-0003</w:t>
            </w:r>
          </w:p>
        </w:tc>
        <w:tc>
          <w:tcPr>
            <w:tcW w:type="dxa" w:w="255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 — trigger-gated; EGD-0004 trigger not fired.</w:t>
            </w:r>
          </w:p>
        </w:tc>
      </w:tr>
      <w:tr>
        <w:tc>
          <w:tcPr>
            <w:tcW w:type="dxa" w:w="700"/>
            <w:tcMar>
              <w:top w:type="dxa" w:w="80"/>
              <w:left w:type="dxa" w:w="100"/>
              <w:bottom w:type="dxa" w:w="80"/>
              <w:right w:type="dxa" w:w="100"/>
            </w:tcMar>
            <w:vAlign w:val="center"/>
          </w:tcPr>
          <w:p>
            <w:r>
              <w:rPr>
                <w:b w:val="false"/>
                <w:bCs w:val="false"/>
                <w:color w:val="000000"/>
                <w:sz w:val="18"/>
                <w:szCs w:val="18"/>
              </w:rPr>
              <w:t xml:space="preserve">AR-0005</w:t>
            </w:r>
          </w:p>
        </w:tc>
        <w:tc>
          <w:tcPr>
            <w:tcW w:type="dxa" w:w="1950"/>
            <w:tcMar>
              <w:top w:type="dxa" w:w="80"/>
              <w:left w:type="dxa" w:w="100"/>
              <w:bottom w:type="dxa" w:w="80"/>
              <w:right w:type="dxa" w:w="100"/>
            </w:tcMar>
            <w:vAlign w:val="center"/>
          </w:tcPr>
          <w:p>
            <w:r>
              <w:rPr>
                <w:b w:val="false"/>
                <w:bCs w:val="false"/>
                <w:color w:val="000000"/>
                <w:sz w:val="18"/>
                <w:szCs w:val="18"/>
              </w:rPr>
              <w:t xml:space="preserve">Data Model — qualification/selection separation</w:t>
            </w:r>
          </w:p>
        </w:tc>
        <w:tc>
          <w:tcPr>
            <w:tcW w:type="dxa" w:w="1300"/>
            <w:tcMar>
              <w:top w:type="dxa" w:w="80"/>
              <w:left w:type="dxa" w:w="100"/>
              <w:bottom w:type="dxa" w:w="80"/>
              <w:right w:type="dxa" w:w="100"/>
            </w:tcMar>
            <w:vAlign w:val="center"/>
          </w:tcPr>
          <w:p>
            <w:r>
              <w:rPr>
                <w:b w:val="false"/>
                <w:bCs w:val="false"/>
                <w:color w:val="000000"/>
                <w:sz w:val="18"/>
                <w:szCs w:val="18"/>
              </w:rPr>
              <w:t xml:space="preserve">EGD-0005 (Deferred)</w:t>
            </w:r>
          </w:p>
        </w:tc>
        <w:tc>
          <w:tcPr>
            <w:tcW w:type="dxa" w:w="1900"/>
            <w:tcMar>
              <w:top w:type="dxa" w:w="80"/>
              <w:left w:type="dxa" w:w="100"/>
              <w:bottom w:type="dxa" w:w="80"/>
              <w:right w:type="dxa" w:w="100"/>
            </w:tcMar>
            <w:vAlign w:val="center"/>
          </w:tcPr>
          <w:p>
            <w:r>
              <w:rPr>
                <w:b w:val="false"/>
                <w:bCs w:val="false"/>
                <w:color w:val="000000"/>
                <w:sz w:val="18"/>
                <w:szCs w:val="18"/>
              </w:rPr>
              <w:t xml:space="preserve">Folded into 2-table model (deferred)</w:t>
            </w:r>
          </w:p>
        </w:tc>
        <w:tc>
          <w:tcPr>
            <w:tcW w:type="dxa" w:w="900"/>
            <w:tcMar>
              <w:top w:type="dxa" w:w="80"/>
              <w:left w:type="dxa" w:w="100"/>
              <w:bottom w:type="dxa" w:w="80"/>
              <w:right w:type="dxa" w:w="100"/>
            </w:tcMar>
            <w:vAlign w:val="center"/>
          </w:tcPr>
          <w:p>
            <w:r>
              <w:rPr>
                <w:b w:val="false"/>
                <w:bCs w:val="false"/>
                <w:color w:val="000000"/>
                <w:sz w:val="18"/>
                <w:szCs w:val="18"/>
              </w:rPr>
              <w:t xml:space="preserve">—</w:t>
            </w:r>
          </w:p>
        </w:tc>
        <w:tc>
          <w:tcPr>
            <w:tcW w:type="dxa" w:w="2550"/>
            <w:tcMar>
              <w:top w:type="dxa" w:w="80"/>
              <w:left w:type="dxa" w:w="100"/>
              <w:bottom w:type="dxa" w:w="80"/>
              <w:right w:type="dxa" w:w="100"/>
            </w:tcMar>
            <w:vAlign w:val="center"/>
          </w:tcPr>
          <w:p>
            <w:r>
              <w:rPr>
                <w:b w:val="false"/>
                <w:bCs w:val="false"/>
                <w:color w:val="000000"/>
                <w:sz w:val="18"/>
                <w:szCs w:val="18"/>
              </w:rPr>
              <w:t xml:space="preserve">Compliance Not Yet Assessable — deferred, folded into product roadmap, no approved Work Package.</w:t>
            </w:r>
          </w:p>
        </w:tc>
      </w:tr>
      <w:tr>
        <w:tc>
          <w:tcPr>
            <w:tcW w:type="dxa" w:w="700"/>
            <w:shd w:fill="F2F2F2" w:val="clear"/>
            <w:tcMar>
              <w:top w:type="dxa" w:w="80"/>
              <w:left w:type="dxa" w:w="100"/>
              <w:bottom w:type="dxa" w:w="80"/>
              <w:right w:type="dxa" w:w="100"/>
            </w:tcMar>
            <w:vAlign w:val="center"/>
          </w:tcPr>
          <w:p>
            <w:r>
              <w:rPr>
                <w:b w:val="false"/>
                <w:bCs w:val="false"/>
                <w:color w:val="000000"/>
                <w:sz w:val="18"/>
                <w:szCs w:val="18"/>
              </w:rPr>
              <w:t xml:space="preserve">AR-0006</w:t>
            </w:r>
          </w:p>
        </w:tc>
        <w:tc>
          <w:tcPr>
            <w:tcW w:type="dxa" w:w="1950"/>
            <w:shd w:fill="F2F2F2" w:val="clear"/>
            <w:tcMar>
              <w:top w:type="dxa" w:w="80"/>
              <w:left w:type="dxa" w:w="100"/>
              <w:bottom w:type="dxa" w:w="80"/>
              <w:right w:type="dxa" w:w="100"/>
            </w:tcMar>
            <w:vAlign w:val="center"/>
          </w:tcPr>
          <w:p>
            <w:r>
              <w:rPr>
                <w:b w:val="false"/>
                <w:bCs w:val="false"/>
                <w:color w:val="000000"/>
                <w:sz w:val="18"/>
                <w:szCs w:val="18"/>
              </w:rPr>
              <w:t xml:space="preserve">Data — self-referencing supersession/versioning model</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EGD-0006 (Deferred)</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Not implemented (deferred)</w:t>
            </w:r>
          </w:p>
        </w:tc>
        <w:tc>
          <w:tcPr>
            <w:tcW w:type="dxa" w:w="900"/>
            <w:shd w:fill="F2F2F2" w:val="clear"/>
            <w:tcMar>
              <w:top w:type="dxa" w:w="80"/>
              <w:left w:type="dxa" w:w="100"/>
              <w:bottom w:type="dxa" w:w="80"/>
              <w:right w:type="dxa" w:w="100"/>
            </w:tcMar>
            <w:vAlign w:val="center"/>
          </w:tcPr>
          <w:p>
            <w:r>
              <w:rPr>
                <w:b w:val="false"/>
                <w:bCs w:val="false"/>
                <w:color w:val="000000"/>
                <w:sz w:val="18"/>
                <w:szCs w:val="18"/>
              </w:rPr>
              <w:t xml:space="preserve">—</w:t>
            </w:r>
          </w:p>
        </w:tc>
        <w:tc>
          <w:tcPr>
            <w:tcW w:type="dxa" w:w="255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 — deferred, no approved Work Package.</w:t>
            </w:r>
          </w:p>
        </w:tc>
      </w:tr>
      <w:tr>
        <w:tc>
          <w:tcPr>
            <w:tcW w:type="dxa" w:w="700"/>
            <w:tcMar>
              <w:top w:type="dxa" w:w="80"/>
              <w:left w:type="dxa" w:w="100"/>
              <w:bottom w:type="dxa" w:w="80"/>
              <w:right w:type="dxa" w:w="100"/>
            </w:tcMar>
            <w:vAlign w:val="center"/>
          </w:tcPr>
          <w:p>
            <w:r>
              <w:rPr>
                <w:b w:val="false"/>
                <w:bCs w:val="false"/>
                <w:color w:val="000000"/>
                <w:sz w:val="18"/>
                <w:szCs w:val="18"/>
              </w:rPr>
              <w:t xml:space="preserve">AR-0007</w:t>
            </w:r>
          </w:p>
        </w:tc>
        <w:tc>
          <w:tcPr>
            <w:tcW w:type="dxa" w:w="1950"/>
            <w:tcMar>
              <w:top w:type="dxa" w:w="80"/>
              <w:left w:type="dxa" w:w="100"/>
              <w:bottom w:type="dxa" w:w="80"/>
              <w:right w:type="dxa" w:w="100"/>
            </w:tcMar>
            <w:vAlign w:val="center"/>
          </w:tcPr>
          <w:p>
            <w:r>
              <w:rPr>
                <w:b w:val="false"/>
                <w:bCs w:val="false"/>
                <w:color w:val="000000"/>
                <w:sz w:val="18"/>
                <w:szCs w:val="18"/>
              </w:rPr>
              <w:t xml:space="preserve">Security — uniform RLS ownership-check coverage</w:t>
            </w:r>
          </w:p>
        </w:tc>
        <w:tc>
          <w:tcPr>
            <w:tcW w:type="dxa" w:w="1300"/>
            <w:tcMar>
              <w:top w:type="dxa" w:w="80"/>
              <w:left w:type="dxa" w:w="100"/>
              <w:bottom w:type="dxa" w:w="80"/>
              <w:right w:type="dxa" w:w="100"/>
            </w:tcMar>
            <w:vAlign w:val="center"/>
          </w:tcPr>
          <w:p>
            <w:r>
              <w:rPr>
                <w:b w:val="false"/>
                <w:bCs w:val="false"/>
                <w:color w:val="000000"/>
                <w:sz w:val="18"/>
                <w:szCs w:val="18"/>
              </w:rPr>
              <w:t xml:space="preserve">EGD-0007 (Accepted, in progress)</w:t>
            </w:r>
          </w:p>
        </w:tc>
        <w:tc>
          <w:tcPr>
            <w:tcW w:type="dxa" w:w="1900"/>
            <w:tcMar>
              <w:top w:type="dxa" w:w="80"/>
              <w:left w:type="dxa" w:w="100"/>
              <w:bottom w:type="dxa" w:w="80"/>
              <w:right w:type="dxa" w:w="100"/>
            </w:tcMar>
            <w:vAlign w:val="center"/>
          </w:tcPr>
          <w:p>
            <w:r>
              <w:rPr>
                <w:b w:val="false"/>
                <w:bCs w:val="false"/>
                <w:color w:val="000000"/>
                <w:sz w:val="18"/>
                <w:szCs w:val="18"/>
              </w:rPr>
              <w:t xml:space="preserve">Partially implemented; verification in progress on 2 of N tables</w:t>
            </w:r>
          </w:p>
        </w:tc>
        <w:tc>
          <w:tcPr>
            <w:tcW w:type="dxa" w:w="900"/>
            <w:tcMar>
              <w:top w:type="dxa" w:w="80"/>
              <w:left w:type="dxa" w:w="100"/>
              <w:bottom w:type="dxa" w:w="80"/>
              <w:right w:type="dxa" w:w="100"/>
            </w:tcMar>
            <w:vAlign w:val="center"/>
          </w:tcPr>
          <w:p>
            <w:r>
              <w:rPr>
                <w:b w:val="false"/>
                <w:bCs w:val="false"/>
                <w:color w:val="000000"/>
                <w:sz w:val="18"/>
                <w:szCs w:val="18"/>
              </w:rPr>
              <w:t xml:space="preserve">WP-0002, WP-0005</w:t>
            </w:r>
          </w:p>
        </w:tc>
        <w:tc>
          <w:tcPr>
            <w:tcW w:type="dxa" w:w="2550"/>
            <w:tcMar>
              <w:top w:type="dxa" w:w="80"/>
              <w:left w:type="dxa" w:w="100"/>
              <w:bottom w:type="dxa" w:w="80"/>
              <w:right w:type="dxa" w:w="100"/>
            </w:tcMar>
            <w:vAlign w:val="center"/>
          </w:tcPr>
          <w:p>
            <w:r>
              <w:rPr>
                <w:b w:val="false"/>
                <w:bCs w:val="false"/>
                <w:color w:val="000000"/>
                <w:sz w:val="18"/>
                <w:szCs w:val="18"/>
              </w:rPr>
              <w:t xml:space="preserve">Compliance Not Yet Assessable — partial baseline evidence exists but full-coverage verification (WP-0002) is Not Yet Realized.</w:t>
            </w:r>
          </w:p>
        </w:tc>
      </w:tr>
      <w:tr>
        <w:tc>
          <w:tcPr>
            <w:tcW w:type="dxa" w:w="700"/>
            <w:shd w:fill="F2F2F2" w:val="clear"/>
            <w:tcMar>
              <w:top w:type="dxa" w:w="80"/>
              <w:left w:type="dxa" w:w="100"/>
              <w:bottom w:type="dxa" w:w="80"/>
              <w:right w:type="dxa" w:w="100"/>
            </w:tcMar>
            <w:vAlign w:val="center"/>
          </w:tcPr>
          <w:p>
            <w:r>
              <w:rPr>
                <w:b w:val="false"/>
                <w:bCs w:val="false"/>
                <w:color w:val="000000"/>
                <w:sz w:val="18"/>
                <w:szCs w:val="18"/>
              </w:rPr>
              <w:t xml:space="preserve">AR-0008</w:t>
            </w:r>
          </w:p>
        </w:tc>
        <w:tc>
          <w:tcPr>
            <w:tcW w:type="dxa" w:w="1950"/>
            <w:shd w:fill="F2F2F2" w:val="clear"/>
            <w:tcMar>
              <w:top w:type="dxa" w:w="80"/>
              <w:left w:type="dxa" w:w="100"/>
              <w:bottom w:type="dxa" w:w="80"/>
              <w:right w:type="dxa" w:w="100"/>
            </w:tcMar>
            <w:vAlign w:val="center"/>
          </w:tcPr>
          <w:p>
            <w:r>
              <w:rPr>
                <w:b w:val="false"/>
                <w:bCs w:val="false"/>
                <w:color w:val="000000"/>
                <w:sz w:val="18"/>
                <w:szCs w:val="18"/>
              </w:rPr>
              <w:t xml:space="preserve">Schema Design — UUID primary keys on all tables</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EGD-0008 (Accepted, standing)</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Implemented, exceeds bar</w:t>
            </w:r>
          </w:p>
        </w:tc>
        <w:tc>
          <w:tcPr>
            <w:tcW w:type="dxa" w:w="900"/>
            <w:shd w:fill="F2F2F2" w:val="clear"/>
            <w:tcMar>
              <w:top w:type="dxa" w:w="80"/>
              <w:left w:type="dxa" w:w="100"/>
              <w:bottom w:type="dxa" w:w="80"/>
              <w:right w:type="dxa" w:w="100"/>
            </w:tcMar>
            <w:vAlign w:val="center"/>
          </w:tcPr>
          <w:p>
            <w:r>
              <w:rPr>
                <w:b w:val="false"/>
                <w:bCs w:val="false"/>
                <w:color w:val="000000"/>
                <w:sz w:val="18"/>
                <w:szCs w:val="18"/>
              </w:rPr>
              <w:t xml:space="preserve">—</w:t>
            </w:r>
          </w:p>
        </w:tc>
        <w:tc>
          <w:tcPr>
            <w:tcW w:type="dxa" w:w="2550"/>
            <w:shd w:fill="F2F2F2" w:val="clear"/>
            <w:tcMar>
              <w:top w:type="dxa" w:w="80"/>
              <w:left w:type="dxa" w:w="100"/>
              <w:bottom w:type="dxa" w:w="80"/>
              <w:right w:type="dxa" w:w="100"/>
            </w:tcMar>
            <w:vAlign w:val="center"/>
          </w:tcPr>
          <w:p>
            <w:r>
              <w:rPr>
                <w:b w:val="false"/>
                <w:bCs w:val="false"/>
                <w:color w:val="000000"/>
                <w:sz w:val="18"/>
                <w:szCs w:val="18"/>
              </w:rPr>
              <w:t xml:space="preserve">Architecture Conformant — standing architecture, evidenced by schema audit.</w:t>
            </w:r>
          </w:p>
        </w:tc>
      </w:tr>
      <w:tr>
        <w:tc>
          <w:tcPr>
            <w:tcW w:type="dxa" w:w="700"/>
            <w:tcMar>
              <w:top w:type="dxa" w:w="80"/>
              <w:left w:type="dxa" w:w="100"/>
              <w:bottom w:type="dxa" w:w="80"/>
              <w:right w:type="dxa" w:w="100"/>
            </w:tcMar>
            <w:vAlign w:val="center"/>
          </w:tcPr>
          <w:p>
            <w:r>
              <w:rPr>
                <w:b w:val="false"/>
                <w:bCs w:val="false"/>
                <w:color w:val="000000"/>
                <w:sz w:val="18"/>
                <w:szCs w:val="18"/>
              </w:rPr>
              <w:t xml:space="preserve">AR-0009</w:t>
            </w:r>
          </w:p>
        </w:tc>
        <w:tc>
          <w:tcPr>
            <w:tcW w:type="dxa" w:w="1950"/>
            <w:tcMar>
              <w:top w:type="dxa" w:w="80"/>
              <w:left w:type="dxa" w:w="100"/>
              <w:bottom w:type="dxa" w:w="80"/>
              <w:right w:type="dxa" w:w="100"/>
            </w:tcMar>
            <w:vAlign w:val="center"/>
          </w:tcPr>
          <w:p>
            <w:r>
              <w:rPr>
                <w:b w:val="false"/>
                <w:bCs w:val="false"/>
                <w:color w:val="000000"/>
                <w:sz w:val="18"/>
                <w:szCs w:val="18"/>
              </w:rPr>
              <w:t xml:space="preserve">Schema Design — timestamptz used consistently</w:t>
            </w:r>
          </w:p>
        </w:tc>
        <w:tc>
          <w:tcPr>
            <w:tcW w:type="dxa" w:w="1300"/>
            <w:tcMar>
              <w:top w:type="dxa" w:w="80"/>
              <w:left w:type="dxa" w:w="100"/>
              <w:bottom w:type="dxa" w:w="80"/>
              <w:right w:type="dxa" w:w="100"/>
            </w:tcMar>
            <w:vAlign w:val="center"/>
          </w:tcPr>
          <w:p>
            <w:r>
              <w:rPr>
                <w:b w:val="false"/>
                <w:bCs w:val="false"/>
                <w:color w:val="000000"/>
                <w:sz w:val="18"/>
                <w:szCs w:val="18"/>
              </w:rPr>
              <w:t xml:space="preserve">EGD-0008 (Accepted, standing)</w:t>
            </w:r>
          </w:p>
        </w:tc>
        <w:tc>
          <w:tcPr>
            <w:tcW w:type="dxa" w:w="1900"/>
            <w:tcMar>
              <w:top w:type="dxa" w:w="80"/>
              <w:left w:type="dxa" w:w="100"/>
              <w:bottom w:type="dxa" w:w="80"/>
              <w:right w:type="dxa" w:w="100"/>
            </w:tcMar>
            <w:vAlign w:val="center"/>
          </w:tcPr>
          <w:p>
            <w:r>
              <w:rPr>
                <w:b w:val="false"/>
                <w:bCs w:val="false"/>
                <w:color w:val="000000"/>
                <w:sz w:val="18"/>
                <w:szCs w:val="18"/>
              </w:rPr>
              <w:t xml:space="preserve">Implemented, exceeds bar</w:t>
            </w:r>
          </w:p>
        </w:tc>
        <w:tc>
          <w:tcPr>
            <w:tcW w:type="dxa" w:w="900"/>
            <w:tcMar>
              <w:top w:type="dxa" w:w="80"/>
              <w:left w:type="dxa" w:w="100"/>
              <w:bottom w:type="dxa" w:w="80"/>
              <w:right w:type="dxa" w:w="100"/>
            </w:tcMar>
            <w:vAlign w:val="center"/>
          </w:tcPr>
          <w:p>
            <w:r>
              <w:rPr>
                <w:b w:val="false"/>
                <w:bCs w:val="false"/>
                <w:color w:val="000000"/>
                <w:sz w:val="18"/>
                <w:szCs w:val="18"/>
              </w:rPr>
              <w:t xml:space="preserve">—</w:t>
            </w:r>
          </w:p>
        </w:tc>
        <w:tc>
          <w:tcPr>
            <w:tcW w:type="dxa" w:w="2550"/>
            <w:tcMar>
              <w:top w:type="dxa" w:w="80"/>
              <w:left w:type="dxa" w:w="100"/>
              <w:bottom w:type="dxa" w:w="80"/>
              <w:right w:type="dxa" w:w="100"/>
            </w:tcMar>
            <w:vAlign w:val="center"/>
          </w:tcPr>
          <w:p>
            <w:r>
              <w:rPr>
                <w:b w:val="false"/>
                <w:bCs w:val="false"/>
                <w:color w:val="000000"/>
                <w:sz w:val="18"/>
                <w:szCs w:val="18"/>
              </w:rPr>
              <w:t xml:space="preserve">Architecture Conformant — standing architecture, evidenced by schema audit.</w:t>
            </w:r>
          </w:p>
        </w:tc>
      </w:tr>
      <w:tr>
        <w:tc>
          <w:tcPr>
            <w:tcW w:type="dxa" w:w="700"/>
            <w:shd w:fill="F2F2F2" w:val="clear"/>
            <w:tcMar>
              <w:top w:type="dxa" w:w="80"/>
              <w:left w:type="dxa" w:w="100"/>
              <w:bottom w:type="dxa" w:w="80"/>
              <w:right w:type="dxa" w:w="100"/>
            </w:tcMar>
            <w:vAlign w:val="center"/>
          </w:tcPr>
          <w:p>
            <w:r>
              <w:rPr>
                <w:b w:val="false"/>
                <w:bCs w:val="false"/>
                <w:color w:val="000000"/>
                <w:sz w:val="18"/>
                <w:szCs w:val="18"/>
              </w:rPr>
              <w:t xml:space="preserve">AR-0010</w:t>
            </w:r>
          </w:p>
        </w:tc>
        <w:tc>
          <w:tcPr>
            <w:tcW w:type="dxa" w:w="1950"/>
            <w:shd w:fill="F2F2F2" w:val="clear"/>
            <w:tcMar>
              <w:top w:type="dxa" w:w="80"/>
              <w:left w:type="dxa" w:w="100"/>
              <w:bottom w:type="dxa" w:w="80"/>
              <w:right w:type="dxa" w:w="100"/>
            </w:tcMar>
            <w:vAlign w:val="center"/>
          </w:tcPr>
          <w:p>
            <w:r>
              <w:rPr>
                <w:b w:val="false"/>
                <w:bCs w:val="false"/>
                <w:color w:val="000000"/>
                <w:sz w:val="18"/>
                <w:szCs w:val="18"/>
              </w:rPr>
              <w:t xml:space="preserve">Delivery — idempotent, rollback-ready migrations</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EGD-0009 (Accepted, standing)</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Implemented, exceeds bar</w:t>
            </w:r>
          </w:p>
        </w:tc>
        <w:tc>
          <w:tcPr>
            <w:tcW w:type="dxa" w:w="900"/>
            <w:shd w:fill="F2F2F2" w:val="clear"/>
            <w:tcMar>
              <w:top w:type="dxa" w:w="80"/>
              <w:left w:type="dxa" w:w="100"/>
              <w:bottom w:type="dxa" w:w="80"/>
              <w:right w:type="dxa" w:w="100"/>
            </w:tcMar>
            <w:vAlign w:val="center"/>
          </w:tcPr>
          <w:p>
            <w:r>
              <w:rPr>
                <w:b w:val="false"/>
                <w:bCs w:val="false"/>
                <w:color w:val="000000"/>
                <w:sz w:val="18"/>
                <w:szCs w:val="18"/>
              </w:rPr>
              <w:t xml:space="preserve">—</w:t>
            </w:r>
          </w:p>
        </w:tc>
        <w:tc>
          <w:tcPr>
            <w:tcW w:type="dxa" w:w="2550"/>
            <w:shd w:fill="F2F2F2" w:val="clear"/>
            <w:tcMar>
              <w:top w:type="dxa" w:w="80"/>
              <w:left w:type="dxa" w:w="100"/>
              <w:bottom w:type="dxa" w:w="80"/>
              <w:right w:type="dxa" w:w="100"/>
            </w:tcMar>
            <w:vAlign w:val="center"/>
          </w:tcPr>
          <w:p>
            <w:r>
              <w:rPr>
                <w:b w:val="false"/>
                <w:bCs w:val="false"/>
                <w:color w:val="000000"/>
                <w:sz w:val="18"/>
                <w:szCs w:val="18"/>
              </w:rPr>
              <w:t xml:space="preserve">Architecture Conformant — standing architecture, evidenced by migration review.</w:t>
            </w:r>
          </w:p>
        </w:tc>
      </w:tr>
    </w:tbl>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spacing w:after="180" w:before="360"/>
      </w:pPr>
      <w:r>
        <w:t xml:space="preserve">12. Enterprise Governance Decision Compliance</w:t>
      </w:r>
    </w:p>
    <w:p>
      <w:pPr>
        <w:spacing w:after="160" w:line="276"/>
      </w:pPr>
      <w:r>
        <w:t xml:space="preserve">Each Enterprise Governance Decision (EGD-0001 through EGD-0009) is either Accepted (governing an active or pending Work Package), Deferred (governing a requirement not currently being implemented), or Accepted-Standing (governing already-conformant baseline architecture). Compliance with an EGD means implementation matches the disposition the EGD recorded — not that implementation has occurred. A Deferred EGD (EGD-0001, EGD-0004, EGD-0005, EGD-0006) is fully complied with by the corresponding requirement remaining unimplemented until its trigger fires; compliance failure would mean implementing ahead of, or contrary to, the EGD's recorded disposition.</w:t>
      </w:r>
    </w:p>
    <w:p>
      <w:pPr>
        <w:pStyle w:val="Heading1"/>
        <w:spacing w:after="180" w:before="360"/>
      </w:pPr>
      <w:r>
        <w:t xml:space="preserve">13. Work Package Compliance</w:t>
      </w:r>
    </w:p>
    <w:p>
      <w:pPr>
        <w:spacing w:after="160" w:line="276"/>
      </w:pPr>
      <w:r>
        <w:t xml:space="preserve">Each of the six approved Work Packages carries a compliance obligation distinct from its Phase D realization obligation: its deliverable, once produced, must conform to the exact Architecture Requirement and Enterprise Governance Decision it is bound to. No Work Package has produced a deliverable as of this document, so no Work Package compliance obligation has yet been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1050"/>
        <w:gridCol w:w="3960"/>
        <w:gridCol w:w="1900"/>
      </w:tblGrid>
      <w:tr>
        <w:trPr>
          <w:tblHeader/>
        </w:trPr>
        <w:tc>
          <w:tcPr>
            <w:tcW w:type="dxa" w:w="1150"/>
            <w:shd w:fill="1F3864" w:val="clear"/>
            <w:tcMar>
              <w:top w:type="dxa" w:w="80"/>
              <w:left w:type="dxa" w:w="100"/>
              <w:bottom w:type="dxa" w:w="80"/>
              <w:right w:type="dxa" w:w="100"/>
            </w:tcMar>
            <w:vAlign w:val="center"/>
          </w:tcPr>
          <w:p>
            <w:r>
              <w:rPr>
                <w:b/>
                <w:bCs/>
                <w:color w:val="FFFFFF"/>
                <w:sz w:val="18"/>
                <w:szCs w:val="18"/>
              </w:rPr>
              <w:t xml:space="preserve">Work Package</w:t>
            </w:r>
          </w:p>
        </w:tc>
        <w:tc>
          <w:tcPr>
            <w:tcW w:type="dxa" w:w="1300"/>
            <w:shd w:fill="1F3864" w:val="clear"/>
            <w:tcMar>
              <w:top w:type="dxa" w:w="80"/>
              <w:left w:type="dxa" w:w="100"/>
              <w:bottom w:type="dxa" w:w="80"/>
              <w:right w:type="dxa" w:w="100"/>
            </w:tcMar>
            <w:vAlign w:val="center"/>
          </w:tcPr>
          <w:p>
            <w:r>
              <w:rPr>
                <w:b/>
                <w:bCs/>
                <w:color w:val="FFFFFF"/>
                <w:sz w:val="18"/>
                <w:szCs w:val="18"/>
              </w:rPr>
              <w:t xml:space="preserve">AR Bound</w:t>
            </w:r>
          </w:p>
        </w:tc>
        <w:tc>
          <w:tcPr>
            <w:tcW w:type="dxa" w:w="1050"/>
            <w:shd w:fill="1F3864" w:val="clear"/>
            <w:tcMar>
              <w:top w:type="dxa" w:w="80"/>
              <w:left w:type="dxa" w:w="100"/>
              <w:bottom w:type="dxa" w:w="80"/>
              <w:right w:type="dxa" w:w="100"/>
            </w:tcMar>
            <w:vAlign w:val="center"/>
          </w:tcPr>
          <w:p>
            <w:r>
              <w:rPr>
                <w:b/>
                <w:bCs/>
                <w:color w:val="FFFFFF"/>
                <w:sz w:val="18"/>
                <w:szCs w:val="18"/>
              </w:rPr>
              <w:t xml:space="preserve">EGD Bound</w:t>
            </w:r>
          </w:p>
        </w:tc>
        <w:tc>
          <w:tcPr>
            <w:tcW w:type="dxa" w:w="3960"/>
            <w:shd w:fill="1F3864" w:val="clear"/>
            <w:tcMar>
              <w:top w:type="dxa" w:w="80"/>
              <w:left w:type="dxa" w:w="100"/>
              <w:bottom w:type="dxa" w:w="80"/>
              <w:right w:type="dxa" w:w="100"/>
            </w:tcMar>
            <w:vAlign w:val="center"/>
          </w:tcPr>
          <w:p>
            <w:r>
              <w:rPr>
                <w:b/>
                <w:bCs/>
                <w:color w:val="FFFFFF"/>
                <w:sz w:val="18"/>
                <w:szCs w:val="18"/>
              </w:rPr>
              <w:t xml:space="preserve">Compliance Obligation</w:t>
            </w:r>
          </w:p>
        </w:tc>
        <w:tc>
          <w:tcPr>
            <w:tcW w:type="dxa" w:w="1900"/>
            <w:shd w:fill="1F3864" w:val="clear"/>
            <w:tcMar>
              <w:top w:type="dxa" w:w="80"/>
              <w:left w:type="dxa" w:w="100"/>
              <w:bottom w:type="dxa" w:w="80"/>
              <w:right w:type="dxa" w:w="100"/>
            </w:tcMar>
            <w:vAlign w:val="center"/>
          </w:tcPr>
          <w:p>
            <w:r>
              <w:rPr>
                <w:b/>
                <w:bCs/>
                <w:color w:val="FFFFFF"/>
                <w:sz w:val="18"/>
                <w:szCs w:val="18"/>
              </w:rPr>
              <w:t xml:space="preserve">Current Compliance State</w:t>
            </w:r>
          </w:p>
        </w:tc>
      </w:tr>
      <w:tr>
        <w:tc>
          <w:tcPr>
            <w:tcW w:type="dxa" w:w="1150"/>
            <w:tcMar>
              <w:top w:type="dxa" w:w="80"/>
              <w:left w:type="dxa" w:w="100"/>
              <w:bottom w:type="dxa" w:w="80"/>
              <w:right w:type="dxa" w:w="100"/>
            </w:tcMar>
            <w:vAlign w:val="center"/>
          </w:tcPr>
          <w:p>
            <w:r>
              <w:rPr>
                <w:b w:val="false"/>
                <w:bCs w:val="false"/>
                <w:color w:val="000000"/>
                <w:sz w:val="18"/>
                <w:szCs w:val="18"/>
              </w:rPr>
              <w:t xml:space="preserve">WP-0001</w:t>
            </w:r>
          </w:p>
        </w:tc>
        <w:tc>
          <w:tcPr>
            <w:tcW w:type="dxa" w:w="1300"/>
            <w:tcMar>
              <w:top w:type="dxa" w:w="80"/>
              <w:left w:type="dxa" w:w="100"/>
              <w:bottom w:type="dxa" w:w="80"/>
              <w:right w:type="dxa" w:w="100"/>
            </w:tcMar>
            <w:vAlign w:val="center"/>
          </w:tcPr>
          <w:p>
            <w:r>
              <w:rPr>
                <w:b w:val="false"/>
                <w:bCs w:val="false"/>
                <w:color w:val="000000"/>
                <w:sz w:val="18"/>
                <w:szCs w:val="18"/>
              </w:rPr>
              <w:t xml:space="preserve">AR-0002</w:t>
            </w:r>
          </w:p>
        </w:tc>
        <w:tc>
          <w:tcPr>
            <w:tcW w:type="dxa" w:w="1050"/>
            <w:tcMar>
              <w:top w:type="dxa" w:w="80"/>
              <w:left w:type="dxa" w:w="100"/>
              <w:bottom w:type="dxa" w:w="80"/>
              <w:right w:type="dxa" w:w="100"/>
            </w:tcMar>
            <w:vAlign w:val="center"/>
          </w:tcPr>
          <w:p>
            <w:r>
              <w:rPr>
                <w:b w:val="false"/>
                <w:bCs w:val="false"/>
                <w:color w:val="000000"/>
                <w:sz w:val="18"/>
                <w:szCs w:val="18"/>
              </w:rPr>
              <w:t xml:space="preserve">EGD-0002</w:t>
            </w:r>
          </w:p>
        </w:tc>
        <w:tc>
          <w:tcPr>
            <w:tcW w:type="dxa" w:w="3960"/>
            <w:tcMar>
              <w:top w:type="dxa" w:w="80"/>
              <w:left w:type="dxa" w:w="100"/>
              <w:bottom w:type="dxa" w:w="80"/>
              <w:right w:type="dxa" w:w="100"/>
            </w:tcMar>
            <w:vAlign w:val="center"/>
          </w:tcPr>
          <w:p>
            <w:r>
              <w:rPr>
                <w:b w:val="false"/>
                <w:bCs w:val="false"/>
                <w:color w:val="000000"/>
                <w:sz w:val="18"/>
                <w:szCs w:val="18"/>
              </w:rPr>
              <w:t xml:space="preserve">Author the revised EEP-01 Phase A document describing the live schema as canonical.</w:t>
            </w:r>
          </w:p>
        </w:tc>
        <w:tc>
          <w:tcPr>
            <w:tcW w:type="dxa" w:w="1900"/>
            <w:tcMar>
              <w:top w:type="dxa" w:w="80"/>
              <w:left w:type="dxa" w:w="100"/>
              <w:bottom w:type="dxa" w:w="80"/>
              <w:right w:type="dxa" w:w="100"/>
            </w:tcMar>
            <w:vAlign w:val="center"/>
          </w:tcPr>
          <w:p>
            <w:r>
              <w:rPr>
                <w:b w:val="false"/>
                <w:bCs w:val="false"/>
                <w:color w:val="000000"/>
                <w:sz w:val="18"/>
                <w:szCs w:val="18"/>
              </w:rPr>
              <w:t xml:space="preserve">Compliance Not Yet Assessable</w:t>
            </w:r>
          </w:p>
        </w:tc>
      </w:tr>
      <w:tr>
        <w:tc>
          <w:tcPr>
            <w:tcW w:type="dxa" w:w="1150"/>
            <w:shd w:fill="F2F2F2" w:val="clear"/>
            <w:tcMar>
              <w:top w:type="dxa" w:w="80"/>
              <w:left w:type="dxa" w:w="100"/>
              <w:bottom w:type="dxa" w:w="80"/>
              <w:right w:type="dxa" w:w="100"/>
            </w:tcMar>
            <w:vAlign w:val="center"/>
          </w:tcPr>
          <w:p>
            <w:r>
              <w:rPr>
                <w:b w:val="false"/>
                <w:bCs w:val="false"/>
                <w:color w:val="000000"/>
                <w:sz w:val="18"/>
                <w:szCs w:val="18"/>
              </w:rPr>
              <w:t xml:space="preserve">WP-0002</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AR-0007</w:t>
            </w:r>
          </w:p>
        </w:tc>
        <w:tc>
          <w:tcPr>
            <w:tcW w:type="dxa" w:w="1050"/>
            <w:shd w:fill="F2F2F2" w:val="clear"/>
            <w:tcMar>
              <w:top w:type="dxa" w:w="80"/>
              <w:left w:type="dxa" w:w="100"/>
              <w:bottom w:type="dxa" w:w="80"/>
              <w:right w:type="dxa" w:w="100"/>
            </w:tcMar>
            <w:vAlign w:val="center"/>
          </w:tcPr>
          <w:p>
            <w:r>
              <w:rPr>
                <w:b w:val="false"/>
                <w:bCs w:val="false"/>
                <w:color w:val="000000"/>
                <w:sz w:val="18"/>
                <w:szCs w:val="18"/>
              </w:rPr>
              <w:t xml:space="preserve">EGD-0007</w:t>
            </w:r>
          </w:p>
        </w:tc>
        <w:tc>
          <w:tcPr>
            <w:tcW w:type="dxa" w:w="3960"/>
            <w:shd w:fill="F2F2F2" w:val="clear"/>
            <w:tcMar>
              <w:top w:type="dxa" w:w="80"/>
              <w:left w:type="dxa" w:w="100"/>
              <w:bottom w:type="dxa" w:w="80"/>
              <w:right w:type="dxa" w:w="100"/>
            </w:tcMar>
            <w:vAlign w:val="center"/>
          </w:tcPr>
          <w:p>
            <w:r>
              <w:rPr>
                <w:b w:val="false"/>
                <w:bCs w:val="false"/>
                <w:color w:val="000000"/>
                <w:sz w:val="18"/>
                <w:szCs w:val="18"/>
              </w:rPr>
              <w:t xml:space="preserve">Verify RLS coverage on all student-owned tables against the written policy standard.</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w:t>
            </w:r>
          </w:p>
        </w:tc>
      </w:tr>
      <w:tr>
        <w:tc>
          <w:tcPr>
            <w:tcW w:type="dxa" w:w="1150"/>
            <w:tcMar>
              <w:top w:type="dxa" w:w="80"/>
              <w:left w:type="dxa" w:w="100"/>
              <w:bottom w:type="dxa" w:w="80"/>
              <w:right w:type="dxa" w:w="100"/>
            </w:tcMar>
            <w:vAlign w:val="center"/>
          </w:tcPr>
          <w:p>
            <w:r>
              <w:rPr>
                <w:b w:val="false"/>
                <w:bCs w:val="false"/>
                <w:color w:val="000000"/>
                <w:sz w:val="18"/>
                <w:szCs w:val="18"/>
              </w:rPr>
              <w:t xml:space="preserve">WP-0003</w:t>
            </w:r>
          </w:p>
        </w:tc>
        <w:tc>
          <w:tcPr>
            <w:tcW w:type="dxa" w:w="1300"/>
            <w:tcMar>
              <w:top w:type="dxa" w:w="80"/>
              <w:left w:type="dxa" w:w="100"/>
              <w:bottom w:type="dxa" w:w="80"/>
              <w:right w:type="dxa" w:w="100"/>
            </w:tcMar>
            <w:vAlign w:val="center"/>
          </w:tcPr>
          <w:p>
            <w:r>
              <w:rPr>
                <w:b w:val="false"/>
                <w:bCs w:val="false"/>
                <w:color w:val="000000"/>
                <w:sz w:val="18"/>
                <w:szCs w:val="18"/>
              </w:rPr>
              <w:t xml:space="preserve">AR-0004</w:t>
            </w:r>
          </w:p>
        </w:tc>
        <w:tc>
          <w:tcPr>
            <w:tcW w:type="dxa" w:w="1050"/>
            <w:tcMar>
              <w:top w:type="dxa" w:w="80"/>
              <w:left w:type="dxa" w:w="100"/>
              <w:bottom w:type="dxa" w:w="80"/>
              <w:right w:type="dxa" w:w="100"/>
            </w:tcMar>
            <w:vAlign w:val="center"/>
          </w:tcPr>
          <w:p>
            <w:r>
              <w:rPr>
                <w:b w:val="false"/>
                <w:bCs w:val="false"/>
                <w:color w:val="000000"/>
                <w:sz w:val="18"/>
                <w:szCs w:val="18"/>
              </w:rPr>
              <w:t xml:space="preserve">EGD-0004</w:t>
            </w:r>
          </w:p>
        </w:tc>
        <w:tc>
          <w:tcPr>
            <w:tcW w:type="dxa" w:w="3960"/>
            <w:tcMar>
              <w:top w:type="dxa" w:w="80"/>
              <w:left w:type="dxa" w:w="100"/>
              <w:bottom w:type="dxa" w:w="80"/>
              <w:right w:type="dxa" w:w="100"/>
            </w:tcMar>
            <w:vAlign w:val="center"/>
          </w:tcPr>
          <w:p>
            <w:r>
              <w:rPr>
                <w:b w:val="false"/>
                <w:bCs w:val="false"/>
                <w:color w:val="000000"/>
                <w:sz w:val="18"/>
                <w:szCs w:val="18"/>
              </w:rPr>
              <w:t xml:space="preserve">Produce a partitioning assessment and plan once the growth trigger fires.</w:t>
            </w:r>
          </w:p>
        </w:tc>
        <w:tc>
          <w:tcPr>
            <w:tcW w:type="dxa" w:w="1900"/>
            <w:tcMar>
              <w:top w:type="dxa" w:w="80"/>
              <w:left w:type="dxa" w:w="100"/>
              <w:bottom w:type="dxa" w:w="80"/>
              <w:right w:type="dxa" w:w="100"/>
            </w:tcMar>
            <w:vAlign w:val="center"/>
          </w:tcPr>
          <w:p>
            <w:r>
              <w:rPr>
                <w:b w:val="false"/>
                <w:bCs w:val="false"/>
                <w:color w:val="000000"/>
                <w:sz w:val="18"/>
                <w:szCs w:val="18"/>
              </w:rPr>
              <w:t xml:space="preserve">Compliance Not Yet Assessable</w:t>
            </w:r>
          </w:p>
        </w:tc>
      </w:tr>
      <w:tr>
        <w:tc>
          <w:tcPr>
            <w:tcW w:type="dxa" w:w="1150"/>
            <w:shd w:fill="F2F2F2" w:val="clear"/>
            <w:tcMar>
              <w:top w:type="dxa" w:w="80"/>
              <w:left w:type="dxa" w:w="100"/>
              <w:bottom w:type="dxa" w:w="80"/>
              <w:right w:type="dxa" w:w="100"/>
            </w:tcMar>
            <w:vAlign w:val="center"/>
          </w:tcPr>
          <w:p>
            <w:r>
              <w:rPr>
                <w:b w:val="false"/>
                <w:bCs w:val="false"/>
                <w:color w:val="000000"/>
                <w:sz w:val="18"/>
                <w:szCs w:val="18"/>
              </w:rPr>
              <w:t xml:space="preserve">WP-0004</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AR-0003</w:t>
            </w:r>
          </w:p>
        </w:tc>
        <w:tc>
          <w:tcPr>
            <w:tcW w:type="dxa" w:w="1050"/>
            <w:shd w:fill="F2F2F2" w:val="clear"/>
            <w:tcMar>
              <w:top w:type="dxa" w:w="80"/>
              <w:left w:type="dxa" w:w="100"/>
              <w:bottom w:type="dxa" w:w="80"/>
              <w:right w:type="dxa" w:w="100"/>
            </w:tcMar>
            <w:vAlign w:val="center"/>
          </w:tcPr>
          <w:p>
            <w:r>
              <w:rPr>
                <w:b w:val="false"/>
                <w:bCs w:val="false"/>
                <w:color w:val="000000"/>
                <w:sz w:val="18"/>
                <w:szCs w:val="18"/>
              </w:rPr>
              <w:t xml:space="preserve">EGD-0003</w:t>
            </w:r>
          </w:p>
        </w:tc>
        <w:tc>
          <w:tcPr>
            <w:tcW w:type="dxa" w:w="3960"/>
            <w:shd w:fill="F2F2F2" w:val="clear"/>
            <w:tcMar>
              <w:top w:type="dxa" w:w="80"/>
              <w:left w:type="dxa" w:w="100"/>
              <w:bottom w:type="dxa" w:w="80"/>
              <w:right w:type="dxa" w:w="100"/>
            </w:tcMar>
            <w:vAlign w:val="center"/>
          </w:tcPr>
          <w:p>
            <w:r>
              <w:rPr>
                <w:b w:val="false"/>
                <w:bCs w:val="false"/>
                <w:color w:val="000000"/>
                <w:sz w:val="18"/>
                <w:szCs w:val="18"/>
              </w:rPr>
              <w:t xml:space="preserve">Document the accepted direct-FK taxonomy pattern; establish a per-release denormalization check.</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w:t>
            </w:r>
          </w:p>
        </w:tc>
      </w:tr>
      <w:tr>
        <w:tc>
          <w:tcPr>
            <w:tcW w:type="dxa" w:w="1150"/>
            <w:tcMar>
              <w:top w:type="dxa" w:w="80"/>
              <w:left w:type="dxa" w:w="100"/>
              <w:bottom w:type="dxa" w:w="80"/>
              <w:right w:type="dxa" w:w="100"/>
            </w:tcMar>
            <w:vAlign w:val="center"/>
          </w:tcPr>
          <w:p>
            <w:r>
              <w:rPr>
                <w:b w:val="false"/>
                <w:bCs w:val="false"/>
                <w:color w:val="000000"/>
                <w:sz w:val="18"/>
                <w:szCs w:val="18"/>
              </w:rPr>
              <w:t xml:space="preserve">WP-0005</w:t>
            </w:r>
          </w:p>
        </w:tc>
        <w:tc>
          <w:tcPr>
            <w:tcW w:type="dxa" w:w="1300"/>
            <w:tcMar>
              <w:top w:type="dxa" w:w="80"/>
              <w:left w:type="dxa" w:w="100"/>
              <w:bottom w:type="dxa" w:w="80"/>
              <w:right w:type="dxa" w:w="100"/>
            </w:tcMar>
            <w:vAlign w:val="center"/>
          </w:tcPr>
          <w:p>
            <w:r>
              <w:rPr>
                <w:b w:val="false"/>
                <w:bCs w:val="false"/>
                <w:color w:val="000000"/>
                <w:sz w:val="18"/>
                <w:szCs w:val="18"/>
              </w:rPr>
              <w:t xml:space="preserve">AR-0007 (extension)</w:t>
            </w:r>
          </w:p>
        </w:tc>
        <w:tc>
          <w:tcPr>
            <w:tcW w:type="dxa" w:w="1050"/>
            <w:tcMar>
              <w:top w:type="dxa" w:w="80"/>
              <w:left w:type="dxa" w:w="100"/>
              <w:bottom w:type="dxa" w:w="80"/>
              <w:right w:type="dxa" w:w="100"/>
            </w:tcMar>
            <w:vAlign w:val="center"/>
          </w:tcPr>
          <w:p>
            <w:r>
              <w:rPr>
                <w:b w:val="false"/>
                <w:bCs w:val="false"/>
                <w:color w:val="000000"/>
                <w:sz w:val="18"/>
                <w:szCs w:val="18"/>
              </w:rPr>
              <w:t xml:space="preserve">—</w:t>
            </w:r>
          </w:p>
        </w:tc>
        <w:tc>
          <w:tcPr>
            <w:tcW w:type="dxa" w:w="3960"/>
            <w:tcMar>
              <w:top w:type="dxa" w:w="80"/>
              <w:left w:type="dxa" w:w="100"/>
              <w:bottom w:type="dxa" w:w="80"/>
              <w:right w:type="dxa" w:w="100"/>
            </w:tcMar>
            <w:vAlign w:val="center"/>
          </w:tcPr>
          <w:p>
            <w:r>
              <w:rPr>
                <w:b w:val="false"/>
                <w:bCs w:val="false"/>
                <w:color w:val="000000"/>
                <w:sz w:val="18"/>
                <w:szCs w:val="18"/>
              </w:rPr>
              <w:t xml:space="preserve">Column-level access review for free-text/JSON payload columns.</w:t>
            </w:r>
          </w:p>
        </w:tc>
        <w:tc>
          <w:tcPr>
            <w:tcW w:type="dxa" w:w="1900"/>
            <w:tcMar>
              <w:top w:type="dxa" w:w="80"/>
              <w:left w:type="dxa" w:w="100"/>
              <w:bottom w:type="dxa" w:w="80"/>
              <w:right w:type="dxa" w:w="100"/>
            </w:tcMar>
            <w:vAlign w:val="center"/>
          </w:tcPr>
          <w:p>
            <w:r>
              <w:rPr>
                <w:b w:val="false"/>
                <w:bCs w:val="false"/>
                <w:color w:val="000000"/>
                <w:sz w:val="18"/>
                <w:szCs w:val="18"/>
              </w:rPr>
              <w:t xml:space="preserve">Compliance Not Yet Assessable</w:t>
            </w:r>
          </w:p>
        </w:tc>
      </w:tr>
      <w:tr>
        <w:tc>
          <w:tcPr>
            <w:tcW w:type="dxa" w:w="1150"/>
            <w:shd w:fill="F2F2F2" w:val="clear"/>
            <w:tcMar>
              <w:top w:type="dxa" w:w="80"/>
              <w:left w:type="dxa" w:w="100"/>
              <w:bottom w:type="dxa" w:w="80"/>
              <w:right w:type="dxa" w:w="100"/>
            </w:tcMar>
            <w:vAlign w:val="center"/>
          </w:tcPr>
          <w:p>
            <w:r>
              <w:rPr>
                <w:b w:val="false"/>
                <w:bCs w:val="false"/>
                <w:color w:val="000000"/>
                <w:sz w:val="18"/>
                <w:szCs w:val="18"/>
              </w:rPr>
              <w:t xml:space="preserve">WP-0006</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N/A — organizational</w:t>
            </w:r>
          </w:p>
        </w:tc>
        <w:tc>
          <w:tcPr>
            <w:tcW w:type="dxa" w:w="1050"/>
            <w:shd w:fill="F2F2F2" w:val="clear"/>
            <w:tcMar>
              <w:top w:type="dxa" w:w="80"/>
              <w:left w:type="dxa" w:w="100"/>
              <w:bottom w:type="dxa" w:w="80"/>
              <w:right w:type="dxa" w:w="100"/>
            </w:tcMar>
            <w:vAlign w:val="center"/>
          </w:tcPr>
          <w:p>
            <w:r>
              <w:rPr>
                <w:b w:val="false"/>
                <w:bCs w:val="false"/>
                <w:color w:val="000000"/>
                <w:sz w:val="18"/>
                <w:szCs w:val="18"/>
              </w:rPr>
              <w:t xml:space="preserve">N/A</w:t>
            </w:r>
          </w:p>
        </w:tc>
        <w:tc>
          <w:tcPr>
            <w:tcW w:type="dxa" w:w="3960"/>
            <w:shd w:fill="F2F2F2" w:val="clear"/>
            <w:tcMar>
              <w:top w:type="dxa" w:w="80"/>
              <w:left w:type="dxa" w:w="100"/>
              <w:bottom w:type="dxa" w:w="80"/>
              <w:right w:type="dxa" w:w="100"/>
            </w:tcMar>
            <w:vAlign w:val="center"/>
          </w:tcPr>
          <w:p>
            <w:r>
              <w:rPr>
                <w:b w:val="false"/>
                <w:bCs w:val="false"/>
                <w:color w:val="000000"/>
                <w:sz w:val="18"/>
                <w:szCs w:val="18"/>
              </w:rPr>
              <w:t xml:space="preserve">Assign named, accountable owners to every unassigned governance role.</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w:t>
            </w:r>
          </w:p>
        </w:tc>
      </w:tr>
    </w:tbl>
    <w:p>
      <w:pPr>
        <w:spacing w:after="160" w:line="276"/>
      </w:pPr>
      <w:r>
        <w:t xml:space="preserve"/>
      </w:r>
    </w:p>
    <w:p>
      <w:pPr>
        <w:pStyle w:val="Heading1"/>
        <w:spacing w:after="180" w:before="360"/>
      </w:pPr>
      <w:r>
        <w:t xml:space="preserve">14. Engineering Compliance</w:t>
      </w:r>
    </w:p>
    <w:p>
      <w:pPr>
        <w:spacing w:after="160" w:line="276"/>
      </w:pPr>
      <w:r>
        <w:t xml:space="preserve">Engineering compliance asks whether code, schema, and configuration changes made in service of a Work Package pass through the controls ERP-02 Phase C already validates — PR-triggered governance checks, the CI/CD quality gate, security scanning, and migration safety checks — before being counted as compliance evidence. No new engineering control is introduced here; this section binds Phase C's existing controls to the compliance lifecycle in Section 9. Engineering compliance is Not Yet Assessable for all six Work Packages, consistent with their unstarted execution.</w:t>
      </w:r>
    </w:p>
    <w:p>
      <w:pPr>
        <w:pStyle w:val="Heading1"/>
        <w:spacing w:after="180" w:before="360"/>
      </w:pPr>
      <w:r>
        <w:t xml:space="preserve">15. Repository Compliance</w:t>
      </w:r>
    </w:p>
    <w:p>
      <w:pPr>
        <w:spacing w:after="160" w:line="276"/>
      </w:pPr>
      <w:r>
        <w:t xml:space="preserve">Independent of active Work Package execution, the repository as a whole shall remain free of undocumented drift from any of the ten Architecture Requirements, including AR-0001, AR-0005, and AR-0006, which have no bound Work Package. Repository compliance is assessed by periodic architecture-conformance scan (Section 18) rather than Work Package activity, and any finding of drift is governed under Section 21 regardless of whether a Work Package exists to remediate it.</w:t>
      </w:r>
    </w:p>
    <w:p>
      <w:pPr>
        <w:pStyle w:val="Heading1"/>
        <w:spacing w:after="180" w:before="360"/>
      </w:pPr>
      <w:r>
        <w:t xml:space="preserve">16. Compliance Evidence Requirements</w:t>
      </w:r>
    </w:p>
    <w:p>
      <w:pPr>
        <w:pStyle w:val="ListParagraph"/>
        <w:numPr>
          <w:ilvl w:val="0"/>
          <w:numId w:val="1"/>
        </w:numPr>
        <w:spacing w:after="80"/>
      </w:pPr>
      <w:r>
        <w:t xml:space="preserve">Architecture Requirement evidence — the exact requirement text and certification level from ERP-01 Phase A.3 §7 the implementation is measured against.</w:t>
      </w:r>
    </w:p>
    <w:p>
      <w:pPr>
        <w:pStyle w:val="ListParagraph"/>
        <w:numPr>
          <w:ilvl w:val="0"/>
          <w:numId w:val="1"/>
        </w:numPr>
        <w:spacing w:after="80"/>
      </w:pPr>
      <w:r>
        <w:t xml:space="preserve">Engineering evidence — repository evidence (schema, code, configuration) demonstrating the implementation, distinct from Work Package realization evidence.</w:t>
      </w:r>
    </w:p>
    <w:p>
      <w:pPr>
        <w:pStyle w:val="ListParagraph"/>
        <w:numPr>
          <w:ilvl w:val="0"/>
          <w:numId w:val="1"/>
        </w:numPr>
        <w:spacing w:after="80"/>
      </w:pPr>
      <w:r>
        <w:t xml:space="preserve">Repository evidence — direct inspection results (e.g., table inventory diff, RLS policy list) tied to the verification method ERP-01 Phase A.3 §7 specifies per requirement.</w:t>
      </w:r>
    </w:p>
    <w:p>
      <w:pPr>
        <w:pStyle w:val="ListParagraph"/>
        <w:numPr>
          <w:ilvl w:val="0"/>
          <w:numId w:val="1"/>
        </w:numPr>
        <w:spacing w:after="80"/>
      </w:pPr>
      <w:r>
        <w:t xml:space="preserve">Review evidence — named compliance reviewer sign-off (Section 17).</w:t>
      </w:r>
    </w:p>
    <w:p>
      <w:pPr>
        <w:pStyle w:val="ListParagraph"/>
        <w:numPr>
          <w:ilvl w:val="0"/>
          <w:numId w:val="1"/>
        </w:numPr>
        <w:spacing w:after="80"/>
      </w:pPr>
      <w:r>
        <w:t xml:space="preserve">Audit evidence — findings from a formal architecture compliance audit (Section 18), where conducted.</w:t>
      </w:r>
    </w:p>
    <w:p>
      <w:pPr>
        <w:pStyle w:val="ListParagraph"/>
        <w:numPr>
          <w:ilvl w:val="0"/>
          <w:numId w:val="1"/>
        </w:numPr>
        <w:spacing w:after="80"/>
      </w:pPr>
      <w:r>
        <w:t xml:space="preserve">Variance evidence — the accepted Variance record, where compliance is achieved via an approved deviation rather than literal conformance (as with AR-0003 / VAR-03).</w:t>
      </w:r>
    </w:p>
    <w:p>
      <w:pPr>
        <w:pStyle w:val="ListParagraph"/>
        <w:numPr>
          <w:ilvl w:val="0"/>
          <w:numId w:val="1"/>
        </w:numPr>
        <w:spacing w:after="80"/>
      </w:pPr>
      <w:r>
        <w:t xml:space="preserve">Acceptance evidence — the signed compliance acceptance record advancing a requirement to State 8.</w:t>
      </w:r>
    </w:p>
    <w:p>
      <w:pPr>
        <w:pStyle w:val="Heading1"/>
        <w:spacing w:after="180" w:before="360"/>
      </w:pPr>
      <w:r>
        <w:t xml:space="preserve">17. Compliance Reviews</w:t>
      </w:r>
    </w:p>
    <w:p>
      <w:pPr>
        <w:spacing w:after="160" w:line="276"/>
      </w:pPr>
      <w:r>
        <w:t xml:space="preserve">Every compliance evidence package shall be reviewed against the exact verification method ERP-01 Phase A.3 §7 specifies for that Architecture Requirement — for example, table inventory diff against public.* with zero discrepancies for AR-0002, or a written RLS status and policy list for every student-owned table for AR-0007. Review confirms the evidence matches the specified verification method; it does not substitute a different method or a lower evidentiary bar.</w:t>
      </w:r>
    </w:p>
    <w:p>
      <w:pPr>
        <w:pStyle w:val="Heading1"/>
        <w:spacing w:after="180" w:before="360"/>
      </w:pPr>
      <w:r>
        <w:t xml:space="preserve">18. Architecture Compliance Audits</w:t>
      </w:r>
    </w:p>
    <w:p>
      <w:pPr>
        <w:spacing w:after="160" w:line="276"/>
      </w:pPr>
      <w:r>
        <w:t xml:space="preserve">A formal architecture compliance audit re-verifies the certification level of every Architecture Requirement, including those already Architecture Conformant (AR-0003, AR-0008, AR-0009, AR-0010), to confirm standing conformance has not drifted. Audits shall be scheduled at each Milestone realization event (ERP-02 Phase D, Section 17) and made available to Internal Audit on request. No compliance audit has been conducted as of this document; the audit process is defined here and executed once compliance evidence exists to audit.</w:t>
      </w:r>
    </w:p>
    <w:p>
      <w:pPr>
        <w:pStyle w:val="Heading1"/>
        <w:spacing w:after="180" w:before="360"/>
      </w:pPr>
      <w:r>
        <w:t xml:space="preserve">19. Compliance Exceptions</w:t>
      </w:r>
    </w:p>
    <w:p>
      <w:pPr>
        <w:spacing w:after="160" w:line="276"/>
      </w:pPr>
      <w:r>
        <w:t xml:space="preserve">Where implementation cannot conform to an Architecture Requirement as approved, the exception shall be logged against the Architecture Requirement ID, escalated to the Enterprise Architecture Board, and dispositioned as one of: remediate to conformance, request a new Variance through ERP-01 governance, or request a revised Enterprise Governance Decision. No Architecture Requirement's approved text, certification level, or verification method is altered by this document.</w:t>
      </w:r>
    </w:p>
    <w:p>
      <w:pPr>
        <w:pStyle w:val="Heading1"/>
        <w:spacing w:after="180" w:before="360"/>
      </w:pPr>
      <w:r>
        <w:t xml:space="preserve">20. Variance Governance</w:t>
      </w:r>
    </w:p>
    <w:p>
      <w:pPr>
        <w:spacing w:after="160" w:line="276"/>
      </w:pPr>
      <w:r>
        <w:t xml:space="preserve">Four Variances are currently approved and reused unchanged: VAR-01 (AR-0001, no dedicated schema, quarterly monitored), VAR-02 (AR-0002, table/entity naming, one-time review on WP-0001 completion), VAR-03 (AR-0003, direct-FK taxonomy, per-release monitored — the basis for AR-0003's current Architecture Conformant state), and VAR-04 (AR-0004, no partitioning, quarterly monitored). A Variance achieves compliance by approved deviation rather than literal conformance; it does not exempt a requirement from the compliance lifecycle, only from the literal implementation the requirement originally specified. No new Variance is created by this document; new Variances follow the ERP-01 governance channel.</w:t>
      </w:r>
    </w:p>
    <w:p>
      <w:pPr>
        <w:pStyle w:val="Heading1"/>
        <w:spacing w:after="180" w:before="360"/>
      </w:pPr>
      <w:r>
        <w:t xml:space="preserve">21. Architecture Drift Management</w:t>
      </w:r>
    </w:p>
    <w:p>
      <w:pPr>
        <w:spacing w:after="160" w:line="276"/>
      </w:pPr>
      <w:r>
        <w:t xml:space="preserve">Architecture drift is any implementation that departs from an approved Architecture Requirement without a corresponding Enterprise Governance Decision or Variance. Detection relies on the verification method ERP-01 Phase A.3 §7 specifies per requirement, executed at compliance review (Section 17) and compliance audit (Section 18). No drift is accepted without ERP-01 governance: a detected drift is logged, escalated as a Compliance Exception (Section 19), and remediated or formally dispositioned through a new Variance or Enterprise Governance Decision before it is reported as anything other than drift. No drift has been detected as of this document, since no Work Package has yet produced implementation to inspect.</w:t>
      </w:r>
    </w:p>
    <w:p>
      <w:pPr>
        <w:pStyle w:val="Heading1"/>
        <w:spacing w:after="180" w:before="360"/>
      </w:pPr>
      <w:r>
        <w:t xml:space="preserve">22. Compliance Risk Management</w:t>
      </w:r>
    </w:p>
    <w:p>
      <w:pPr>
        <w:spacing w:after="160" w:line="276"/>
      </w:pPr>
      <w:r>
        <w:t xml:space="preserve">Compliance risk is assessed per Architecture Requirement using the same classification basis as ERP-01 Phase A.3 and ERP-02 Phase D: AR-0007 (RLS coverage) carries the highest compliance risk given its High/Mandatory classification and only-partial baseline implementation on student-owned tables holding sensitive data. AR-0002 and AR-0004 carry Medium compliance risk tied to their respective Work Packages' priority and complexity. AR-0001, AR-0005, and AR-0006 carry Low, monitored compliance risk consistent with their Deferred, non-time-critical status. AR-0003, AR-0008, AR-0009, and AR-0010 carry no material compliance risk, being already conformant.</w:t>
      </w:r>
    </w:p>
    <w:p>
      <w:pPr>
        <w:pStyle w:val="Heading1"/>
        <w:spacing w:after="180" w:before="360"/>
      </w:pPr>
      <w:r>
        <w:t xml:space="preserve">23. Compliance Reporting</w:t>
      </w:r>
    </w:p>
    <w:p>
      <w:pPr>
        <w:spacing w:after="160" w:line="276"/>
      </w:pPr>
      <w:r>
        <w:t xml:space="preserve">Compliance reporting shall be produced per Architecture Requirement and rolled up to program level, covering: Architecture Requirement compliance state (Section 11), Work Package compliance state (Section 13), engineering compliance (Section 14), repository compliance (Section 15), compliance risk (Section 22), compliance exceptions (Section 19), and any detected architecture drift (Section 21). All reporting is evidence-based; an Architecture Requirement with no filed compliance evidence is reported Compliance Not Yet Assessable regardless of Work Package activity underway.</w:t>
      </w:r>
    </w:p>
    <w:p>
      <w:pPr>
        <w:pStyle w:val="Heading1"/>
        <w:spacing w:after="180" w:before="360"/>
      </w:pPr>
      <w:r>
        <w:t xml:space="preserve">24. Executive Compliance Reviews</w:t>
      </w:r>
    </w:p>
    <w:p>
      <w:pPr>
        <w:spacing w:after="160" w:line="276"/>
      </w:pPr>
      <w:r>
        <w:t xml:space="preserve">Executive compliance reviews shall be convened alongside ERP-02 Phase D's executive realization reviews at each Wave boundary and Milestone realization event, using the reporting model in Section 23 as the sole input. Reviews shall confirm or challenge reported compliance states against filed evidence, approve advancement of any Architecture Requirement to State 9 (Architecture Conformant), and record any exception dispositioned under Section 19. As the Enterprise Architecture Board remains Not Yet Realized (unstaffed) as of this document, this governance is target-state pending role realization under WP-0006.</w:t>
      </w:r>
    </w:p>
    <w:p>
      <w:pPr>
        <w:pStyle w:val="Heading1"/>
        <w:spacing w:after="180" w:before="360"/>
      </w:pPr>
      <w:r>
        <w:t xml:space="preserve">25. Compliance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shd w:fill="1F3864" w:val="clear"/>
            <w:tcMar>
              <w:top w:type="dxa" w:w="80"/>
              <w:left w:type="dxa" w:w="100"/>
              <w:bottom w:type="dxa" w:w="80"/>
              <w:right w:type="dxa" w:w="100"/>
            </w:tcMar>
            <w:vAlign w:val="center"/>
          </w:tcPr>
          <w:p>
            <w:r>
              <w:rPr>
                <w:b/>
                <w:bCs/>
                <w:color w:val="FFFFFF"/>
                <w:sz w:val="18"/>
                <w:szCs w:val="18"/>
              </w:rPr>
              <w:t xml:space="preserve">KPI</w:t>
            </w:r>
          </w:p>
        </w:tc>
        <w:tc>
          <w:tcPr>
            <w:tcW w:type="dxa" w:w="4960"/>
            <w:shd w:fill="1F3864" w:val="clear"/>
            <w:tcMar>
              <w:top w:type="dxa" w:w="80"/>
              <w:left w:type="dxa" w:w="100"/>
              <w:bottom w:type="dxa" w:w="80"/>
              <w:right w:type="dxa" w:w="100"/>
            </w:tcMar>
            <w:vAlign w:val="center"/>
          </w:tcPr>
          <w:p>
            <w:r>
              <w:rPr>
                <w:b/>
                <w:bCs/>
                <w:color w:val="FFFFFF"/>
                <w:sz w:val="18"/>
                <w:szCs w:val="18"/>
              </w:rPr>
              <w:t xml:space="preserve">Definition</w:t>
            </w:r>
          </w:p>
        </w:tc>
        <w:tc>
          <w:tcPr>
            <w:tcW w:type="dxa" w:w="3000"/>
            <w:shd w:fill="1F3864" w:val="clear"/>
            <w:tcMar>
              <w:top w:type="dxa" w:w="80"/>
              <w:left w:type="dxa" w:w="100"/>
              <w:bottom w:type="dxa" w:w="80"/>
              <w:right w:type="dxa" w:w="100"/>
            </w:tcMar>
            <w:vAlign w:val="center"/>
          </w:tcPr>
          <w:p>
            <w:r>
              <w:rPr>
                <w:b/>
                <w:bCs/>
                <w:color w:val="FFFFFF"/>
                <w:sz w:val="18"/>
                <w:szCs w:val="18"/>
              </w:rPr>
              <w:t xml:space="preserve">Current Value</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KPI-01</w:t>
            </w:r>
          </w:p>
        </w:tc>
        <w:tc>
          <w:tcPr>
            <w:tcW w:type="dxa" w:w="4960"/>
            <w:tcMar>
              <w:top w:type="dxa" w:w="80"/>
              <w:left w:type="dxa" w:w="100"/>
              <w:bottom w:type="dxa" w:w="80"/>
              <w:right w:type="dxa" w:w="100"/>
            </w:tcMar>
            <w:vAlign w:val="center"/>
          </w:tcPr>
          <w:p>
            <w:r>
              <w:rPr>
                <w:b w:val="false"/>
                <w:bCs w:val="false"/>
                <w:color w:val="000000"/>
                <w:sz w:val="18"/>
                <w:szCs w:val="18"/>
              </w:rPr>
              <w:t xml:space="preserve">Architecture Conformance %</w:t>
            </w:r>
          </w:p>
        </w:tc>
        <w:tc>
          <w:tcPr>
            <w:tcW w:type="dxa" w:w="3000"/>
            <w:tcMar>
              <w:top w:type="dxa" w:w="80"/>
              <w:left w:type="dxa" w:w="100"/>
              <w:bottom w:type="dxa" w:w="80"/>
              <w:right w:type="dxa" w:w="100"/>
            </w:tcMar>
            <w:vAlign w:val="center"/>
          </w:tcPr>
          <w:p>
            <w:r>
              <w:rPr>
                <w:b w:val="false"/>
                <w:bCs w:val="false"/>
                <w:color w:val="000000"/>
                <w:sz w:val="18"/>
                <w:szCs w:val="18"/>
              </w:rPr>
              <w:t xml:space="preserve">4 of 10 Architecture Requirements Architecture Conformant (AR-0003, AR-0008, AR-0009, AR-0010); 6 Compliance Not Yet Assessable.</w:t>
            </w:r>
          </w:p>
        </w:tc>
      </w:tr>
      <w:tr>
        <w:tc>
          <w:tcPr>
            <w:tcW w:type="dxa" w:w="1400"/>
            <w:shd w:fill="F2F2F2" w:val="clear"/>
            <w:tcMar>
              <w:top w:type="dxa" w:w="80"/>
              <w:left w:type="dxa" w:w="100"/>
              <w:bottom w:type="dxa" w:w="80"/>
              <w:right w:type="dxa" w:w="100"/>
            </w:tcMar>
            <w:vAlign w:val="center"/>
          </w:tcPr>
          <w:p>
            <w:r>
              <w:rPr>
                <w:b w:val="false"/>
                <w:bCs w:val="false"/>
                <w:color w:val="000000"/>
                <w:sz w:val="18"/>
                <w:szCs w:val="18"/>
              </w:rPr>
              <w:t xml:space="preserve">KPI-02</w:t>
            </w:r>
          </w:p>
        </w:tc>
        <w:tc>
          <w:tcPr>
            <w:tcW w:type="dxa" w:w="4960"/>
            <w:shd w:fill="F2F2F2" w:val="clear"/>
            <w:tcMar>
              <w:top w:type="dxa" w:w="80"/>
              <w:left w:type="dxa" w:w="100"/>
              <w:bottom w:type="dxa" w:w="80"/>
              <w:right w:type="dxa" w:w="100"/>
            </w:tcMar>
            <w:vAlign w:val="center"/>
          </w:tcPr>
          <w:p>
            <w:r>
              <w:rPr>
                <w:b w:val="false"/>
                <w:bCs w:val="false"/>
                <w:color w:val="000000"/>
                <w:sz w:val="18"/>
                <w:szCs w:val="18"/>
              </w:rPr>
              <w:t xml:space="preserve">Documentation Accuracy %</w:t>
            </w:r>
          </w:p>
        </w:tc>
        <w:tc>
          <w:tcPr>
            <w:tcW w:type="dxa" w:w="3000"/>
            <w:shd w:fill="F2F2F2" w:val="clear"/>
            <w:tcMar>
              <w:top w:type="dxa" w:w="80"/>
              <w:left w:type="dxa" w:w="100"/>
              <w:bottom w:type="dxa" w:w="80"/>
              <w:right w:type="dxa" w:w="100"/>
            </w:tcMar>
            <w:vAlign w:val="center"/>
          </w:tcPr>
          <w:p>
            <w:r>
              <w:rPr>
                <w:b w:val="false"/>
                <w:bCs w:val="false"/>
                <w:color w:val="000000"/>
                <w:sz w:val="18"/>
                <w:szCs w:val="18"/>
              </w:rPr>
              <w:t xml:space="preserve">Not advanced — moves on WP-0001 and WP-0004 compliance verification, not merely realization.</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KPI-07</w:t>
            </w:r>
          </w:p>
        </w:tc>
        <w:tc>
          <w:tcPr>
            <w:tcW w:type="dxa" w:w="4960"/>
            <w:tcMar>
              <w:top w:type="dxa" w:w="80"/>
              <w:left w:type="dxa" w:w="100"/>
              <w:bottom w:type="dxa" w:w="80"/>
              <w:right w:type="dxa" w:w="100"/>
            </w:tcMar>
            <w:vAlign w:val="center"/>
          </w:tcPr>
          <w:p>
            <w:r>
              <w:rPr>
                <w:b w:val="false"/>
                <w:bCs w:val="false"/>
                <w:color w:val="000000"/>
                <w:sz w:val="18"/>
                <w:szCs w:val="18"/>
              </w:rPr>
              <w:t xml:space="preserve">Governance Decision Traceability %</w:t>
            </w:r>
          </w:p>
        </w:tc>
        <w:tc>
          <w:tcPr>
            <w:tcW w:type="dxa" w:w="3000"/>
            <w:tcMar>
              <w:top w:type="dxa" w:w="80"/>
              <w:left w:type="dxa" w:w="100"/>
              <w:bottom w:type="dxa" w:w="80"/>
              <w:right w:type="dxa" w:w="100"/>
            </w:tcMar>
            <w:vAlign w:val="center"/>
          </w:tcPr>
          <w:p>
            <w:r>
              <w:rPr>
                <w:b w:val="false"/>
                <w:bCs w:val="false"/>
                <w:color w:val="000000"/>
                <w:sz w:val="18"/>
                <w:szCs w:val="18"/>
              </w:rPr>
              <w:t xml:space="preserve">Reused unchanged from ERP-01 Phase A.3; every EGD remains traceable to its AR with no broken link.</w:t>
            </w:r>
          </w:p>
        </w:tc>
      </w:tr>
      <w:tr>
        <w:tc>
          <w:tcPr>
            <w:tcW w:type="dxa" w:w="1400"/>
            <w:shd w:fill="F2F2F2" w:val="clear"/>
            <w:tcMar>
              <w:top w:type="dxa" w:w="80"/>
              <w:left w:type="dxa" w:w="100"/>
              <w:bottom w:type="dxa" w:w="80"/>
              <w:right w:type="dxa" w:w="100"/>
            </w:tcMar>
            <w:vAlign w:val="center"/>
          </w:tcPr>
          <w:p>
            <w:r>
              <w:rPr>
                <w:b w:val="false"/>
                <w:bCs w:val="false"/>
                <w:color w:val="000000"/>
                <w:sz w:val="18"/>
                <w:szCs w:val="18"/>
              </w:rPr>
              <w:t xml:space="preserve">KPI-08</w:t>
            </w:r>
          </w:p>
        </w:tc>
        <w:tc>
          <w:tcPr>
            <w:tcW w:type="dxa" w:w="4960"/>
            <w:shd w:fill="F2F2F2" w:val="clear"/>
            <w:tcMar>
              <w:top w:type="dxa" w:w="80"/>
              <w:left w:type="dxa" w:w="100"/>
              <w:bottom w:type="dxa" w:w="80"/>
              <w:right w:type="dxa" w:w="100"/>
            </w:tcMar>
            <w:vAlign w:val="center"/>
          </w:tcPr>
          <w:p>
            <w:r>
              <w:rPr>
                <w:b w:val="false"/>
                <w:bCs w:val="false"/>
                <w:color w:val="000000"/>
                <w:sz w:val="18"/>
                <w:szCs w:val="18"/>
              </w:rPr>
              <w:t xml:space="preserve">Ownership Assignment %</w:t>
            </w:r>
          </w:p>
        </w:tc>
        <w:tc>
          <w:tcPr>
            <w:tcW w:type="dxa" w:w="3000"/>
            <w:shd w:fill="F2F2F2" w:val="clear"/>
            <w:tcMar>
              <w:top w:type="dxa" w:w="80"/>
              <w:left w:type="dxa" w:w="100"/>
              <w:bottom w:type="dxa" w:w="80"/>
              <w:right w:type="dxa" w:w="100"/>
            </w:tcMar>
            <w:vAlign w:val="center"/>
          </w:tcPr>
          <w:p>
            <w:r>
              <w:rPr>
                <w:b w:val="false"/>
                <w:bCs w:val="false"/>
                <w:color w:val="000000"/>
                <w:sz w:val="18"/>
                <w:szCs w:val="18"/>
              </w:rPr>
              <w:t xml:space="preserve">0% — compliance review and audit authority cannot be formally exercised until WP-0006 realizes.</w:t>
            </w:r>
          </w:p>
        </w:tc>
      </w:tr>
    </w:tbl>
    <w:p>
      <w:pPr>
        <w:spacing w:after="160" w:line="276"/>
      </w:pPr>
      <w:r>
        <w:t xml:space="preserve"/>
      </w:r>
    </w:p>
    <w:p>
      <w:pPr>
        <w:spacing w:after="160" w:line="276"/>
      </w:pPr>
      <w:r>
        <w:t xml:space="preserve">No KPI value in this table is inferred beyond a direct count of the Section 11 compliance states; each is otherwise reused exactly from ERP-01 Phase A.3 and ERP-02 Phase D.</w:t>
      </w:r>
    </w:p>
    <w:p>
      <w:pPr>
        <w:pStyle w:val="Heading1"/>
        <w:spacing w:after="180" w:before="360"/>
      </w:pPr>
      <w:r>
        <w:t xml:space="preserve">26. Compliance Dashboard Inputs</w:t>
      </w:r>
    </w:p>
    <w:p>
      <w:pPr>
        <w:spacing w:after="160" w:line="276"/>
      </w:pPr>
      <w:r>
        <w:t xml:space="preserve">This document supplies, but does not itself render, the data inputs an executive compliance dashboard requires: per-Architecture-Requirement compliance state (Section 11), per-Work-Package compliance obligation (Section 13), compliance risk classification (Section 22), open compliance exceptions (Section 19), detected drift (Section 21), and compliance KPI values (Section 25). Dashboard construction and rendering are reserved for a future compliance-tooling phase; this document defines only the governed data model such a dashboard must consume.</w:t>
      </w:r>
    </w:p>
    <w:p>
      <w:pPr>
        <w:pStyle w:val="Heading1"/>
        <w:spacing w:after="180" w:before="360"/>
      </w:pPr>
      <w:r>
        <w:t xml:space="preserve">27. Compliance Traceability</w:t>
      </w:r>
    </w:p>
    <w:p>
      <w:pPr>
        <w:spacing w:after="160" w:line="276"/>
      </w:pPr>
      <w:r>
        <w:t xml:space="preserve">Every compliance claim in this document preserves the complete traceability chain:</w:t>
      </w:r>
    </w:p>
    <w:p>
      <w:pPr>
        <w:spacing w:after="160" w:line="276"/>
      </w:pPr>
      <w:r>
        <w:t xml:space="preserve">Architecture Requirement → Enterprise Governance Decision → Work Package → Engineering Execution → Compliance Evidence → Compliance Verification → Compliance Acceptance → Architecture Conformance → Operational Compliance.</w:t>
      </w:r>
    </w:p>
    <w:p>
      <w:pPr>
        <w:spacing w:after="160" w:line="276"/>
      </w:pPr>
      <w:r>
        <w:t xml:space="preserve">This chain extends, rather than replaces, the realization chain ERP-02 Phase D Section 23 established; the two run in parallel from Engineering Execution onward, one tracking whether the deliverable exists (realization) and the other whether it conforms (compliance).</w:t>
      </w:r>
    </w:p>
    <w:p>
      <w:pPr>
        <w:pStyle w:val="Heading1"/>
        <w:spacing w:after="180" w:before="360"/>
      </w:pPr>
      <w:r>
        <w:t xml:space="preserve">28. Compliance Repository</w:t>
      </w:r>
    </w:p>
    <w:p>
      <w:pPr>
        <w:spacing w:after="160" w:line="276"/>
      </w:pPr>
      <w:r>
        <w:t xml:space="preserve">Compliance evidence shall be filed in a dedicated repository location, indexed by Architecture Requirement ID, distinct from both the engineering repository (ERP-02 Phase C) and the realization evidence repository (ERP-02 Phase D, Section 24). Each filed item shall record: Architecture Requirement ID, evidence category (Section 16), verification method applied, submission date, review status, and, where applicable, the audit or acceptance record it satisfies. As of this document, the compliance repository contains no requirement-specific compliance evidence beyond the standing baseline evidence ERP-01 Phase A.3 §7 already documents for AR-0003, AR-0008, AR-0009, and AR-0010.</w:t>
      </w:r>
    </w:p>
    <w:p>
      <w:pPr>
        <w:pStyle w:val="Heading1"/>
        <w:spacing w:after="180" w:before="360"/>
      </w:pPr>
      <w:r>
        <w:t xml:space="preserve">29. Phase Exit Criteria</w:t>
      </w:r>
    </w:p>
    <w:p>
      <w:pPr>
        <w:spacing w:after="160" w:line="276"/>
      </w:pPr>
      <w:r>
        <w:t xml:space="preserve">ERP-02 Phase E is complete, as a governance specification, upon executive acceptance of this document. It does not exit, close, or otherwise conclude based on Architecture Requirement compliance progress — that progress is tracked continuously through the compliance lifecycle this document establishes and has no defined end date. Compliance for an individual Architecture Requirement exits only when that requirement reaches lifecycle State 10 (Operational Compliance) and remains subject to periodic re-verification thereafter.</w:t>
      </w:r>
    </w:p>
    <w:p>
      <w:pPr>
        <w:pStyle w:val="Heading1"/>
        <w:spacing w:after="180" w:before="360"/>
      </w:pPr>
      <w:r>
        <w:t xml:space="preserve">30. References to ERP-01</w:t>
      </w:r>
    </w:p>
    <w:p>
      <w:pPr>
        <w:pStyle w:val="ListParagraph"/>
        <w:numPr>
          <w:ilvl w:val="0"/>
          <w:numId w:val="1"/>
        </w:numPr>
        <w:spacing w:after="80"/>
      </w:pPr>
      <w:r>
        <w:t xml:space="preserve">ERP-01 Phase A.3, §2–7 — Architecture Requirement inventory, Enterprise Governance Decision register, Enterprise Resolution register, Variance register, and the Enterprise Architecture Traceability Matrix reused throughout Section 11.</w:t>
      </w:r>
    </w:p>
    <w:p>
      <w:pPr>
        <w:pStyle w:val="ListParagraph"/>
        <w:numPr>
          <w:ilvl w:val="0"/>
          <w:numId w:val="1"/>
        </w:numPr>
        <w:spacing w:after="80"/>
      </w:pPr>
      <w:r>
        <w:t xml:space="preserve">ERP-01 Phase A.3, §9 — Work Package approval and prioritization, reused in Section 13.</w:t>
      </w:r>
    </w:p>
    <w:p>
      <w:pPr>
        <w:pStyle w:val="ListParagraph"/>
        <w:numPr>
          <w:ilvl w:val="0"/>
          <w:numId w:val="1"/>
        </w:numPr>
        <w:spacing w:after="80"/>
      </w:pPr>
      <w:r>
        <w:t xml:space="preserve">ERP-01 Phase C, Section 2 — Enterprise Work Package Engineering Catalog.</w:t>
      </w:r>
    </w:p>
    <w:p>
      <w:pPr>
        <w:pStyle w:val="ListParagraph"/>
        <w:numPr>
          <w:ilvl w:val="0"/>
          <w:numId w:val="1"/>
        </w:numPr>
        <w:spacing w:after="80"/>
      </w:pPr>
      <w:r>
        <w:t xml:space="preserve">ERP-01A — Baseline Validation Report.</w:t>
      </w:r>
    </w:p>
    <w:p>
      <w:pPr>
        <w:pStyle w:val="ListParagraph"/>
        <w:numPr>
          <w:ilvl w:val="0"/>
          <w:numId w:val="1"/>
        </w:numPr>
        <w:spacing w:after="80"/>
      </w:pPr>
      <w:r>
        <w:t xml:space="preserve">ERP-02 Phase A — Enterprise Execution Governance Framework.</w:t>
      </w:r>
    </w:p>
    <w:p>
      <w:pPr>
        <w:pStyle w:val="ListParagraph"/>
        <w:numPr>
          <w:ilvl w:val="0"/>
          <w:numId w:val="1"/>
        </w:numPr>
        <w:spacing w:after="80"/>
      </w:pPr>
      <w:r>
        <w:t xml:space="preserve">ERP-02 Phase B — Enterprise Portfolio Execution Planning.</w:t>
      </w:r>
    </w:p>
    <w:p>
      <w:pPr>
        <w:pStyle w:val="ListParagraph"/>
        <w:numPr>
          <w:ilvl w:val="0"/>
          <w:numId w:val="1"/>
        </w:numPr>
        <w:spacing w:after="80"/>
      </w:pPr>
      <w:r>
        <w:t xml:space="preserve">ERP-02 Phase C — Enterprise Engineering Execution Control.</w:t>
      </w:r>
    </w:p>
    <w:p>
      <w:pPr>
        <w:pStyle w:val="ListParagraph"/>
        <w:numPr>
          <w:ilvl w:val="0"/>
          <w:numId w:val="1"/>
        </w:numPr>
        <w:spacing w:after="80"/>
      </w:pPr>
      <w:r>
        <w:t xml:space="preserve">ERP-02 Phase D — Enterprise Work Package Realization Governance.</w:t>
      </w:r>
    </w:p>
    <w:p>
      <w:pPr>
        <w:pStyle w:val="Heading1"/>
        <w:spacing w:after="180" w:before="360"/>
      </w:pPr>
      <w:r>
        <w:t xml:space="preserve">31. Conclusion</w:t>
      </w:r>
    </w:p>
    <w:p>
      <w:pPr>
        <w:spacing w:after="160" w:line="276"/>
      </w:pPr>
      <w:r>
        <w:t xml:space="preserve">ERP-02 Phase E completes the architecture-integrity layer of the ERP-02 execution-governance chain: Phase A established who governs, Phase B what and when, Phase C how engineering executes, Phase D how realization is recognized, and Phase E whether what is realized actually conforms to the architecture ERP-01 approved. Four of ten Architecture Requirements are honestly reported Architecture Conformant today; six remain, just as honestly, Compliance Not Yet Assessable. This document does not close that gap; it defines the evidence, review, audit, and drift-management standard by which every future compliance claim in this repository shall be judged as the six approved Work Packages move through realization.</w:t>
      </w:r>
    </w:p>
    <w:p>
      <w:pPr>
        <w:spacing w:after="160"/>
      </w:pPr>
      <w:r>
        <w:rPr>
          <w:i/>
          <w:iCs/>
          <w:color w:val="595959"/>
        </w:rPr>
        <w:t xml:space="preserve">End of ERP-02 Phase E — Enterprise Architecture Compliance During Delivery.</w:t>
      </w:r>
    </w:p>
    <w:sectPr>
      <w:headerReference w:type="default" r:id="rId12"/>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E — Enterprise Architecture Compliance During Delivery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E — Enterprise Architecture Compliance During Delivery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E — Enterprise Architecture Compliance During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9C6F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2026-07-10T06:18:41.338Z</dcterms:created>
  <dcterms:modified xsi:type="dcterms:W3CDTF">2026-07-10T06:18:41.339Z</dcterms:modified>
</cp:coreProperties>
</file>

<file path=docProps/custom.xml><?xml version="1.0" encoding="utf-8"?>
<Properties xmlns="http://schemas.openxmlformats.org/officeDocument/2006/custom-properties" xmlns:vt="http://schemas.openxmlformats.org/officeDocument/2006/docPropsVTypes"/>
</file>