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b/>
          <w:bCs/>
          <w:color w:val="44546A"/>
          <w:sz w:val="28"/>
          <w:szCs w:val="28"/>
        </w:rPr>
        <w:t xml:space="preserve">HIRERISE CAREER INTELLIGENCE PLATFORM</w:t>
      </w:r>
    </w:p>
    <w:p>
      <w:pPr>
        <w:spacing w:after="600"/>
        <w:jc w:val="center"/>
      </w:pPr>
      <w:r>
        <w:rPr>
          <w:color w:val="44546A"/>
          <w:sz w:val="22"/>
          <w:szCs w:val="22"/>
        </w:rPr>
        <w:t xml:space="preserve">Enterprise Architecture Repository</w:t>
      </w:r>
    </w:p>
    <w:p>
      <w:pPr>
        <w:spacing w:after="80"/>
        <w:jc w:val="center"/>
      </w:pPr>
      <w:r>
        <w:rPr>
          <w:b/>
          <w:bCs/>
          <w:color w:val="1F3864"/>
          <w:sz w:val="44"/>
          <w:szCs w:val="44"/>
        </w:rPr>
        <w:t xml:space="preserve">ERP-02 · PHASE G</w:t>
      </w:r>
    </w:p>
    <w:p>
      <w:pPr>
        <w:spacing w:after="400"/>
        <w:jc w:val="center"/>
      </w:pPr>
      <w:r>
        <w:rPr>
          <w:b/>
          <w:bCs/>
          <w:color w:val="1F3864"/>
          <w:sz w:val="34"/>
          <w:szCs w:val="34"/>
        </w:rPr>
        <w:t xml:space="preserve">Enterprise Operational Readiness</w:t>
      </w:r>
    </w:p>
    <w:p>
      <w:pPr>
        <w:spacing w:after="1200"/>
        <w:jc w:val="center"/>
      </w:pPr>
      <w:r>
        <w:rPr>
          <w:i/>
          <w:iCs/>
          <w:sz w:val="22"/>
          <w:szCs w:val="22"/>
        </w:rPr>
        <w:t xml:space="preserve">Canonical Governance Specification for Production Operational Readiness of the Approved ERP-01 Architecture</w:t>
      </w:r>
    </w:p>
    <w:p>
      <w:pPr>
        <w:spacing w:after="60"/>
        <w:jc w:val="center"/>
      </w:pPr>
      <w:r>
        <w:rPr>
          <w:sz w:val="20"/>
          <w:szCs w:val="20"/>
        </w:rPr>
        <w:t xml:space="preserve">Document Classification: Enterprise Architecture Governance — Target-State Repository Artifact</w:t>
      </w:r>
    </w:p>
    <w:p>
      <w:pPr>
        <w:spacing w:after="60"/>
        <w:jc w:val="center"/>
      </w:pPr>
      <w:r>
        <w:rPr>
          <w:sz w:val="20"/>
          <w:szCs w:val="20"/>
        </w:rPr>
        <w:t xml:space="preserve">Prepared for: Enterprise Architecture Board · CIO · CTO · COO · Platform Engineering · SRE · DevSecOps · Operations Leadership · Service Management · PMO · Internal Audit</w:t>
      </w:r>
    </w:p>
    <w:p>
      <w:pPr>
        <w:spacing w:after="60"/>
        <w:jc w:val="center"/>
      </w:pPr>
      <w:r>
        <w:rPr>
          <w:b/>
          <w:bCs/>
          <w:sz w:val="20"/>
          <w:szCs w:val="20"/>
        </w:rPr>
        <w:t xml:space="preserve">Status: ERP-02 Phases A–F Complete · Phase G Active</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1F3864" w:sz="8" w:space="4"/>
        </w:pBdr>
        <w:spacing w:after="160" w:before="360"/>
      </w:pPr>
      <w:r>
        <w:t xml:space="preserve">1. Executive Summary</w:t>
      </w:r>
    </w:p>
    <w:p>
      <w:pPr>
        <w:spacing w:after="160" w:line="276"/>
      </w:pPr>
      <w:r>
        <w:t xml:space="preserve">This document establishes ERP-02 Phase G — Enterprise Operational Readiness — the operational-readiness governance layer of the Enterprise Realization Program (ERP-02) for the HireRise Career Intelligence Platform. It follows the completion of ERP-01, ERP-01A, and ERP-02 Phases A through F, which together establish the approved target-state architecture, execution governance, portfolio execution planning, engineering execution control, Work Package realization governance, architecture compliance governance, and release and deployment governance respectively.</w:t>
      </w:r>
    </w:p>
    <w:p>
      <w:pPr>
        <w:spacing w:after="160" w:line="276"/>
      </w:pPr>
      <w:r>
        <w:t xml:space="preserve">Phase G governs the discipline through which the organization determines, evidences, and formally accepts that an architecturally compliant, release-approved, and deployment-verified capability is ready to be operated in production. It does not authorize production operation on its own; it defines the readiness gate that must be satisfied before Production Transition and Operational Service can commence.</w:t>
      </w:r>
    </w:p>
    <w:p>
      <w:pPr>
        <w:spacing w:after="160" w:line="276"/>
      </w:pPr>
      <w:r>
        <w:t xml:space="preserve">Consistent with the repository philosophy established across ERP-01 and ERP-02, this document distinguishes clearly between target-state governance (the operational readiness framework itself, which is fully defined) and current-state operational evidence (which, at the time of authoring, has not been independently verified against this framework for any Work Package). No operational maturity is inferred, and no operational evidence is fabricated.</w:t>
      </w:r>
    </w:p>
    <w:p>
      <w:pPr>
        <w:pBdr>
          <w:top w:val="single" w:color="AAAAAA" w:sz="4" w:space="4"/>
          <w:bottom w:val="single" w:color="AAAAAA" w:sz="4" w:space="4"/>
          <w:left w:val="single" w:color="AAAAAA" w:sz="4" w:space="4"/>
          <w:right w:val="single" w:color="AAAAAA" w:sz="4" w:space="4"/>
        </w:pBdr>
        <w:shd w:fill="F2F2F2" w:val="clear"/>
        <w:spacing w:after="200" w:before="80"/>
      </w:pPr>
      <w:r>
        <w:rPr>
          <w:i/>
          <w:iCs/>
          <w:sz w:val="20"/>
          <w:szCs w:val="20"/>
        </w:rPr>
        <w:t xml:space="preserve">Status disclosure: Unless otherwise evidenced in the Operational Repository (Section 31), the current operational readiness status of every Work Package governed by this document is: "Operational Readiness Not Yet Assessable."</w:t>
      </w:r>
    </w:p>
    <w:p>
      <w:pPr>
        <w:pStyle w:val="Heading1"/>
        <w:pBdr>
          <w:bottom w:val="single" w:color="1F3864" w:sz="8" w:space="4"/>
        </w:pBdr>
        <w:spacing w:after="160" w:before="360"/>
      </w:pPr>
      <w:r>
        <w:t xml:space="preserve">2. Purpose</w:t>
      </w:r>
    </w:p>
    <w:p>
      <w:pPr>
        <w:spacing w:after="160" w:line="276"/>
      </w:pPr>
      <w:r>
        <w:t xml:space="preserve">The purpose of this document is to establish the single, authoritative framework by which the enterprise determines whether an approved, engineered, realized, compliant, and released capability of the HireRise platform is operationally ready for production service. Specifically, this document exists to:</w:t>
      </w:r>
    </w:p>
    <w:p>
      <w:pPr>
        <w:pStyle w:val="ListParagraph"/>
        <w:numPr>
          <w:ilvl w:val="0"/>
          <w:numId w:val="2"/>
        </w:numPr>
        <w:spacing w:after="80"/>
      </w:pPr>
      <w:r>
        <w:t xml:space="preserve">Define a canonical Operational Readiness Lifecycle that bridges Release &amp; Deployment Governance (ERP-02 Phase F) and live Production Operation.</w:t>
      </w:r>
    </w:p>
    <w:p>
      <w:pPr>
        <w:pStyle w:val="ListParagraph"/>
        <w:numPr>
          <w:ilvl w:val="0"/>
          <w:numId w:val="2"/>
        </w:numPr>
        <w:spacing w:after="80"/>
      </w:pPr>
      <w:r>
        <w:t xml:space="preserve">Establish mandatory operational readiness dimensions — service, support, monitoring, logging, incident, problem, backup, recovery, continuity, documentation, runbooks, security operations, capacity, and training — that must be addressed for every Work Package prior to Operational Acceptance.</w:t>
      </w:r>
    </w:p>
    <w:p>
      <w:pPr>
        <w:pStyle w:val="ListParagraph"/>
        <w:numPr>
          <w:ilvl w:val="0"/>
          <w:numId w:val="2"/>
        </w:numPr>
        <w:spacing w:after="80"/>
      </w:pPr>
      <w:r>
        <w:t xml:space="preserve">Define Operational Acceptance Criteria and the evidence required to satisfy them.</w:t>
      </w:r>
    </w:p>
    <w:p>
      <w:pPr>
        <w:pStyle w:val="ListParagraph"/>
        <w:numPr>
          <w:ilvl w:val="0"/>
          <w:numId w:val="2"/>
        </w:numPr>
        <w:spacing w:after="80"/>
      </w:pPr>
      <w:r>
        <w:t xml:space="preserve">Establish Operational Readiness Reviews as the formal governance checkpoint preceding Production Transition.</w:t>
      </w:r>
    </w:p>
    <w:p>
      <w:pPr>
        <w:pStyle w:val="ListParagraph"/>
        <w:numPr>
          <w:ilvl w:val="0"/>
          <w:numId w:val="2"/>
        </w:numPr>
        <w:spacing w:after="80"/>
      </w:pPr>
      <w:r>
        <w:t xml:space="preserve">Preserve unbroken traceability from Architecture Requirement through to Operational Readiness and Production Transition.</w:t>
      </w:r>
    </w:p>
    <w:p>
      <w:pPr>
        <w:pStyle w:val="ListParagraph"/>
        <w:numPr>
          <w:ilvl w:val="0"/>
          <w:numId w:val="2"/>
        </w:numPr>
        <w:spacing w:after="80"/>
      </w:pPr>
      <w:r>
        <w:t xml:space="preserve">Prevent premature, undocumented, or unverified claims of operational maturity anywhere in the repository.</w:t>
      </w:r>
    </w:p>
    <w:p>
      <w:pPr>
        <w:pStyle w:val="Heading1"/>
        <w:pBdr>
          <w:bottom w:val="single" w:color="1F3864" w:sz="8" w:space="4"/>
        </w:pBdr>
        <w:spacing w:after="160" w:before="360"/>
      </w:pPr>
      <w:r>
        <w:t xml:space="preserve">3. Scope</w:t>
      </w:r>
    </w:p>
    <w:p>
      <w:pPr>
        <w:spacing w:after="160" w:line="276"/>
      </w:pPr>
      <w:r>
        <w:t xml:space="preserve">This document is in scope for all Work Packages, services, and capabilities of the HireRise Career Intelligence Platform that have progressed through ERP-02 Phases A–F and are candidates for production operation. In scope:</w:t>
      </w:r>
    </w:p>
    <w:p>
      <w:pPr>
        <w:pStyle w:val="ListParagraph"/>
        <w:numPr>
          <w:ilvl w:val="0"/>
          <w:numId w:val="2"/>
        </w:numPr>
        <w:spacing w:after="80"/>
      </w:pPr>
      <w:r>
        <w:t xml:space="preserve">Operational readiness, production support readiness, and service readiness for all realized Work Packages</w:t>
      </w:r>
    </w:p>
    <w:p>
      <w:pPr>
        <w:pStyle w:val="ListParagraph"/>
        <w:numPr>
          <w:ilvl w:val="0"/>
          <w:numId w:val="2"/>
        </w:numPr>
        <w:spacing w:after="80"/>
      </w:pPr>
      <w:r>
        <w:t xml:space="preserve">Monitoring, observability, and logging readiness across core services, workers, and AI/ML components</w:t>
      </w:r>
    </w:p>
    <w:p>
      <w:pPr>
        <w:pStyle w:val="ListParagraph"/>
        <w:numPr>
          <w:ilvl w:val="0"/>
          <w:numId w:val="2"/>
        </w:numPr>
        <w:spacing w:after="80"/>
      </w:pPr>
      <w:r>
        <w:t xml:space="preserve">Incident and problem management readiness</w:t>
      </w:r>
    </w:p>
    <w:p>
      <w:pPr>
        <w:pStyle w:val="ListParagraph"/>
        <w:numPr>
          <w:ilvl w:val="0"/>
          <w:numId w:val="2"/>
        </w:numPr>
        <w:spacing w:after="80"/>
      </w:pPr>
      <w:r>
        <w:t xml:space="preserve">Backup, recovery, disaster recovery, and business continuity readiness</w:t>
      </w:r>
    </w:p>
    <w:p>
      <w:pPr>
        <w:pStyle w:val="ListParagraph"/>
        <w:numPr>
          <w:ilvl w:val="0"/>
          <w:numId w:val="2"/>
        </w:numPr>
        <w:spacing w:after="80"/>
      </w:pPr>
      <w:r>
        <w:t xml:space="preserve">Operational documentation and runbook readiness</w:t>
      </w:r>
    </w:p>
    <w:p>
      <w:pPr>
        <w:pStyle w:val="ListParagraph"/>
        <w:numPr>
          <w:ilvl w:val="0"/>
          <w:numId w:val="2"/>
        </w:numPr>
        <w:spacing w:after="80"/>
      </w:pPr>
      <w:r>
        <w:t xml:space="preserve">Security operations readiness (in coordination with, not replacement of, WP-SEC-01 outputs)</w:t>
      </w:r>
    </w:p>
    <w:p>
      <w:pPr>
        <w:pStyle w:val="ListParagraph"/>
        <w:numPr>
          <w:ilvl w:val="0"/>
          <w:numId w:val="2"/>
        </w:numPr>
        <w:spacing w:after="80"/>
      </w:pPr>
      <w:r>
        <w:t xml:space="preserve">Capacity and performance readiness</w:t>
      </w:r>
    </w:p>
    <w:p>
      <w:pPr>
        <w:pStyle w:val="ListParagraph"/>
        <w:numPr>
          <w:ilvl w:val="0"/>
          <w:numId w:val="2"/>
        </w:numPr>
        <w:spacing w:after="80"/>
      </w:pPr>
      <w:r>
        <w:t xml:space="preserve">Training and knowledge transfer to operations and support functions</w:t>
      </w:r>
    </w:p>
    <w:p>
      <w:pPr>
        <w:pStyle w:val="ListParagraph"/>
        <w:numPr>
          <w:ilvl w:val="0"/>
          <w:numId w:val="2"/>
        </w:numPr>
        <w:spacing w:after="80"/>
      </w:pPr>
      <w:r>
        <w:t xml:space="preserve">Operational acceptance criteria, evidence requirements, and readiness reporting</w:t>
      </w:r>
    </w:p>
    <w:p>
      <w:pPr>
        <w:spacing w:after="160" w:line="276"/>
      </w:pPr>
      <w:r>
        <w:t xml:space="preserve">Out of scope — governed elsewhere and not restated, redesigned, or reinterpreted here:</w:t>
      </w:r>
    </w:p>
    <w:p>
      <w:pPr>
        <w:pStyle w:val="ListParagraph"/>
        <w:numPr>
          <w:ilvl w:val="0"/>
          <w:numId w:val="2"/>
        </w:numPr>
        <w:spacing w:after="80"/>
      </w:pPr>
      <w:r>
        <w:t xml:space="preserve">Architecture design and target-state definition (ERP-01, ERP-01A)</w:t>
      </w:r>
    </w:p>
    <w:p>
      <w:pPr>
        <w:pStyle w:val="ListParagraph"/>
        <w:numPr>
          <w:ilvl w:val="0"/>
          <w:numId w:val="2"/>
        </w:numPr>
        <w:spacing w:after="80"/>
      </w:pPr>
      <w:r>
        <w:t xml:space="preserve">Execution governance, portfolio planning, and engineering execution control (ERP-02 Phases A–C)</w:t>
      </w:r>
    </w:p>
    <w:p>
      <w:pPr>
        <w:pStyle w:val="ListParagraph"/>
        <w:numPr>
          <w:ilvl w:val="0"/>
          <w:numId w:val="2"/>
        </w:numPr>
        <w:spacing w:after="80"/>
      </w:pPr>
      <w:r>
        <w:t xml:space="preserve">Work Package realization governance and architecture compliance during delivery (ERP-02 Phases D–E)</w:t>
      </w:r>
    </w:p>
    <w:p>
      <w:pPr>
        <w:pStyle w:val="ListParagraph"/>
        <w:numPr>
          <w:ilvl w:val="0"/>
          <w:numId w:val="2"/>
        </w:numPr>
        <w:spacing w:after="80"/>
      </w:pPr>
      <w:r>
        <w:t xml:space="preserve">Release and deployment governance, including deployment gates and rollback authority (ERP-02 Phase F)</w:t>
      </w:r>
    </w:p>
    <w:p>
      <w:pPr>
        <w:pStyle w:val="Heading1"/>
        <w:pBdr>
          <w:bottom w:val="single" w:color="1F3864" w:sz="8" w:space="4"/>
        </w:pBdr>
        <w:spacing w:after="160" w:before="360"/>
      </w:pPr>
      <w:r>
        <w:t xml:space="preserve">4. Relationship to ERP-01</w:t>
      </w:r>
    </w:p>
    <w:p>
      <w:pPr>
        <w:spacing w:after="160" w:line="276"/>
      </w:pPr>
      <w:r>
        <w:t xml:space="preserve">ERP-01 and ERP-01A define the approved target-state architecture of the HireRise platform, including its physical data model, governance disposition, enterprise architecture baseline, and enterprise realization roadmap. ERP-02 Phase G does not modify, reinterpret, or extend that architecture. Every operational readiness requirement defined in this document exists to verify that a capability, once realized and deployed, continues to conform to the architectural intent captured in ERP-01 when it enters production operation.</w:t>
      </w:r>
    </w:p>
    <w:p>
      <w:pPr>
        <w:spacing w:after="160" w:line="276"/>
      </w:pPr>
      <w:r>
        <w:t xml:space="preserve">Where operational readiness activity surfaces an architectural gap or ambiguity, that finding is routed to ERP-01 governance and ERP-02 Phase E (Architecture Compliance During Delivery) for disposition. Phase G does not have authority to alter architectural requirements; it has authority only to withhold Operational Acceptance until such gaps are resolved through the appropriate governance channel.</w:t>
      </w:r>
    </w:p>
    <w:p>
      <w:pPr>
        <w:pStyle w:val="Heading1"/>
        <w:pBdr>
          <w:bottom w:val="single" w:color="1F3864" w:sz="8" w:space="4"/>
        </w:pBdr>
        <w:spacing w:after="160" w:before="360"/>
      </w:pPr>
      <w:r>
        <w:t xml:space="preserve">5. Relationship to ERP-02 Phases A–F</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100"/>
        <w:gridCol w:w="3300"/>
        <w:gridCol w:w="4950"/>
      </w:tblGrid>
      <w:tr>
        <w:trPr>
          <w:tblHeader/>
        </w:trPr>
        <w:tc>
          <w:tcPr>
            <w:tcW w:type="dxa" w:w="1100"/>
            <w:shd w:fill="1F3864" w:val="clear"/>
            <w:tcMar>
              <w:top w:type="dxa" w:w="80"/>
              <w:left w:type="dxa" w:w="100"/>
              <w:bottom w:type="dxa" w:w="80"/>
              <w:right w:type="dxa" w:w="100"/>
            </w:tcMar>
          </w:tcPr>
          <w:p>
            <w:r>
              <w:rPr>
                <w:b/>
                <w:bCs/>
                <w:color w:val="FFFFFF"/>
                <w:sz w:val="20"/>
                <w:szCs w:val="20"/>
              </w:rPr>
              <w:t xml:space="preserve">Phase</w:t>
            </w:r>
          </w:p>
        </w:tc>
        <w:tc>
          <w:tcPr>
            <w:tcW w:type="dxa" w:w="3300"/>
            <w:shd w:fill="1F3864" w:val="clear"/>
            <w:tcMar>
              <w:top w:type="dxa" w:w="80"/>
              <w:left w:type="dxa" w:w="100"/>
              <w:bottom w:type="dxa" w:w="80"/>
              <w:right w:type="dxa" w:w="100"/>
            </w:tcMar>
          </w:tcPr>
          <w:p>
            <w:r>
              <w:rPr>
                <w:b/>
                <w:bCs/>
                <w:color w:val="FFFFFF"/>
                <w:sz w:val="20"/>
                <w:szCs w:val="20"/>
              </w:rPr>
              <w:t xml:space="preserve">Title</w:t>
            </w:r>
          </w:p>
        </w:tc>
        <w:tc>
          <w:tcPr>
            <w:tcW w:type="dxa" w:w="4950"/>
            <w:shd w:fill="1F3864" w:val="clear"/>
            <w:tcMar>
              <w:top w:type="dxa" w:w="80"/>
              <w:left w:type="dxa" w:w="100"/>
              <w:bottom w:type="dxa" w:w="80"/>
              <w:right w:type="dxa" w:w="100"/>
            </w:tcMar>
          </w:tcPr>
          <w:p>
            <w:r>
              <w:rPr>
                <w:b/>
                <w:bCs/>
                <w:color w:val="FFFFFF"/>
                <w:sz w:val="20"/>
                <w:szCs w:val="20"/>
              </w:rPr>
              <w:t xml:space="preserve">Relationship to Phase G</w:t>
            </w:r>
          </w:p>
        </w:tc>
      </w:tr>
      <w:tr>
        <w:tc>
          <w:tcPr>
            <w:tcW w:type="dxa" w:w="1100"/>
            <w:tcMar>
              <w:top w:type="dxa" w:w="80"/>
              <w:left w:type="dxa" w:w="100"/>
              <w:bottom w:type="dxa" w:w="80"/>
              <w:right w:type="dxa" w:w="100"/>
            </w:tcMar>
          </w:tcPr>
          <w:p>
            <w:r>
              <w:rPr>
                <w:b w:val="false"/>
                <w:bCs w:val="false"/>
                <w:sz w:val="20"/>
                <w:szCs w:val="20"/>
              </w:rPr>
              <w:t xml:space="preserve">Phase A</w:t>
            </w:r>
          </w:p>
        </w:tc>
        <w:tc>
          <w:tcPr>
            <w:tcW w:type="dxa" w:w="3300"/>
            <w:tcMar>
              <w:top w:type="dxa" w:w="80"/>
              <w:left w:type="dxa" w:w="100"/>
              <w:bottom w:type="dxa" w:w="80"/>
              <w:right w:type="dxa" w:w="100"/>
            </w:tcMar>
          </w:tcPr>
          <w:p>
            <w:r>
              <w:rPr>
                <w:b w:val="false"/>
                <w:bCs w:val="false"/>
                <w:sz w:val="20"/>
                <w:szCs w:val="20"/>
              </w:rPr>
              <w:t xml:space="preserve">Enterprise Execution Governance Framework</w:t>
            </w:r>
          </w:p>
        </w:tc>
        <w:tc>
          <w:tcPr>
            <w:tcW w:type="dxa" w:w="4950"/>
            <w:tcMar>
              <w:top w:type="dxa" w:w="80"/>
              <w:left w:type="dxa" w:w="100"/>
              <w:bottom w:type="dxa" w:w="80"/>
              <w:right w:type="dxa" w:w="100"/>
            </w:tcMar>
          </w:tcPr>
          <w:p>
            <w:r>
              <w:rPr>
                <w:b w:val="false"/>
                <w:bCs w:val="false"/>
                <w:sz w:val="20"/>
                <w:szCs w:val="20"/>
              </w:rPr>
              <w:t xml:space="preserve">Provides the governance authorities, escalation paths, and decision rights that Phase G readiness reviews and exceptions rely upon.</w:t>
            </w:r>
          </w:p>
        </w:tc>
      </w:tr>
      <w:tr>
        <w:tc>
          <w:tcPr>
            <w:tcW w:type="dxa" w:w="1100"/>
            <w:shd w:fill="F2F5FB" w:val="clear"/>
            <w:tcMar>
              <w:top w:type="dxa" w:w="80"/>
              <w:left w:type="dxa" w:w="100"/>
              <w:bottom w:type="dxa" w:w="80"/>
              <w:right w:type="dxa" w:w="100"/>
            </w:tcMar>
          </w:tcPr>
          <w:p>
            <w:r>
              <w:rPr>
                <w:b w:val="false"/>
                <w:bCs w:val="false"/>
                <w:sz w:val="20"/>
                <w:szCs w:val="20"/>
              </w:rPr>
              <w:t xml:space="preserve">Phase B</w:t>
            </w:r>
          </w:p>
        </w:tc>
        <w:tc>
          <w:tcPr>
            <w:tcW w:type="dxa" w:w="3300"/>
            <w:shd w:fill="F2F5FB" w:val="clear"/>
            <w:tcMar>
              <w:top w:type="dxa" w:w="80"/>
              <w:left w:type="dxa" w:w="100"/>
              <w:bottom w:type="dxa" w:w="80"/>
              <w:right w:type="dxa" w:w="100"/>
            </w:tcMar>
          </w:tcPr>
          <w:p>
            <w:r>
              <w:rPr>
                <w:b w:val="false"/>
                <w:bCs w:val="false"/>
                <w:sz w:val="20"/>
                <w:szCs w:val="20"/>
              </w:rPr>
              <w:t xml:space="preserve">Enterprise Portfolio Execution Planning</w:t>
            </w:r>
          </w:p>
        </w:tc>
        <w:tc>
          <w:tcPr>
            <w:tcW w:type="dxa" w:w="4950"/>
            <w:shd w:fill="F2F5FB" w:val="clear"/>
            <w:tcMar>
              <w:top w:type="dxa" w:w="80"/>
              <w:left w:type="dxa" w:w="100"/>
              <w:bottom w:type="dxa" w:w="80"/>
              <w:right w:type="dxa" w:w="100"/>
            </w:tcMar>
          </w:tcPr>
          <w:p>
            <w:r>
              <w:rPr>
                <w:b w:val="false"/>
                <w:bCs w:val="false"/>
                <w:sz w:val="20"/>
                <w:szCs w:val="20"/>
              </w:rPr>
              <w:t xml:space="preserve">Provides the Wave and Portfolio structures against which operational readiness is sequenced and reported.</w:t>
            </w:r>
          </w:p>
        </w:tc>
      </w:tr>
      <w:tr>
        <w:tc>
          <w:tcPr>
            <w:tcW w:type="dxa" w:w="1100"/>
            <w:tcMar>
              <w:top w:type="dxa" w:w="80"/>
              <w:left w:type="dxa" w:w="100"/>
              <w:bottom w:type="dxa" w:w="80"/>
              <w:right w:type="dxa" w:w="100"/>
            </w:tcMar>
          </w:tcPr>
          <w:p>
            <w:r>
              <w:rPr>
                <w:b w:val="false"/>
                <w:bCs w:val="false"/>
                <w:sz w:val="20"/>
                <w:szCs w:val="20"/>
              </w:rPr>
              <w:t xml:space="preserve">Phase C</w:t>
            </w:r>
          </w:p>
        </w:tc>
        <w:tc>
          <w:tcPr>
            <w:tcW w:type="dxa" w:w="3300"/>
            <w:tcMar>
              <w:top w:type="dxa" w:w="80"/>
              <w:left w:type="dxa" w:w="100"/>
              <w:bottom w:type="dxa" w:w="80"/>
              <w:right w:type="dxa" w:w="100"/>
            </w:tcMar>
          </w:tcPr>
          <w:p>
            <w:r>
              <w:rPr>
                <w:b w:val="false"/>
                <w:bCs w:val="false"/>
                <w:sz w:val="20"/>
                <w:szCs w:val="20"/>
              </w:rPr>
              <w:t xml:space="preserve">Enterprise Engineering Execution Control</w:t>
            </w:r>
          </w:p>
        </w:tc>
        <w:tc>
          <w:tcPr>
            <w:tcW w:type="dxa" w:w="4950"/>
            <w:tcMar>
              <w:top w:type="dxa" w:w="80"/>
              <w:left w:type="dxa" w:w="100"/>
              <w:bottom w:type="dxa" w:w="80"/>
              <w:right w:type="dxa" w:w="100"/>
            </w:tcMar>
          </w:tcPr>
          <w:p>
            <w:r>
              <w:rPr>
                <w:b w:val="false"/>
                <w:bCs w:val="false"/>
                <w:sz w:val="20"/>
                <w:szCs w:val="20"/>
              </w:rPr>
              <w:t xml:space="preserve">Provides the engineering execution controls whose outputs feed operational documentation and runbook content.</w:t>
            </w:r>
          </w:p>
        </w:tc>
      </w:tr>
      <w:tr>
        <w:tc>
          <w:tcPr>
            <w:tcW w:type="dxa" w:w="1100"/>
            <w:shd w:fill="F2F5FB" w:val="clear"/>
            <w:tcMar>
              <w:top w:type="dxa" w:w="80"/>
              <w:left w:type="dxa" w:w="100"/>
              <w:bottom w:type="dxa" w:w="80"/>
              <w:right w:type="dxa" w:w="100"/>
            </w:tcMar>
          </w:tcPr>
          <w:p>
            <w:r>
              <w:rPr>
                <w:b w:val="false"/>
                <w:bCs w:val="false"/>
                <w:sz w:val="20"/>
                <w:szCs w:val="20"/>
              </w:rPr>
              <w:t xml:space="preserve">Phase D</w:t>
            </w:r>
          </w:p>
        </w:tc>
        <w:tc>
          <w:tcPr>
            <w:tcW w:type="dxa" w:w="3300"/>
            <w:shd w:fill="F2F5FB" w:val="clear"/>
            <w:tcMar>
              <w:top w:type="dxa" w:w="80"/>
              <w:left w:type="dxa" w:w="100"/>
              <w:bottom w:type="dxa" w:w="80"/>
              <w:right w:type="dxa" w:w="100"/>
            </w:tcMar>
          </w:tcPr>
          <w:p>
            <w:r>
              <w:rPr>
                <w:b w:val="false"/>
                <w:bCs w:val="false"/>
                <w:sz w:val="20"/>
                <w:szCs w:val="20"/>
              </w:rPr>
              <w:t xml:space="preserve">Enterprise Work Package Realization Governance</w:t>
            </w:r>
          </w:p>
        </w:tc>
        <w:tc>
          <w:tcPr>
            <w:tcW w:type="dxa" w:w="4950"/>
            <w:shd w:fill="F2F5FB" w:val="clear"/>
            <w:tcMar>
              <w:top w:type="dxa" w:w="80"/>
              <w:left w:type="dxa" w:w="100"/>
              <w:bottom w:type="dxa" w:w="80"/>
              <w:right w:type="dxa" w:w="100"/>
            </w:tcMar>
          </w:tcPr>
          <w:p>
            <w:r>
              <w:rPr>
                <w:b w:val="false"/>
                <w:bCs w:val="false"/>
                <w:sz w:val="20"/>
                <w:szCs w:val="20"/>
              </w:rPr>
              <w:t xml:space="preserve">Provides the Work Package realization status that is the entry condition for operational readiness assessment.</w:t>
            </w:r>
          </w:p>
        </w:tc>
      </w:tr>
      <w:tr>
        <w:tc>
          <w:tcPr>
            <w:tcW w:type="dxa" w:w="1100"/>
            <w:tcMar>
              <w:top w:type="dxa" w:w="80"/>
              <w:left w:type="dxa" w:w="100"/>
              <w:bottom w:type="dxa" w:w="80"/>
              <w:right w:type="dxa" w:w="100"/>
            </w:tcMar>
          </w:tcPr>
          <w:p>
            <w:r>
              <w:rPr>
                <w:b w:val="false"/>
                <w:bCs w:val="false"/>
                <w:sz w:val="20"/>
                <w:szCs w:val="20"/>
              </w:rPr>
              <w:t xml:space="preserve">Phase E</w:t>
            </w:r>
          </w:p>
        </w:tc>
        <w:tc>
          <w:tcPr>
            <w:tcW w:type="dxa" w:w="3300"/>
            <w:tcMar>
              <w:top w:type="dxa" w:w="80"/>
              <w:left w:type="dxa" w:w="100"/>
              <w:bottom w:type="dxa" w:w="80"/>
              <w:right w:type="dxa" w:w="100"/>
            </w:tcMar>
          </w:tcPr>
          <w:p>
            <w:r>
              <w:rPr>
                <w:b w:val="false"/>
                <w:bCs w:val="false"/>
                <w:sz w:val="20"/>
                <w:szCs w:val="20"/>
              </w:rPr>
              <w:t xml:space="preserve">Enterprise Architecture Compliance During Delivery</w:t>
            </w:r>
          </w:p>
        </w:tc>
        <w:tc>
          <w:tcPr>
            <w:tcW w:type="dxa" w:w="4950"/>
            <w:tcMar>
              <w:top w:type="dxa" w:w="80"/>
              <w:left w:type="dxa" w:w="100"/>
              <w:bottom w:type="dxa" w:w="80"/>
              <w:right w:type="dxa" w:w="100"/>
            </w:tcMar>
          </w:tcPr>
          <w:p>
            <w:r>
              <w:rPr>
                <w:b w:val="false"/>
                <w:bCs w:val="false"/>
                <w:sz w:val="20"/>
                <w:szCs w:val="20"/>
              </w:rPr>
              <w:t xml:space="preserve">Provides the compliance verification that must be satisfied before a Work Package is eligible for operational readiness assessment.</w:t>
            </w:r>
          </w:p>
        </w:tc>
      </w:tr>
      <w:tr>
        <w:tc>
          <w:tcPr>
            <w:tcW w:type="dxa" w:w="1100"/>
            <w:shd w:fill="F2F5FB" w:val="clear"/>
            <w:tcMar>
              <w:top w:type="dxa" w:w="80"/>
              <w:left w:type="dxa" w:w="100"/>
              <w:bottom w:type="dxa" w:w="80"/>
              <w:right w:type="dxa" w:w="100"/>
            </w:tcMar>
          </w:tcPr>
          <w:p>
            <w:r>
              <w:rPr>
                <w:b w:val="false"/>
                <w:bCs w:val="false"/>
                <w:sz w:val="20"/>
                <w:szCs w:val="20"/>
              </w:rPr>
              <w:t xml:space="preserve">Phase F</w:t>
            </w:r>
          </w:p>
        </w:tc>
        <w:tc>
          <w:tcPr>
            <w:tcW w:type="dxa" w:w="3300"/>
            <w:shd w:fill="F2F5FB" w:val="clear"/>
            <w:tcMar>
              <w:top w:type="dxa" w:w="80"/>
              <w:left w:type="dxa" w:w="100"/>
              <w:bottom w:type="dxa" w:w="80"/>
              <w:right w:type="dxa" w:w="100"/>
            </w:tcMar>
          </w:tcPr>
          <w:p>
            <w:r>
              <w:rPr>
                <w:b w:val="false"/>
                <w:bCs w:val="false"/>
                <w:sz w:val="20"/>
                <w:szCs w:val="20"/>
              </w:rPr>
              <w:t xml:space="preserve">Enterprise Release &amp; Deployment Governance</w:t>
            </w:r>
          </w:p>
        </w:tc>
        <w:tc>
          <w:tcPr>
            <w:tcW w:type="dxa" w:w="4950"/>
            <w:shd w:fill="F2F5FB" w:val="clear"/>
            <w:tcMar>
              <w:top w:type="dxa" w:w="80"/>
              <w:left w:type="dxa" w:w="100"/>
              <w:bottom w:type="dxa" w:w="80"/>
              <w:right w:type="dxa" w:w="100"/>
            </w:tcMar>
          </w:tcPr>
          <w:p>
            <w:r>
              <w:rPr>
                <w:b w:val="false"/>
                <w:bCs w:val="false"/>
                <w:sz w:val="20"/>
                <w:szCs w:val="20"/>
              </w:rPr>
              <w:t xml:space="preserve">Provides the release approval and deployment verification that immediately precede operational readiness assessment in the lifecycle.</w:t>
            </w:r>
          </w:p>
        </w:tc>
      </w:tr>
    </w:tbl>
    <w:p>
      <w:pPr>
        <w:spacing w:after="160" w:line="276"/>
      </w:pPr>
      <w:r>
        <w:t xml:space="preserve">Phase G begins where Phase F ends: a Work Package that has been Deployment Verified under Phase F becomes eligible for Operational Readiness Assessment under Phase G. Phase G does not repeat, duplicate, or override any control, gate, or artifact defined in Phases A through F.</w:t>
      </w:r>
    </w:p>
    <w:p>
      <w:pPr>
        <w:pStyle w:val="Heading1"/>
        <w:pBdr>
          <w:bottom w:val="single" w:color="1F3864" w:sz="8" w:space="4"/>
        </w:pBdr>
        <w:spacing w:after="160" w:before="360"/>
      </w:pPr>
      <w:r>
        <w:t xml:space="preserve">6. Operational Readiness Philosophy</w:t>
      </w:r>
    </w:p>
    <w:p>
      <w:pPr>
        <w:spacing w:after="160" w:line="276"/>
      </w:pPr>
      <w:r>
        <w:t xml:space="preserve">Operational readiness is treated as an evidence-based, cross-functional discipline rather than a checklist formality. A capability is not operationally ready because it has been built correctly; it is operationally ready because the organization has demonstrated — with evidence — that it can detect, respond to, recover from, and continuously support that capability in live production conditions.</w:t>
      </w:r>
    </w:p>
    <w:p>
      <w:pPr>
        <w:spacing w:after="160" w:line="276"/>
      </w:pPr>
      <w:r>
        <w:t xml:space="preserve">This document adopts three philosophical commitments that govern every subsequent section:</w:t>
      </w:r>
    </w:p>
    <w:p>
      <w:pPr>
        <w:pStyle w:val="ListParagraph"/>
        <w:numPr>
          <w:ilvl w:val="0"/>
          <w:numId w:val="2"/>
        </w:numPr>
        <w:spacing w:after="80"/>
      </w:pPr>
      <w:r>
        <w:t xml:space="preserve">Evidence over assertion: readiness is demonstrated through monitoring dashboards, tested runbooks, verified backups, and completed training records, not through narrative claims of preparedness.</w:t>
      </w:r>
    </w:p>
    <w:p>
      <w:pPr>
        <w:pStyle w:val="ListParagraph"/>
        <w:numPr>
          <w:ilvl w:val="0"/>
          <w:numId w:val="2"/>
        </w:numPr>
        <w:spacing w:after="80"/>
      </w:pPr>
      <w:r>
        <w:t xml:space="preserve">Honesty over completeness: where evidence does not yet exist, the repository states this plainly using the standard status language defined in this document, rather than implying a readiness level that has not been demonstrated.</w:t>
      </w:r>
    </w:p>
    <w:p>
      <w:pPr>
        <w:pStyle w:val="ListParagraph"/>
        <w:numPr>
          <w:ilvl w:val="0"/>
          <w:numId w:val="2"/>
        </w:numPr>
        <w:spacing w:after="80"/>
      </w:pPr>
      <w:r>
        <w:t xml:space="preserve">Continuity over point-in-time approval: operational readiness is not a one-time gate but a sustained capability, revisited through recurring Operational Readiness Reviews for the life of the service.</w:t>
      </w:r>
    </w:p>
    <w:p>
      <w:pPr>
        <w:pStyle w:val="Heading1"/>
        <w:pBdr>
          <w:bottom w:val="single" w:color="1F3864" w:sz="8" w:space="4"/>
        </w:pBdr>
        <w:spacing w:after="160" w:before="360"/>
      </w:pPr>
      <w:r>
        <w:t xml:space="preserve">7. Operational Readiness Principles</w:t>
      </w:r>
    </w:p>
    <w:p>
      <w:pPr>
        <w:pStyle w:val="ListParagraph"/>
        <w:numPr>
          <w:ilvl w:val="0"/>
          <w:numId w:val="2"/>
        </w:numPr>
        <w:spacing w:after="80"/>
      </w:pPr>
      <w:r>
        <w:t xml:space="preserve">Principle 1 — No Work Package enters Operational Acceptance without evidence against every applicable readiness dimension defined in Sections 10–23.</w:t>
      </w:r>
    </w:p>
    <w:p>
      <w:pPr>
        <w:pStyle w:val="ListParagraph"/>
        <w:numPr>
          <w:ilvl w:val="0"/>
          <w:numId w:val="2"/>
        </w:numPr>
        <w:spacing w:after="80"/>
      </w:pPr>
      <w:r>
        <w:t xml:space="preserve">Principle 2 — Operational readiness assessment does not redesign architecture, re-litigate engineering decisions, or reopen release approvals; it verifies operational preparedness only.</w:t>
      </w:r>
    </w:p>
    <w:p>
      <w:pPr>
        <w:pStyle w:val="ListParagraph"/>
        <w:numPr>
          <w:ilvl w:val="0"/>
          <w:numId w:val="2"/>
        </w:numPr>
        <w:spacing w:after="80"/>
      </w:pPr>
      <w:r>
        <w:t xml:space="preserve">Principle 3 — Every readiness claim is traceable to a specific artifact (dashboard, runbook, test result, training record, backup log) referenced in the Operational Repository (Section 31).</w:t>
      </w:r>
    </w:p>
    <w:p>
      <w:pPr>
        <w:pStyle w:val="ListParagraph"/>
        <w:numPr>
          <w:ilvl w:val="0"/>
          <w:numId w:val="2"/>
        </w:numPr>
        <w:spacing w:after="80"/>
      </w:pPr>
      <w:r>
        <w:t xml:space="preserve">Principle 4 — Operational readiness gaps are logged as Action Points or Variances under the ERP-02 Phase A governance framework, not silently waived.</w:t>
      </w:r>
    </w:p>
    <w:p>
      <w:pPr>
        <w:pStyle w:val="ListParagraph"/>
        <w:numPr>
          <w:ilvl w:val="0"/>
          <w:numId w:val="2"/>
        </w:numPr>
        <w:spacing w:after="80"/>
      </w:pPr>
      <w:r>
        <w:t xml:space="preserve">Principle 5 — Operational readiness status is reported honestly at all times, including to executive stakeholders, using the standard status vocabulary defined in Section 24 and the Status Rules of this document.</w:t>
      </w:r>
    </w:p>
    <w:p>
      <w:pPr>
        <w:pStyle w:val="ListParagraph"/>
        <w:numPr>
          <w:ilvl w:val="0"/>
          <w:numId w:val="2"/>
        </w:numPr>
        <w:spacing w:after="80"/>
      </w:pPr>
      <w:r>
        <w:t xml:space="preserve">Principle 6 — Operational readiness is proportionate: the depth of evidence required scales with the criticality, data sensitivity, and blast radius of the Work Package, as classified in ERP-01.</w:t>
      </w:r>
    </w:p>
    <w:p>
      <w:pPr>
        <w:pStyle w:val="Heading1"/>
        <w:pBdr>
          <w:bottom w:val="single" w:color="1F3864" w:sz="8" w:space="4"/>
        </w:pBdr>
        <w:spacing w:after="160" w:before="360"/>
      </w:pPr>
      <w:r>
        <w:t xml:space="preserve">8. Operational Readiness Model</w:t>
      </w:r>
    </w:p>
    <w:p>
      <w:pPr>
        <w:spacing w:after="160" w:line="276"/>
      </w:pPr>
      <w:r>
        <w:t xml:space="preserve">The Operational Readiness Model organizes readiness into four layers, each of which must be satisfied before a Work Package can proceed to Operational Acceptance: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6150"/>
      </w:tblGrid>
      <w:tr>
        <w:trPr>
          <w:tblHeader/>
        </w:trPr>
        <w:tc>
          <w:tcPr>
            <w:tcW w:type="dxa" w:w="3200"/>
            <w:shd w:fill="1F3864" w:val="clear"/>
            <w:tcMar>
              <w:top w:type="dxa" w:w="80"/>
              <w:left w:type="dxa" w:w="100"/>
              <w:bottom w:type="dxa" w:w="80"/>
              <w:right w:type="dxa" w:w="100"/>
            </w:tcMar>
          </w:tcPr>
          <w:p>
            <w:r>
              <w:rPr>
                <w:b/>
                <w:bCs/>
                <w:color w:val="FFFFFF"/>
                <w:sz w:val="20"/>
                <w:szCs w:val="20"/>
              </w:rPr>
              <w:t xml:space="preserve">Layer</w:t>
            </w:r>
          </w:p>
        </w:tc>
        <w:tc>
          <w:tcPr>
            <w:tcW w:type="dxa" w:w="6150"/>
            <w:shd w:fill="1F3864" w:val="clear"/>
            <w:tcMar>
              <w:top w:type="dxa" w:w="80"/>
              <w:left w:type="dxa" w:w="100"/>
              <w:bottom w:type="dxa" w:w="80"/>
              <w:right w:type="dxa" w:w="100"/>
            </w:tcMar>
          </w:tcPr>
          <w:p>
            <w:r>
              <w:rPr>
                <w:b/>
                <w:bCs/>
                <w:color w:val="FFFFFF"/>
                <w:sz w:val="20"/>
                <w:szCs w:val="20"/>
              </w:rPr>
              <w:t xml:space="preserve">Purpose</w:t>
            </w:r>
          </w:p>
        </w:tc>
      </w:tr>
      <w:tr>
        <w:tc>
          <w:tcPr>
            <w:tcW w:type="dxa" w:w="3200"/>
            <w:tcMar>
              <w:top w:type="dxa" w:w="80"/>
              <w:left w:type="dxa" w:w="100"/>
              <w:bottom w:type="dxa" w:w="80"/>
              <w:right w:type="dxa" w:w="100"/>
            </w:tcMar>
          </w:tcPr>
          <w:p>
            <w:r>
              <w:rPr>
                <w:b w:val="false"/>
                <w:bCs w:val="false"/>
                <w:sz w:val="20"/>
                <w:szCs w:val="20"/>
              </w:rPr>
              <w:t xml:space="preserve">Layer 1 — Service Readiness</w:t>
            </w:r>
          </w:p>
        </w:tc>
        <w:tc>
          <w:tcPr>
            <w:tcW w:type="dxa" w:w="6150"/>
            <w:tcMar>
              <w:top w:type="dxa" w:w="80"/>
              <w:left w:type="dxa" w:w="100"/>
              <w:bottom w:type="dxa" w:w="80"/>
              <w:right w:type="dxa" w:w="100"/>
            </w:tcMar>
          </w:tcPr>
          <w:p>
            <w:r>
              <w:rPr>
                <w:b w:val="false"/>
                <w:bCs w:val="false"/>
                <w:sz w:val="20"/>
                <w:szCs w:val="20"/>
              </w:rPr>
              <w:t xml:space="preserve">Confirms the service has a defined owner, support tier, service catalog entry, and dependency map.</w:t>
            </w:r>
          </w:p>
        </w:tc>
      </w:tr>
      <w:tr>
        <w:tc>
          <w:tcPr>
            <w:tcW w:type="dxa" w:w="3200"/>
            <w:shd w:fill="F2F5FB" w:val="clear"/>
            <w:tcMar>
              <w:top w:type="dxa" w:w="80"/>
              <w:left w:type="dxa" w:w="100"/>
              <w:bottom w:type="dxa" w:w="80"/>
              <w:right w:type="dxa" w:w="100"/>
            </w:tcMar>
          </w:tcPr>
          <w:p>
            <w:r>
              <w:rPr>
                <w:b w:val="false"/>
                <w:bCs w:val="false"/>
                <w:sz w:val="20"/>
                <w:szCs w:val="20"/>
              </w:rPr>
              <w:t xml:space="preserve">Layer 2 — Observability Readiness</w:t>
            </w:r>
          </w:p>
        </w:tc>
        <w:tc>
          <w:tcPr>
            <w:tcW w:type="dxa" w:w="6150"/>
            <w:shd w:fill="F2F5FB" w:val="clear"/>
            <w:tcMar>
              <w:top w:type="dxa" w:w="80"/>
              <w:left w:type="dxa" w:w="100"/>
              <w:bottom w:type="dxa" w:w="80"/>
              <w:right w:type="dxa" w:w="100"/>
            </w:tcMar>
          </w:tcPr>
          <w:p>
            <w:r>
              <w:rPr>
                <w:b w:val="false"/>
                <w:bCs w:val="false"/>
                <w:sz w:val="20"/>
                <w:szCs w:val="20"/>
              </w:rPr>
              <w:t xml:space="preserve">Confirms monitoring, logging, alerting, and dashboards exist and are validated against real signal.</w:t>
            </w:r>
          </w:p>
        </w:tc>
      </w:tr>
      <w:tr>
        <w:tc>
          <w:tcPr>
            <w:tcW w:type="dxa" w:w="3200"/>
            <w:tcMar>
              <w:top w:type="dxa" w:w="80"/>
              <w:left w:type="dxa" w:w="100"/>
              <w:bottom w:type="dxa" w:w="80"/>
              <w:right w:type="dxa" w:w="100"/>
            </w:tcMar>
          </w:tcPr>
          <w:p>
            <w:r>
              <w:rPr>
                <w:b w:val="false"/>
                <w:bCs w:val="false"/>
                <w:sz w:val="20"/>
                <w:szCs w:val="20"/>
              </w:rPr>
              <w:t xml:space="preserve">Layer 3 — Resilience Readiness</w:t>
            </w:r>
          </w:p>
        </w:tc>
        <w:tc>
          <w:tcPr>
            <w:tcW w:type="dxa" w:w="6150"/>
            <w:tcMar>
              <w:top w:type="dxa" w:w="80"/>
              <w:left w:type="dxa" w:w="100"/>
              <w:bottom w:type="dxa" w:w="80"/>
              <w:right w:type="dxa" w:w="100"/>
            </w:tcMar>
          </w:tcPr>
          <w:p>
            <w:r>
              <w:rPr>
                <w:b w:val="false"/>
                <w:bCs w:val="false"/>
                <w:sz w:val="20"/>
                <w:szCs w:val="20"/>
              </w:rPr>
              <w:t xml:space="preserve">Confirms incident response, problem management, backup, recovery, disaster recovery, and business continuity capability.</w:t>
            </w:r>
          </w:p>
        </w:tc>
      </w:tr>
      <w:tr>
        <w:tc>
          <w:tcPr>
            <w:tcW w:type="dxa" w:w="3200"/>
            <w:shd w:fill="F2F5FB" w:val="clear"/>
            <w:tcMar>
              <w:top w:type="dxa" w:w="80"/>
              <w:left w:type="dxa" w:w="100"/>
              <w:bottom w:type="dxa" w:w="80"/>
              <w:right w:type="dxa" w:w="100"/>
            </w:tcMar>
          </w:tcPr>
          <w:p>
            <w:r>
              <w:rPr>
                <w:b w:val="false"/>
                <w:bCs w:val="false"/>
                <w:sz w:val="20"/>
                <w:szCs w:val="20"/>
              </w:rPr>
              <w:t xml:space="preserve">Layer 4 — People &amp; Process Readiness</w:t>
            </w:r>
          </w:p>
        </w:tc>
        <w:tc>
          <w:tcPr>
            <w:tcW w:type="dxa" w:w="6150"/>
            <w:shd w:fill="F2F5FB" w:val="clear"/>
            <w:tcMar>
              <w:top w:type="dxa" w:w="80"/>
              <w:left w:type="dxa" w:w="100"/>
              <w:bottom w:type="dxa" w:w="80"/>
              <w:right w:type="dxa" w:w="100"/>
            </w:tcMar>
          </w:tcPr>
          <w:p>
            <w:r>
              <w:rPr>
                <w:b w:val="false"/>
                <w:bCs w:val="false"/>
                <w:sz w:val="20"/>
                <w:szCs w:val="20"/>
              </w:rPr>
              <w:t xml:space="preserve">Confirms operational documentation, runbooks, training, and knowledge transfer to the operating teams.</w:t>
            </w:r>
          </w:p>
        </w:tc>
      </w:tr>
    </w:tbl>
    <w:p>
      <w:pPr>
        <w:spacing w:after="160" w:line="276"/>
      </w:pPr>
      <w:r>
        <w:t xml:space="preserve">A Work Package cannot progress to Operational Acceptance with an incomplete layer; each layer's requirements are elaborated in Sections 10 through 23.</w:t>
      </w:r>
    </w:p>
    <w:p>
      <w:pPr>
        <w:pStyle w:val="Heading1"/>
        <w:pBdr>
          <w:bottom w:val="single" w:color="1F3864" w:sz="8" w:space="4"/>
        </w:pBdr>
        <w:spacing w:after="160" w:before="360"/>
      </w:pPr>
      <w:r>
        <w:t xml:space="preserve">9. Operational Readiness Lifecycle</w:t>
      </w:r>
    </w:p>
    <w:p>
      <w:pPr>
        <w:spacing w:after="160" w:line="276"/>
      </w:pPr>
      <w:r>
        <w:t xml:space="preserve">The canonical operational readiness lifecycle is as follows. Operational Readiness Assessed and Operational Acceptance are distinct, sequential states — assessment produces findings; acceptance is the formal governance decision that those findings satisfy the Operational Acceptance Criteria in Section 24.</w:t>
      </w:r>
    </w:p>
    <w:p>
      <w:pPr>
        <w:spacing w:after="40"/>
      </w:pPr>
      <w:r>
        <w:rPr>
          <w:b/>
          <w:bCs/>
        </w:rPr>
        <w:t xml:space="preserve">1. Architecture Approved</w:t>
      </w:r>
    </w:p>
    <w:p>
      <w:pPr>
        <w:spacing w:after="40"/>
      </w:pPr>
      <w:r>
        <w:rPr>
          <w:color w:val="44546A"/>
        </w:rPr>
        <w:t xml:space="preserve">↓</w:t>
      </w:r>
    </w:p>
    <w:p>
      <w:pPr>
        <w:spacing w:after="40"/>
      </w:pPr>
      <w:r>
        <w:rPr>
          <w:b/>
          <w:bCs/>
        </w:rPr>
        <w:t xml:space="preserve">2. Engineering Controlled</w:t>
      </w:r>
    </w:p>
    <w:p>
      <w:pPr>
        <w:spacing w:after="40"/>
      </w:pPr>
      <w:r>
        <w:rPr>
          <w:color w:val="44546A"/>
        </w:rPr>
        <w:t xml:space="preserve">↓</w:t>
      </w:r>
    </w:p>
    <w:p>
      <w:pPr>
        <w:spacing w:after="40"/>
      </w:pPr>
      <w:r>
        <w:rPr>
          <w:b/>
          <w:bCs/>
        </w:rPr>
        <w:t xml:space="preserve">3. Work Package Realized</w:t>
      </w:r>
    </w:p>
    <w:p>
      <w:pPr>
        <w:spacing w:after="40"/>
      </w:pPr>
      <w:r>
        <w:rPr>
          <w:color w:val="44546A"/>
        </w:rPr>
        <w:t xml:space="preserve">↓</w:t>
      </w:r>
    </w:p>
    <w:p>
      <w:pPr>
        <w:spacing w:after="40"/>
      </w:pPr>
      <w:r>
        <w:rPr>
          <w:b/>
          <w:bCs/>
        </w:rPr>
        <w:t xml:space="preserve">4. Architecture Compliant</w:t>
      </w:r>
    </w:p>
    <w:p>
      <w:pPr>
        <w:spacing w:after="40"/>
      </w:pPr>
      <w:r>
        <w:rPr>
          <w:color w:val="44546A"/>
        </w:rPr>
        <w:t xml:space="preserve">↓</w:t>
      </w:r>
    </w:p>
    <w:p>
      <w:pPr>
        <w:spacing w:after="40"/>
      </w:pPr>
      <w:r>
        <w:rPr>
          <w:b/>
          <w:bCs/>
        </w:rPr>
        <w:t xml:space="preserve">5. Release Approved</w:t>
      </w:r>
    </w:p>
    <w:p>
      <w:pPr>
        <w:spacing w:after="40"/>
      </w:pPr>
      <w:r>
        <w:rPr>
          <w:color w:val="44546A"/>
        </w:rPr>
        <w:t xml:space="preserve">↓</w:t>
      </w:r>
    </w:p>
    <w:p>
      <w:pPr>
        <w:spacing w:after="40"/>
      </w:pPr>
      <w:r>
        <w:rPr>
          <w:b/>
          <w:bCs/>
        </w:rPr>
        <w:t xml:space="preserve">6. Deployment Verified</w:t>
      </w:r>
    </w:p>
    <w:p>
      <w:pPr>
        <w:spacing w:after="40"/>
      </w:pPr>
      <w:r>
        <w:rPr>
          <w:color w:val="44546A"/>
        </w:rPr>
        <w:t xml:space="preserve">↓</w:t>
      </w:r>
    </w:p>
    <w:p>
      <w:pPr>
        <w:spacing w:after="40"/>
      </w:pPr>
      <w:r>
        <w:rPr>
          <w:b/>
          <w:bCs/>
        </w:rPr>
        <w:t xml:space="preserve">7. Operational Readiness Assessed</w:t>
      </w:r>
    </w:p>
    <w:p>
      <w:pPr>
        <w:spacing w:after="40"/>
      </w:pPr>
      <w:r>
        <w:rPr>
          <w:color w:val="44546A"/>
        </w:rPr>
        <w:t xml:space="preserve">↓</w:t>
      </w:r>
    </w:p>
    <w:p>
      <w:pPr>
        <w:spacing w:after="40"/>
      </w:pPr>
      <w:r>
        <w:rPr>
          <w:b/>
          <w:bCs/>
        </w:rPr>
        <w:t xml:space="preserve">8. Operational Acceptance</w:t>
      </w:r>
    </w:p>
    <w:p>
      <w:pPr>
        <w:spacing w:after="40"/>
      </w:pPr>
      <w:r>
        <w:rPr>
          <w:color w:val="44546A"/>
        </w:rPr>
        <w:t xml:space="preserve">↓</w:t>
      </w:r>
    </w:p>
    <w:p>
      <w:pPr>
        <w:spacing w:after="40"/>
      </w:pPr>
      <w:r>
        <w:rPr>
          <w:b/>
          <w:bCs/>
        </w:rPr>
        <w:t xml:space="preserve">9. Production Transition Ready</w:t>
      </w:r>
    </w:p>
    <w:p>
      <w:pPr>
        <w:spacing w:after="40"/>
      </w:pPr>
      <w:r>
        <w:rPr>
          <w:color w:val="44546A"/>
        </w:rPr>
        <w:t xml:space="preserve">↓</w:t>
      </w:r>
    </w:p>
    <w:p>
      <w:pPr>
        <w:spacing w:after="40"/>
      </w:pPr>
      <w:r>
        <w:rPr>
          <w:b/>
          <w:bCs/>
        </w:rPr>
        <w:t xml:space="preserve">10. Operational Service</w:t>
      </w:r>
    </w:p>
    <w:p>
      <w:pPr>
        <w:spacing w:after="160" w:line="276"/>
      </w:pPr>
      <w:r>
        <w:t xml:space="preserve">Operational readiness is explicitly distinguished from deployment and from production transition: Deployment Verified (Phase F) confirms the artifact was deployed correctly; Operational Readiness Assessed and Operational Acceptance (Phase G) confirm the organization is prepared to operate it; Production Transition Ready and Operational Service confirm the handoff to steady-state operations has occurred.</w:t>
      </w:r>
    </w:p>
    <w:p>
      <w:pPr>
        <w:pStyle w:val="Heading1"/>
        <w:pBdr>
          <w:bottom w:val="single" w:color="1F3864" w:sz="8" w:space="4"/>
        </w:pBdr>
        <w:spacing w:after="160" w:before="360"/>
      </w:pPr>
      <w:r>
        <w:t xml:space="preserve">10. Service Readiness</w:t>
      </w:r>
    </w:p>
    <w:p>
      <w:pPr>
        <w:spacing w:after="160" w:line="276"/>
      </w:pPr>
      <w:r>
        <w:t xml:space="preserve">For every approved Work Package entering Phase G, the following service readiness prerequisites apply:</w:t>
      </w:r>
    </w:p>
    <w:p>
      <w:pPr>
        <w:pStyle w:val="ListParagraph"/>
        <w:numPr>
          <w:ilvl w:val="0"/>
          <w:numId w:val="2"/>
        </w:numPr>
        <w:spacing w:after="80"/>
      </w:pPr>
      <w:r>
        <w:t xml:space="preserve">A named service owner and an accountable operations team are identified.</w:t>
      </w:r>
    </w:p>
    <w:p>
      <w:pPr>
        <w:pStyle w:val="ListParagraph"/>
        <w:numPr>
          <w:ilvl w:val="0"/>
          <w:numId w:val="2"/>
        </w:numPr>
        <w:spacing w:after="80"/>
      </w:pPr>
      <w:r>
        <w:t xml:space="preserve">The service is registered in the enterprise service catalog with a defined support tier and business criticality classification.</w:t>
      </w:r>
    </w:p>
    <w:p>
      <w:pPr>
        <w:pStyle w:val="ListParagraph"/>
        <w:numPr>
          <w:ilvl w:val="0"/>
          <w:numId w:val="2"/>
        </w:numPr>
        <w:spacing w:after="80"/>
      </w:pPr>
      <w:r>
        <w:t xml:space="preserve">Upstream and downstream service dependencies are mapped and reconciled against the ERP-01 architecture baseline.</w:t>
      </w:r>
    </w:p>
    <w:p>
      <w:pPr>
        <w:pStyle w:val="ListParagraph"/>
        <w:numPr>
          <w:ilvl w:val="0"/>
          <w:numId w:val="2"/>
        </w:numPr>
        <w:spacing w:after="80"/>
      </w:pPr>
      <w:r>
        <w:t xml:space="preserve">Service-level objectives (SLOs) and associated error budgets are defined and agreed with the accountable business function.</w:t>
      </w:r>
    </w:p>
    <w:p>
      <w:pPr>
        <w:pStyle w:val="ListParagraph"/>
        <w:numPr>
          <w:ilvl w:val="0"/>
          <w:numId w:val="2"/>
        </w:numPr>
        <w:spacing w:after="80"/>
      </w:pPr>
      <w:r>
        <w:t xml:space="preserve">A support handoff plan from the engineering team to the operations/production support team is documented.</w:t>
      </w:r>
    </w:p>
    <w:p>
      <w:pPr>
        <w:pBdr>
          <w:top w:val="single" w:color="AAAAAA" w:sz="4" w:space="4"/>
          <w:bottom w:val="single" w:color="AAAAAA" w:sz="4" w:space="4"/>
          <w:left w:val="single" w:color="AAAAAA" w:sz="4" w:space="4"/>
          <w:right w:val="single" w:color="AAAAAA" w:sz="4" w:space="4"/>
        </w:pBdr>
        <w:shd w:fill="F2F2F2" w:val="clear"/>
        <w:spacing w:after="200" w:before="80"/>
      </w:pPr>
      <w:r>
        <w:rPr>
          <w:i/>
          <w:iCs/>
          <w:sz w:val="20"/>
          <w:szCs w:val="20"/>
        </w:rPr>
        <w:t xml:space="preserve">Current operational readiness status for Service Readiness across governed Work Packages: "Operational Readiness Not Yet Assessable" — no repository evidence yet exists confirming these prerequisites have been independently verified.</w:t>
      </w:r>
    </w:p>
    <w:p>
      <w:pPr>
        <w:pStyle w:val="Heading1"/>
        <w:pBdr>
          <w:bottom w:val="single" w:color="1F3864" w:sz="8" w:space="4"/>
        </w:pBdr>
        <w:spacing w:after="160" w:before="360"/>
      </w:pPr>
      <w:r>
        <w:t xml:space="preserve">11. Production Support Readiness</w:t>
      </w:r>
    </w:p>
    <w:p>
      <w:pPr>
        <w:spacing w:after="160" w:line="276"/>
      </w:pPr>
      <w:r>
        <w:t xml:space="preserve">Production support prerequisites define the organization's capacity to sustain a capability once it is live:</w:t>
      </w:r>
    </w:p>
    <w:p>
      <w:pPr>
        <w:pStyle w:val="ListParagraph"/>
        <w:numPr>
          <w:ilvl w:val="0"/>
          <w:numId w:val="2"/>
        </w:numPr>
        <w:spacing w:after="80"/>
      </w:pPr>
      <w:r>
        <w:t xml:space="preserve">A tiered support model (e.g., L1/L2/L3) is defined, with clear escalation criteria between tiers.</w:t>
      </w:r>
    </w:p>
    <w:p>
      <w:pPr>
        <w:pStyle w:val="ListParagraph"/>
        <w:numPr>
          <w:ilvl w:val="0"/>
          <w:numId w:val="2"/>
        </w:numPr>
        <w:spacing w:after="80"/>
      </w:pPr>
      <w:r>
        <w:t xml:space="preserve">On-call rotation and paging configuration exist for services classified as business-critical in ERP-01.</w:t>
      </w:r>
    </w:p>
    <w:p>
      <w:pPr>
        <w:pStyle w:val="ListParagraph"/>
        <w:numPr>
          <w:ilvl w:val="0"/>
          <w:numId w:val="2"/>
        </w:numPr>
        <w:spacing w:after="80"/>
      </w:pPr>
      <w:r>
        <w:t xml:space="preserve">Support handoff documentation includes known limitations, common failure modes, and escalation contacts.</w:t>
      </w:r>
    </w:p>
    <w:p>
      <w:pPr>
        <w:pStyle w:val="ListParagraph"/>
        <w:numPr>
          <w:ilvl w:val="0"/>
          <w:numId w:val="2"/>
        </w:numPr>
        <w:spacing w:after="80"/>
      </w:pPr>
      <w:r>
        <w:t xml:space="preserve">Production support readiness is validated through a defined handoff review, not assumed from engineering completion alone.</w:t>
      </w:r>
    </w:p>
    <w:p>
      <w:pPr>
        <w:pBdr>
          <w:top w:val="single" w:color="AAAAAA" w:sz="4" w:space="4"/>
          <w:bottom w:val="single" w:color="AAAAAA" w:sz="4" w:space="4"/>
          <w:left w:val="single" w:color="AAAAAA" w:sz="4" w:space="4"/>
          <w:right w:val="single" w:color="AAAAAA" w:sz="4" w:space="4"/>
        </w:pBdr>
        <w:shd w:fill="F2F2F2" w:val="clear"/>
        <w:spacing w:after="200" w:before="80"/>
      </w:pPr>
      <w:r>
        <w:rPr>
          <w:i/>
          <w:iCs/>
          <w:sz w:val="20"/>
          <w:szCs w:val="20"/>
        </w:rPr>
        <w:t xml:space="preserve">Not Yet Operational — production support capability has not been established or evidenced in the repository for any Work Package as of this writing.</w:t>
      </w:r>
    </w:p>
    <w:p>
      <w:pPr>
        <w:pStyle w:val="Heading1"/>
        <w:pBdr>
          <w:bottom w:val="single" w:color="1F3864" w:sz="8" w:space="4"/>
        </w:pBdr>
        <w:spacing w:after="160" w:before="360"/>
      </w:pPr>
      <w:r>
        <w:t xml:space="preserve">12. Monitoring &amp; Observability Readiness</w:t>
      </w:r>
    </w:p>
    <w:p>
      <w:pPr>
        <w:spacing w:after="160" w:line="276"/>
      </w:pPr>
      <w:r>
        <w:t xml:space="preserve">Monitoring requirements apply uniformly across API services, background workers, AI/ML inference paths, and data pipeline components:</w:t>
      </w:r>
    </w:p>
    <w:p>
      <w:pPr>
        <w:pStyle w:val="ListParagraph"/>
        <w:numPr>
          <w:ilvl w:val="0"/>
          <w:numId w:val="2"/>
        </w:numPr>
        <w:spacing w:after="80"/>
      </w:pPr>
      <w:r>
        <w:t xml:space="preserve">Golden-signal monitoring (latency, traffic, errors, saturation) is instrumented for every externally facing service.</w:t>
      </w:r>
    </w:p>
    <w:p>
      <w:pPr>
        <w:pStyle w:val="ListParagraph"/>
        <w:numPr>
          <w:ilvl w:val="0"/>
          <w:numId w:val="2"/>
        </w:numPr>
        <w:spacing w:after="80"/>
      </w:pPr>
      <w:r>
        <w:t xml:space="preserve">AI/ML-specific observability — including model confidence, drift, and cost tracking where such components exist — is instrumented and alertable.</w:t>
      </w:r>
    </w:p>
    <w:p>
      <w:pPr>
        <w:pStyle w:val="ListParagraph"/>
        <w:numPr>
          <w:ilvl w:val="0"/>
          <w:numId w:val="2"/>
        </w:numPr>
        <w:spacing w:after="80"/>
      </w:pPr>
      <w:r>
        <w:t xml:space="preserve">Alert thresholds are defined, peer-reviewed, and mapped to defined severities.</w:t>
      </w:r>
    </w:p>
    <w:p>
      <w:pPr>
        <w:pStyle w:val="ListParagraph"/>
        <w:numPr>
          <w:ilvl w:val="0"/>
          <w:numId w:val="2"/>
        </w:numPr>
        <w:spacing w:after="80"/>
      </w:pPr>
      <w:r>
        <w:t xml:space="preserve">Dashboards exist for both engineering and operations audiences, with ownership assigned.</w:t>
      </w:r>
    </w:p>
    <w:p>
      <w:pPr>
        <w:pStyle w:val="ListParagraph"/>
        <w:numPr>
          <w:ilvl w:val="0"/>
          <w:numId w:val="2"/>
        </w:numPr>
        <w:spacing w:after="80"/>
      </w:pPr>
      <w:r>
        <w:t xml:space="preserve">Synthetic or canary checks exist for critical user journeys where applicable.</w:t>
      </w:r>
    </w:p>
    <w:p>
      <w:pPr>
        <w:pBdr>
          <w:top w:val="single" w:color="AAAAAA" w:sz="4" w:space="4"/>
          <w:bottom w:val="single" w:color="AAAAAA" w:sz="4" w:space="4"/>
          <w:left w:val="single" w:color="AAAAAA" w:sz="4" w:space="4"/>
          <w:right w:val="single" w:color="AAAAAA" w:sz="4" w:space="4"/>
        </w:pBdr>
        <w:shd w:fill="F2F2F2" w:val="clear"/>
        <w:spacing w:after="200" w:before="80"/>
      </w:pPr>
      <w:r>
        <w:rPr>
          <w:i/>
          <w:iCs/>
          <w:sz w:val="20"/>
          <w:szCs w:val="20"/>
        </w:rPr>
        <w:t xml:space="preserve">Operational Readiness Not Yet Assessable — monitoring instrumentation observed within the engineering repository has not been independently verified as operationally complete under this framework.</w:t>
      </w:r>
    </w:p>
    <w:p>
      <w:pPr>
        <w:pStyle w:val="Heading1"/>
        <w:pBdr>
          <w:bottom w:val="single" w:color="1F3864" w:sz="8" w:space="4"/>
        </w:pBdr>
        <w:spacing w:after="160" w:before="360"/>
      </w:pPr>
      <w:r>
        <w:t xml:space="preserve">13. Logging Readiness</w:t>
      </w:r>
    </w:p>
    <w:p>
      <w:pPr>
        <w:pStyle w:val="ListParagraph"/>
        <w:numPr>
          <w:ilvl w:val="0"/>
          <w:numId w:val="2"/>
        </w:numPr>
        <w:spacing w:after="80"/>
      </w:pPr>
      <w:r>
        <w:t xml:space="preserve">Structured, correlation-ID-linked logging is required across all service boundaries.</w:t>
      </w:r>
    </w:p>
    <w:p>
      <w:pPr>
        <w:pStyle w:val="ListParagraph"/>
        <w:numPr>
          <w:ilvl w:val="0"/>
          <w:numId w:val="2"/>
        </w:numPr>
        <w:spacing w:after="80"/>
      </w:pPr>
      <w:r>
        <w:t xml:space="preserve">Log retention periods are defined per data classification and reconciled with applicable regulatory and privacy requirements.</w:t>
      </w:r>
    </w:p>
    <w:p>
      <w:pPr>
        <w:pStyle w:val="ListParagraph"/>
        <w:numPr>
          <w:ilvl w:val="0"/>
          <w:numId w:val="2"/>
        </w:numPr>
        <w:spacing w:after="80"/>
      </w:pPr>
      <w:r>
        <w:t xml:space="preserve">Sensitive data handling within logs (redaction, sanitization) is verified prior to Operational Acceptance.</w:t>
      </w:r>
    </w:p>
    <w:p>
      <w:pPr>
        <w:pStyle w:val="ListParagraph"/>
        <w:numPr>
          <w:ilvl w:val="0"/>
          <w:numId w:val="2"/>
        </w:numPr>
        <w:spacing w:after="80"/>
      </w:pPr>
      <w:r>
        <w:t xml:space="preserve">Centralized log aggregation and searchability are confirmed for incident investigation use.</w:t>
      </w:r>
    </w:p>
    <w:p>
      <w:pPr>
        <w:pBdr>
          <w:top w:val="single" w:color="AAAAAA" w:sz="4" w:space="4"/>
          <w:bottom w:val="single" w:color="AAAAAA" w:sz="4" w:space="4"/>
          <w:left w:val="single" w:color="AAAAAA" w:sz="4" w:space="4"/>
          <w:right w:val="single" w:color="AAAAAA" w:sz="4" w:space="4"/>
        </w:pBdr>
        <w:shd w:fill="F2F2F2" w:val="clear"/>
        <w:spacing w:after="200" w:before="80"/>
      </w:pPr>
      <w:r>
        <w:rPr>
          <w:i/>
          <w:iCs/>
          <w:sz w:val="20"/>
          <w:szCs w:val="20"/>
        </w:rPr>
        <w:t xml:space="preserve">Reserved for Future Realization Phases where centralized log aggregation tooling has not yet been formally established as an enterprise capability.</w:t>
      </w:r>
    </w:p>
    <w:p>
      <w:pPr>
        <w:pStyle w:val="Heading1"/>
        <w:pBdr>
          <w:bottom w:val="single" w:color="1F3864" w:sz="8" w:space="4"/>
        </w:pBdr>
        <w:spacing w:after="160" w:before="360"/>
      </w:pPr>
      <w:r>
        <w:t xml:space="preserve">14. Incident Management Readiness</w:t>
      </w:r>
    </w:p>
    <w:p>
      <w:pPr>
        <w:pStyle w:val="ListParagraph"/>
        <w:numPr>
          <w:ilvl w:val="0"/>
          <w:numId w:val="2"/>
        </w:numPr>
        <w:spacing w:after="80"/>
      </w:pPr>
      <w:r>
        <w:t xml:space="preserve">A documented incident management process exists, including severity definitions, roles, and communication protocols.</w:t>
      </w:r>
    </w:p>
    <w:p>
      <w:pPr>
        <w:pStyle w:val="ListParagraph"/>
        <w:numPr>
          <w:ilvl w:val="0"/>
          <w:numId w:val="2"/>
        </w:numPr>
        <w:spacing w:after="80"/>
      </w:pPr>
      <w:r>
        <w:t xml:space="preserve">Incident response runbooks exist for the highest-probability failure modes identified during engineering execution control (ERP-02 Phase C).</w:t>
      </w:r>
    </w:p>
    <w:p>
      <w:pPr>
        <w:pStyle w:val="ListParagraph"/>
        <w:numPr>
          <w:ilvl w:val="0"/>
          <w:numId w:val="2"/>
        </w:numPr>
        <w:spacing w:after="80"/>
      </w:pPr>
      <w:r>
        <w:t xml:space="preserve">A post-incident review (blameless retrospective) process is defined and linked to the Action Point mechanism of ERP-02 Phase A.</w:t>
      </w:r>
    </w:p>
    <w:p>
      <w:pPr>
        <w:pStyle w:val="ListParagraph"/>
        <w:numPr>
          <w:ilvl w:val="0"/>
          <w:numId w:val="2"/>
        </w:numPr>
        <w:spacing w:after="80"/>
      </w:pPr>
      <w:r>
        <w:t xml:space="preserve">Incident detection-to-acknowledgment and detection-to-resolution targets are defined per service tier.</w:t>
      </w:r>
    </w:p>
    <w:p>
      <w:pPr>
        <w:pBdr>
          <w:top w:val="single" w:color="AAAAAA" w:sz="4" w:space="4"/>
          <w:bottom w:val="single" w:color="AAAAAA" w:sz="4" w:space="4"/>
          <w:left w:val="single" w:color="AAAAAA" w:sz="4" w:space="4"/>
          <w:right w:val="single" w:color="AAAAAA" w:sz="4" w:space="4"/>
        </w:pBdr>
        <w:shd w:fill="F2F2F2" w:val="clear"/>
        <w:spacing w:after="200" w:before="80"/>
      </w:pPr>
      <w:r>
        <w:rPr>
          <w:i/>
          <w:iCs/>
          <w:sz w:val="20"/>
          <w:szCs w:val="20"/>
        </w:rPr>
        <w:t xml:space="preserve">Operational Readiness Not Yet Assessable.</w:t>
      </w:r>
    </w:p>
    <w:p>
      <w:pPr>
        <w:pStyle w:val="Heading1"/>
        <w:pBdr>
          <w:bottom w:val="single" w:color="1F3864" w:sz="8" w:space="4"/>
        </w:pBdr>
        <w:spacing w:after="160" w:before="360"/>
      </w:pPr>
      <w:r>
        <w:t xml:space="preserve">15. Problem Management Readiness</w:t>
      </w:r>
    </w:p>
    <w:p>
      <w:pPr>
        <w:pStyle w:val="ListParagraph"/>
        <w:numPr>
          <w:ilvl w:val="0"/>
          <w:numId w:val="2"/>
        </w:numPr>
        <w:spacing w:after="80"/>
      </w:pPr>
      <w:r>
        <w:t xml:space="preserve">A problem management process distinct from incident management is defined, focused on root-cause elimination of recurring issues.</w:t>
      </w:r>
    </w:p>
    <w:p>
      <w:pPr>
        <w:pStyle w:val="ListParagraph"/>
        <w:numPr>
          <w:ilvl w:val="0"/>
          <w:numId w:val="2"/>
        </w:numPr>
        <w:spacing w:after="80"/>
      </w:pPr>
      <w:r>
        <w:t xml:space="preserve">A known-error database or equivalent repository artifact is designated for problem records.</w:t>
      </w:r>
    </w:p>
    <w:p>
      <w:pPr>
        <w:pStyle w:val="ListParagraph"/>
        <w:numPr>
          <w:ilvl w:val="0"/>
          <w:numId w:val="2"/>
        </w:numPr>
        <w:spacing w:after="80"/>
      </w:pPr>
      <w:r>
        <w:t xml:space="preserve">Linkage between recurring incidents and problem records is established to prevent repeat operational disruption.</w:t>
      </w:r>
    </w:p>
    <w:p>
      <w:pPr>
        <w:pBdr>
          <w:top w:val="single" w:color="AAAAAA" w:sz="4" w:space="4"/>
          <w:bottom w:val="single" w:color="AAAAAA" w:sz="4" w:space="4"/>
          <w:left w:val="single" w:color="AAAAAA" w:sz="4" w:space="4"/>
          <w:right w:val="single" w:color="AAAAAA" w:sz="4" w:space="4"/>
        </w:pBdr>
        <w:shd w:fill="F2F2F2" w:val="clear"/>
        <w:spacing w:after="200" w:before="80"/>
      </w:pPr>
      <w:r>
        <w:rPr>
          <w:i/>
          <w:iCs/>
          <w:sz w:val="20"/>
          <w:szCs w:val="20"/>
        </w:rPr>
        <w:t xml:space="preserve">Reserved for Future Realization Phases.</w:t>
      </w:r>
    </w:p>
    <w:p>
      <w:pPr>
        <w:pStyle w:val="Heading1"/>
        <w:pBdr>
          <w:bottom w:val="single" w:color="1F3864" w:sz="8" w:space="4"/>
        </w:pBdr>
        <w:spacing w:after="160" w:before="360"/>
      </w:pPr>
      <w:r>
        <w:t xml:space="preserve">16. Backup &amp; Recovery Readiness</w:t>
      </w:r>
    </w:p>
    <w:p>
      <w:pPr>
        <w:pStyle w:val="ListParagraph"/>
        <w:numPr>
          <w:ilvl w:val="0"/>
          <w:numId w:val="2"/>
        </w:numPr>
        <w:spacing w:after="80"/>
      </w:pPr>
      <w:r>
        <w:t xml:space="preserve">Backup scope, frequency, and retention are defined per data classification, consistent with the ERP-01 physical data model.</w:t>
      </w:r>
    </w:p>
    <w:p>
      <w:pPr>
        <w:pStyle w:val="ListParagraph"/>
        <w:numPr>
          <w:ilvl w:val="0"/>
          <w:numId w:val="2"/>
        </w:numPr>
        <w:spacing w:after="80"/>
      </w:pPr>
      <w:r>
        <w:t xml:space="preserve">Backup integrity verification (not merely backup execution) is performed and evidenced on a recurring basis.</w:t>
      </w:r>
    </w:p>
    <w:p>
      <w:pPr>
        <w:pStyle w:val="ListParagraph"/>
        <w:numPr>
          <w:ilvl w:val="0"/>
          <w:numId w:val="2"/>
        </w:numPr>
        <w:spacing w:after="80"/>
      </w:pPr>
      <w:r>
        <w:t xml:space="preserve">Point-in-time recovery objectives (RPO) are defined per service tier.</w:t>
      </w:r>
    </w:p>
    <w:p>
      <w:pPr>
        <w:pStyle w:val="ListParagraph"/>
        <w:numPr>
          <w:ilvl w:val="0"/>
          <w:numId w:val="2"/>
        </w:numPr>
        <w:spacing w:after="80"/>
      </w:pPr>
      <w:r>
        <w:t xml:space="preserve">Restoration procedures are documented and, where feasible, tested in a non-production environment.</w:t>
      </w:r>
    </w:p>
    <w:p>
      <w:pPr>
        <w:pBdr>
          <w:top w:val="single" w:color="AAAAAA" w:sz="4" w:space="4"/>
          <w:bottom w:val="single" w:color="AAAAAA" w:sz="4" w:space="4"/>
          <w:left w:val="single" w:color="AAAAAA" w:sz="4" w:space="4"/>
          <w:right w:val="single" w:color="AAAAAA" w:sz="4" w:space="4"/>
        </w:pBdr>
        <w:shd w:fill="F2F2F2" w:val="clear"/>
        <w:spacing w:after="200" w:before="80"/>
      </w:pPr>
      <w:r>
        <w:rPr>
          <w:i/>
          <w:iCs/>
          <w:sz w:val="20"/>
          <w:szCs w:val="20"/>
        </w:rPr>
        <w:t xml:space="preserve">Operational Readiness Not Yet Assessable — backup execution artifacts observed in the engineering repository (e.g., schema backup files) do not, on their own, constitute verified recovery readiness under this framework.</w:t>
      </w:r>
    </w:p>
    <w:p>
      <w:pPr>
        <w:pStyle w:val="Heading1"/>
        <w:pBdr>
          <w:bottom w:val="single" w:color="1F3864" w:sz="8" w:space="4"/>
        </w:pBdr>
        <w:spacing w:after="160" w:before="360"/>
      </w:pPr>
      <w:r>
        <w:t xml:space="preserve">17. Disaster Recovery Readiness</w:t>
      </w:r>
    </w:p>
    <w:p>
      <w:pPr>
        <w:pStyle w:val="ListParagraph"/>
        <w:numPr>
          <w:ilvl w:val="0"/>
          <w:numId w:val="2"/>
        </w:numPr>
        <w:spacing w:after="80"/>
      </w:pPr>
      <w:r>
        <w:t xml:space="preserve">A disaster recovery strategy and target recovery time objective (RTO) are defined per service tier.</w:t>
      </w:r>
    </w:p>
    <w:p>
      <w:pPr>
        <w:pStyle w:val="ListParagraph"/>
        <w:numPr>
          <w:ilvl w:val="0"/>
          <w:numId w:val="2"/>
        </w:numPr>
        <w:spacing w:after="80"/>
      </w:pPr>
      <w:r>
        <w:t xml:space="preserve">Disaster recovery runbooks are documented and version-controlled in the Operational Repository.</w:t>
      </w:r>
    </w:p>
    <w:p>
      <w:pPr>
        <w:pStyle w:val="ListParagraph"/>
        <w:numPr>
          <w:ilvl w:val="0"/>
          <w:numId w:val="2"/>
        </w:numPr>
        <w:spacing w:after="80"/>
      </w:pPr>
      <w:r>
        <w:t xml:space="preserve">Disaster recovery exercises are planned on a recurring cadence, with results logged as operational evidence.</w:t>
      </w:r>
    </w:p>
    <w:p>
      <w:pPr>
        <w:pBdr>
          <w:top w:val="single" w:color="AAAAAA" w:sz="4" w:space="4"/>
          <w:bottom w:val="single" w:color="AAAAAA" w:sz="4" w:space="4"/>
          <w:left w:val="single" w:color="AAAAAA" w:sz="4" w:space="4"/>
          <w:right w:val="single" w:color="AAAAAA" w:sz="4" w:space="4"/>
        </w:pBdr>
        <w:shd w:fill="F2F2F2" w:val="clear"/>
        <w:spacing w:after="200" w:before="80"/>
      </w:pPr>
      <w:r>
        <w:rPr>
          <w:i/>
          <w:iCs/>
          <w:sz w:val="20"/>
          <w:szCs w:val="20"/>
        </w:rPr>
        <w:t xml:space="preserve">Reserved for Future Realization Phases — enterprise-level disaster recovery exercises have not yet been established as a repository capability.</w:t>
      </w:r>
    </w:p>
    <w:p>
      <w:pPr>
        <w:pStyle w:val="Heading1"/>
        <w:pBdr>
          <w:bottom w:val="single" w:color="1F3864" w:sz="8" w:space="4"/>
        </w:pBdr>
        <w:spacing w:after="160" w:before="360"/>
      </w:pPr>
      <w:r>
        <w:t xml:space="preserve">18. Business Continuity Readiness</w:t>
      </w:r>
    </w:p>
    <w:p>
      <w:pPr>
        <w:pStyle w:val="ListParagraph"/>
        <w:numPr>
          <w:ilvl w:val="0"/>
          <w:numId w:val="2"/>
        </w:numPr>
        <w:spacing w:after="80"/>
      </w:pPr>
      <w:r>
        <w:t xml:space="preserve">Business impact analysis is performed for services classified as business-critical.</w:t>
      </w:r>
    </w:p>
    <w:p>
      <w:pPr>
        <w:pStyle w:val="ListParagraph"/>
        <w:numPr>
          <w:ilvl w:val="0"/>
          <w:numId w:val="2"/>
        </w:numPr>
        <w:spacing w:after="80"/>
      </w:pPr>
      <w:r>
        <w:t xml:space="preserve">Continuity plans identify manual or degraded-mode fallback procedures for critical user journeys.</w:t>
      </w:r>
    </w:p>
    <w:p>
      <w:pPr>
        <w:pStyle w:val="ListParagraph"/>
        <w:numPr>
          <w:ilvl w:val="0"/>
          <w:numId w:val="2"/>
        </w:numPr>
        <w:spacing w:after="80"/>
      </w:pPr>
      <w:r>
        <w:t xml:space="preserve">Business continuity ownership is assigned outside of the engineering organization, consistent with enterprise governance separation of duties.</w:t>
      </w:r>
    </w:p>
    <w:p>
      <w:pPr>
        <w:pBdr>
          <w:top w:val="single" w:color="AAAAAA" w:sz="4" w:space="4"/>
          <w:bottom w:val="single" w:color="AAAAAA" w:sz="4" w:space="4"/>
          <w:left w:val="single" w:color="AAAAAA" w:sz="4" w:space="4"/>
          <w:right w:val="single" w:color="AAAAAA" w:sz="4" w:space="4"/>
        </w:pBdr>
        <w:shd w:fill="F2F2F2" w:val="clear"/>
        <w:spacing w:after="200" w:before="80"/>
      </w:pPr>
      <w:r>
        <w:rPr>
          <w:i/>
          <w:iCs/>
          <w:sz w:val="20"/>
          <w:szCs w:val="20"/>
        </w:rPr>
        <w:t xml:space="preserve">Reserved for Future Realization Phases.</w:t>
      </w:r>
    </w:p>
    <w:p>
      <w:pPr>
        <w:pStyle w:val="Heading1"/>
        <w:pBdr>
          <w:bottom w:val="single" w:color="1F3864" w:sz="8" w:space="4"/>
        </w:pBdr>
        <w:spacing w:after="160" w:before="360"/>
      </w:pPr>
      <w:r>
        <w:t xml:space="preserve">19. Operational Documentation</w:t>
      </w:r>
    </w:p>
    <w:p>
      <w:pPr>
        <w:pStyle w:val="ListParagraph"/>
        <w:numPr>
          <w:ilvl w:val="0"/>
          <w:numId w:val="2"/>
        </w:numPr>
        <w:spacing w:after="80"/>
      </w:pPr>
      <w:r>
        <w:t xml:space="preserve">Service architecture summaries suitable for an operations (non-engineering) audience are produced for each Work Package.</w:t>
      </w:r>
    </w:p>
    <w:p>
      <w:pPr>
        <w:pStyle w:val="ListParagraph"/>
        <w:numPr>
          <w:ilvl w:val="0"/>
          <w:numId w:val="2"/>
        </w:numPr>
        <w:spacing w:after="80"/>
      </w:pPr>
      <w:r>
        <w:t xml:space="preserve">Configuration references, environment variable inventories, and dependency documentation are current and version-controlled.</w:t>
      </w:r>
    </w:p>
    <w:p>
      <w:pPr>
        <w:pStyle w:val="ListParagraph"/>
        <w:numPr>
          <w:ilvl w:val="0"/>
          <w:numId w:val="2"/>
        </w:numPr>
        <w:spacing w:after="80"/>
      </w:pPr>
      <w:r>
        <w:t xml:space="preserve">Operational documentation is reviewed for accuracy at each Operational Readiness Review (Section 26), not solely at initial authoring.</w:t>
      </w:r>
    </w:p>
    <w:p>
      <w:pPr>
        <w:pBdr>
          <w:top w:val="single" w:color="AAAAAA" w:sz="4" w:space="4"/>
          <w:bottom w:val="single" w:color="AAAAAA" w:sz="4" w:space="4"/>
          <w:left w:val="single" w:color="AAAAAA" w:sz="4" w:space="4"/>
          <w:right w:val="single" w:color="AAAAAA" w:sz="4" w:space="4"/>
        </w:pBdr>
        <w:shd w:fill="F2F2F2" w:val="clear"/>
        <w:spacing w:after="200" w:before="80"/>
      </w:pPr>
      <w:r>
        <w:rPr>
          <w:i/>
          <w:iCs/>
          <w:sz w:val="20"/>
          <w:szCs w:val="20"/>
        </w:rPr>
        <w:t xml:space="preserve">Operational Readiness Not Yet Assessable.</w:t>
      </w:r>
    </w:p>
    <w:p>
      <w:pPr>
        <w:pStyle w:val="Heading1"/>
        <w:pBdr>
          <w:bottom w:val="single" w:color="1F3864" w:sz="8" w:space="4"/>
        </w:pBdr>
        <w:spacing w:after="160" w:before="360"/>
      </w:pPr>
      <w:r>
        <w:t xml:space="preserve">20. Runbook Readiness</w:t>
      </w:r>
    </w:p>
    <w:p>
      <w:pPr>
        <w:pStyle w:val="ListParagraph"/>
        <w:numPr>
          <w:ilvl w:val="0"/>
          <w:numId w:val="2"/>
        </w:numPr>
        <w:spacing w:after="80"/>
      </w:pPr>
      <w:r>
        <w:t xml:space="preserve">Runbooks exist for start/stop/restart procedures, common alert conditions, and manual remediation steps.</w:t>
      </w:r>
    </w:p>
    <w:p>
      <w:pPr>
        <w:pStyle w:val="ListParagraph"/>
        <w:numPr>
          <w:ilvl w:val="0"/>
          <w:numId w:val="2"/>
        </w:numPr>
        <w:spacing w:after="80"/>
      </w:pPr>
      <w:r>
        <w:t xml:space="preserve">Runbooks are written for execution by production support/on-call personnel, not solely by the original engineering author.</w:t>
      </w:r>
    </w:p>
    <w:p>
      <w:pPr>
        <w:pStyle w:val="ListParagraph"/>
        <w:numPr>
          <w:ilvl w:val="0"/>
          <w:numId w:val="2"/>
        </w:numPr>
        <w:spacing w:after="80"/>
      </w:pPr>
      <w:r>
        <w:t xml:space="preserve">Runbooks are validated through table-top exercise or live-fire drill prior to Operational Acceptance where the service is business-critical.</w:t>
      </w:r>
    </w:p>
    <w:p>
      <w:pPr>
        <w:pBdr>
          <w:top w:val="single" w:color="AAAAAA" w:sz="4" w:space="4"/>
          <w:bottom w:val="single" w:color="AAAAAA" w:sz="4" w:space="4"/>
          <w:left w:val="single" w:color="AAAAAA" w:sz="4" w:space="4"/>
          <w:right w:val="single" w:color="AAAAAA" w:sz="4" w:space="4"/>
        </w:pBdr>
        <w:shd w:fill="F2F2F2" w:val="clear"/>
        <w:spacing w:after="200" w:before="80"/>
      </w:pPr>
      <w:r>
        <w:rPr>
          <w:i/>
          <w:iCs/>
          <w:sz w:val="20"/>
          <w:szCs w:val="20"/>
        </w:rPr>
        <w:t xml:space="preserve">Operational Readiness Not Yet Assessable — runbook-shaped documentation artifacts have not yet been independently verified as validated under this framework.</w:t>
      </w:r>
    </w:p>
    <w:p>
      <w:pPr>
        <w:pStyle w:val="Heading1"/>
        <w:pBdr>
          <w:bottom w:val="single" w:color="1F3864" w:sz="8" w:space="4"/>
        </w:pBdr>
        <w:spacing w:after="160" w:before="360"/>
      </w:pPr>
      <w:r>
        <w:t xml:space="preserve">21. Security Operations Readiness</w:t>
      </w:r>
    </w:p>
    <w:p>
      <w:pPr>
        <w:spacing w:after="160" w:line="276"/>
      </w:pPr>
      <w:r>
        <w:t xml:space="preserve">Security operations readiness governs the operational handoff of security controls, not their design; security control design and conformance remain governed by WP-SEC-01 and ERP-02 Phase E.</w:t>
      </w:r>
    </w:p>
    <w:p>
      <w:pPr>
        <w:pStyle w:val="ListParagraph"/>
        <w:numPr>
          <w:ilvl w:val="0"/>
          <w:numId w:val="2"/>
        </w:numPr>
        <w:spacing w:after="80"/>
      </w:pPr>
      <w:r>
        <w:t xml:space="preserve">Security monitoring and alerting are integrated with the enterprise incident management process defined in Section 14.</w:t>
      </w:r>
    </w:p>
    <w:p>
      <w:pPr>
        <w:pStyle w:val="ListParagraph"/>
        <w:numPr>
          <w:ilvl w:val="0"/>
          <w:numId w:val="2"/>
        </w:numPr>
        <w:spacing w:after="80"/>
      </w:pPr>
      <w:r>
        <w:t xml:space="preserve">Secrets and credential rotation procedures are documented and assigned an operational owner.</w:t>
      </w:r>
    </w:p>
    <w:p>
      <w:pPr>
        <w:pStyle w:val="ListParagraph"/>
        <w:numPr>
          <w:ilvl w:val="0"/>
          <w:numId w:val="2"/>
        </w:numPr>
        <w:spacing w:after="80"/>
      </w:pPr>
      <w:r>
        <w:t xml:space="preserve">Access review cadence for production systems is defined and scheduled.</w:t>
      </w:r>
    </w:p>
    <w:p>
      <w:pPr>
        <w:pStyle w:val="ListParagraph"/>
        <w:numPr>
          <w:ilvl w:val="0"/>
          <w:numId w:val="2"/>
        </w:numPr>
        <w:spacing w:after="80"/>
      </w:pPr>
      <w:r>
        <w:t xml:space="preserve">Security operations readiness references, but does not duplicate, the findings of WP-SEC-01 implementation and verification reports.</w:t>
      </w:r>
    </w:p>
    <w:p>
      <w:pPr>
        <w:pBdr>
          <w:top w:val="single" w:color="AAAAAA" w:sz="4" w:space="4"/>
          <w:bottom w:val="single" w:color="AAAAAA" w:sz="4" w:space="4"/>
          <w:left w:val="single" w:color="AAAAAA" w:sz="4" w:space="4"/>
          <w:right w:val="single" w:color="AAAAAA" w:sz="4" w:space="4"/>
        </w:pBdr>
        <w:shd w:fill="F2F2F2" w:val="clear"/>
        <w:spacing w:after="200" w:before="80"/>
      </w:pPr>
      <w:r>
        <w:rPr>
          <w:i/>
          <w:iCs/>
          <w:sz w:val="20"/>
          <w:szCs w:val="20"/>
        </w:rPr>
        <w:t xml:space="preserve">Operational Readiness Not Yet Assessable.</w:t>
      </w:r>
    </w:p>
    <w:p>
      <w:pPr>
        <w:pStyle w:val="Heading1"/>
        <w:pBdr>
          <w:bottom w:val="single" w:color="1F3864" w:sz="8" w:space="4"/>
        </w:pBdr>
        <w:spacing w:after="160" w:before="360"/>
      </w:pPr>
      <w:r>
        <w:t xml:space="preserve">22. Capacity &amp; Performance Readiness</w:t>
      </w:r>
    </w:p>
    <w:p>
      <w:pPr>
        <w:pStyle w:val="ListParagraph"/>
        <w:numPr>
          <w:ilvl w:val="0"/>
          <w:numId w:val="2"/>
        </w:numPr>
        <w:spacing w:after="80"/>
      </w:pPr>
      <w:r>
        <w:t xml:space="preserve">Capacity baselines and growth projections are defined per service tier.</w:t>
      </w:r>
    </w:p>
    <w:p>
      <w:pPr>
        <w:pStyle w:val="ListParagraph"/>
        <w:numPr>
          <w:ilvl w:val="0"/>
          <w:numId w:val="2"/>
        </w:numPr>
        <w:spacing w:after="80"/>
      </w:pPr>
      <w:r>
        <w:t xml:space="preserve">Load and performance testing results are documented prior to Operational Acceptance for business-critical services.</w:t>
      </w:r>
    </w:p>
    <w:p>
      <w:pPr>
        <w:pStyle w:val="ListParagraph"/>
        <w:numPr>
          <w:ilvl w:val="0"/>
          <w:numId w:val="2"/>
        </w:numPr>
        <w:spacing w:after="80"/>
      </w:pPr>
      <w:r>
        <w:t xml:space="preserve">Auto-scaling, rate-limiting, and degradation-mode behavior are documented and, where applicable, tested.</w:t>
      </w:r>
    </w:p>
    <w:p>
      <w:pPr>
        <w:pBdr>
          <w:top w:val="single" w:color="AAAAAA" w:sz="4" w:space="4"/>
          <w:bottom w:val="single" w:color="AAAAAA" w:sz="4" w:space="4"/>
          <w:left w:val="single" w:color="AAAAAA" w:sz="4" w:space="4"/>
          <w:right w:val="single" w:color="AAAAAA" w:sz="4" w:space="4"/>
        </w:pBdr>
        <w:shd w:fill="F2F2F2" w:val="clear"/>
        <w:spacing w:after="200" w:before="80"/>
      </w:pPr>
      <w:r>
        <w:rPr>
          <w:i/>
          <w:iCs/>
          <w:sz w:val="20"/>
          <w:szCs w:val="20"/>
        </w:rPr>
        <w:t xml:space="preserve">Operational Readiness Not Yet Assessable.</w:t>
      </w:r>
    </w:p>
    <w:p>
      <w:pPr>
        <w:pStyle w:val="Heading1"/>
        <w:pBdr>
          <w:bottom w:val="single" w:color="1F3864" w:sz="8" w:space="4"/>
        </w:pBdr>
        <w:spacing w:after="160" w:before="360"/>
      </w:pPr>
      <w:r>
        <w:t xml:space="preserve">23. Training &amp; Knowledge Transfer</w:t>
      </w:r>
    </w:p>
    <w:p>
      <w:pPr>
        <w:pStyle w:val="ListParagraph"/>
        <w:numPr>
          <w:ilvl w:val="0"/>
          <w:numId w:val="2"/>
        </w:numPr>
        <w:spacing w:after="80"/>
      </w:pPr>
      <w:r>
        <w:t xml:space="preserve">A knowledge transfer plan from the engineering team to operations/support functions is documented and executed.</w:t>
      </w:r>
    </w:p>
    <w:p>
      <w:pPr>
        <w:pStyle w:val="ListParagraph"/>
        <w:numPr>
          <w:ilvl w:val="0"/>
          <w:numId w:val="2"/>
        </w:numPr>
        <w:spacing w:after="80"/>
      </w:pPr>
      <w:r>
        <w:t xml:space="preserve">Training completion is evidenced through records (attendance, sign-off, or competency confirmation) retained in the Operational Repository.</w:t>
      </w:r>
    </w:p>
    <w:p>
      <w:pPr>
        <w:pStyle w:val="ListParagraph"/>
        <w:numPr>
          <w:ilvl w:val="0"/>
          <w:numId w:val="2"/>
        </w:numPr>
        <w:spacing w:after="80"/>
      </w:pPr>
      <w:r>
        <w:t xml:space="preserve">Refresher training is scheduled on a recurring cadence for business-critical services.</w:t>
      </w:r>
    </w:p>
    <w:p>
      <w:pPr>
        <w:pBdr>
          <w:top w:val="single" w:color="AAAAAA" w:sz="4" w:space="4"/>
          <w:bottom w:val="single" w:color="AAAAAA" w:sz="4" w:space="4"/>
          <w:left w:val="single" w:color="AAAAAA" w:sz="4" w:space="4"/>
          <w:right w:val="single" w:color="AAAAAA" w:sz="4" w:space="4"/>
        </w:pBdr>
        <w:shd w:fill="F2F2F2" w:val="clear"/>
        <w:spacing w:after="200" w:before="80"/>
      </w:pPr>
      <w:r>
        <w:rPr>
          <w:i/>
          <w:iCs/>
          <w:sz w:val="20"/>
          <w:szCs w:val="20"/>
        </w:rPr>
        <w:t xml:space="preserve">Reserved for Future Realization Phases.</w:t>
      </w:r>
    </w:p>
    <w:p>
      <w:pPr>
        <w:pStyle w:val="Heading1"/>
        <w:pBdr>
          <w:bottom w:val="single" w:color="1F3864" w:sz="8" w:space="4"/>
        </w:pBdr>
        <w:spacing w:after="160" w:before="360"/>
      </w:pPr>
      <w:r>
        <w:t xml:space="preserve">24. Operational Acceptance Criteria</w:t>
      </w:r>
    </w:p>
    <w:p>
      <w:pPr>
        <w:spacing w:after="160" w:line="276"/>
      </w:pPr>
      <w:r>
        <w:t xml:space="preserve">Operational Acceptance is the formal governance decision that a Work Package's operational readiness evidence satisfies every applicable requirement in Sections 10 through 23. Operational Acceptance requires all of the following:</w:t>
      </w:r>
    </w:p>
    <w:p>
      <w:pPr>
        <w:pStyle w:val="ListParagraph"/>
        <w:numPr>
          <w:ilvl w:val="0"/>
          <w:numId w:val="2"/>
        </w:numPr>
        <w:spacing w:after="80"/>
      </w:pPr>
      <w:r>
        <w:t xml:space="preserve">All four layers of the Operational Readiness Model (Section 8) are addressed with documented evidence.</w:t>
      </w:r>
    </w:p>
    <w:p>
      <w:pPr>
        <w:pStyle w:val="ListParagraph"/>
        <w:numPr>
          <w:ilvl w:val="0"/>
          <w:numId w:val="2"/>
        </w:numPr>
        <w:spacing w:after="80"/>
      </w:pPr>
      <w:r>
        <w:t xml:space="preserve">No open Action Point or Variance of Critical or High severity remains unresolved against operational readiness.</w:t>
      </w:r>
    </w:p>
    <w:p>
      <w:pPr>
        <w:pStyle w:val="ListParagraph"/>
        <w:numPr>
          <w:ilvl w:val="0"/>
          <w:numId w:val="2"/>
        </w:numPr>
        <w:spacing w:after="80"/>
      </w:pPr>
      <w:r>
        <w:t xml:space="preserve">Production support and on-call ownership have been formally accepted by the receiving operations team.</w:t>
      </w:r>
    </w:p>
    <w:p>
      <w:pPr>
        <w:pStyle w:val="ListParagraph"/>
        <w:numPr>
          <w:ilvl w:val="0"/>
          <w:numId w:val="2"/>
        </w:numPr>
        <w:spacing w:after="80"/>
      </w:pPr>
      <w:r>
        <w:t xml:space="preserve">The Operational Readiness Review (Section 26) has recorded a formal recommendation for acceptance.</w:t>
      </w:r>
    </w:p>
    <w:p>
      <w:pPr>
        <w:spacing w:after="160" w:line="276"/>
      </w:pPr>
      <w:r>
        <w:t xml:space="preserve">The standard status vocabulary used throughout this document, and required wherever operational maturity has not been independently evidenced, is: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800"/>
        <w:gridCol w:w="5550"/>
      </w:tblGrid>
      <w:tr>
        <w:trPr>
          <w:tblHeader/>
        </w:trPr>
        <w:tc>
          <w:tcPr>
            <w:tcW w:type="dxa" w:w="3800"/>
            <w:shd w:fill="1F3864" w:val="clear"/>
            <w:tcMar>
              <w:top w:type="dxa" w:w="80"/>
              <w:left w:type="dxa" w:w="100"/>
              <w:bottom w:type="dxa" w:w="80"/>
              <w:right w:type="dxa" w:w="100"/>
            </w:tcMar>
          </w:tcPr>
          <w:p>
            <w:r>
              <w:rPr>
                <w:b/>
                <w:bCs/>
                <w:color w:val="FFFFFF"/>
                <w:sz w:val="20"/>
                <w:szCs w:val="20"/>
              </w:rPr>
              <w:t xml:space="preserve">Status Label</w:t>
            </w:r>
          </w:p>
        </w:tc>
        <w:tc>
          <w:tcPr>
            <w:tcW w:type="dxa" w:w="5550"/>
            <w:shd w:fill="1F3864" w:val="clear"/>
            <w:tcMar>
              <w:top w:type="dxa" w:w="80"/>
              <w:left w:type="dxa" w:w="100"/>
              <w:bottom w:type="dxa" w:w="80"/>
              <w:right w:type="dxa" w:w="100"/>
            </w:tcMar>
          </w:tcPr>
          <w:p>
            <w:r>
              <w:rPr>
                <w:b/>
                <w:bCs/>
                <w:color w:val="FFFFFF"/>
                <w:sz w:val="20"/>
                <w:szCs w:val="20"/>
              </w:rPr>
              <w:t xml:space="preserve">Meaning</w:t>
            </w:r>
          </w:p>
        </w:tc>
      </w:tr>
      <w:tr>
        <w:tc>
          <w:tcPr>
            <w:tcW w:type="dxa" w:w="3800"/>
            <w:tcMar>
              <w:top w:type="dxa" w:w="80"/>
              <w:left w:type="dxa" w:w="100"/>
              <w:bottom w:type="dxa" w:w="80"/>
              <w:right w:type="dxa" w:w="100"/>
            </w:tcMar>
          </w:tcPr>
          <w:p>
            <w:r>
              <w:rPr>
                <w:b w:val="false"/>
                <w:bCs w:val="false"/>
                <w:sz w:val="20"/>
                <w:szCs w:val="20"/>
              </w:rPr>
              <w:t xml:space="preserve">“Operational Readiness Not Yet Assessable”</w:t>
            </w:r>
          </w:p>
        </w:tc>
        <w:tc>
          <w:tcPr>
            <w:tcW w:type="dxa" w:w="5550"/>
            <w:tcMar>
              <w:top w:type="dxa" w:w="80"/>
              <w:left w:type="dxa" w:w="100"/>
              <w:bottom w:type="dxa" w:w="80"/>
              <w:right w:type="dxa" w:w="100"/>
            </w:tcMar>
          </w:tcPr>
          <w:p>
            <w:r>
              <w:rPr>
                <w:b w:val="false"/>
                <w:bCs w:val="false"/>
                <w:sz w:val="20"/>
                <w:szCs w:val="20"/>
              </w:rPr>
              <w:t xml:space="preserve">No independent operational readiness assessment has yet been performed against this framework.</w:t>
            </w:r>
          </w:p>
        </w:tc>
      </w:tr>
      <w:tr>
        <w:tc>
          <w:tcPr>
            <w:tcW w:type="dxa" w:w="3800"/>
            <w:shd w:fill="F2F5FB" w:val="clear"/>
            <w:tcMar>
              <w:top w:type="dxa" w:w="80"/>
              <w:left w:type="dxa" w:w="100"/>
              <w:bottom w:type="dxa" w:w="80"/>
              <w:right w:type="dxa" w:w="100"/>
            </w:tcMar>
          </w:tcPr>
          <w:p>
            <w:r>
              <w:rPr>
                <w:b w:val="false"/>
                <w:bCs w:val="false"/>
                <w:sz w:val="20"/>
                <w:szCs w:val="20"/>
              </w:rPr>
              <w:t xml:space="preserve">“Not Yet Operational”</w:t>
            </w:r>
          </w:p>
        </w:tc>
        <w:tc>
          <w:tcPr>
            <w:tcW w:type="dxa" w:w="5550"/>
            <w:shd w:fill="F2F5FB" w:val="clear"/>
            <w:tcMar>
              <w:top w:type="dxa" w:w="80"/>
              <w:left w:type="dxa" w:w="100"/>
              <w:bottom w:type="dxa" w:w="80"/>
              <w:right w:type="dxa" w:w="100"/>
            </w:tcMar>
          </w:tcPr>
          <w:p>
            <w:r>
              <w:rPr>
                <w:b w:val="false"/>
                <w:bCs w:val="false"/>
                <w:sz w:val="20"/>
                <w:szCs w:val="20"/>
              </w:rPr>
              <w:t xml:space="preserve">Production support capability for the item has not yet been established.</w:t>
            </w:r>
          </w:p>
        </w:tc>
      </w:tr>
      <w:tr>
        <w:tc>
          <w:tcPr>
            <w:tcW w:type="dxa" w:w="3800"/>
            <w:tcMar>
              <w:top w:type="dxa" w:w="80"/>
              <w:left w:type="dxa" w:w="100"/>
              <w:bottom w:type="dxa" w:w="80"/>
              <w:right w:type="dxa" w:w="100"/>
            </w:tcMar>
          </w:tcPr>
          <w:p>
            <w:r>
              <w:rPr>
                <w:b w:val="false"/>
                <w:bCs w:val="false"/>
                <w:sz w:val="20"/>
                <w:szCs w:val="20"/>
              </w:rPr>
              <w:t xml:space="preserve">“Reserved for Future Realization Phases”</w:t>
            </w:r>
          </w:p>
        </w:tc>
        <w:tc>
          <w:tcPr>
            <w:tcW w:type="dxa" w:w="5550"/>
            <w:tcMar>
              <w:top w:type="dxa" w:w="80"/>
              <w:left w:type="dxa" w:w="100"/>
              <w:bottom w:type="dxa" w:w="80"/>
              <w:right w:type="dxa" w:w="100"/>
            </w:tcMar>
          </w:tcPr>
          <w:p>
            <w:r>
              <w:rPr>
                <w:b w:val="false"/>
                <w:bCs w:val="false"/>
                <w:sz w:val="20"/>
                <w:szCs w:val="20"/>
              </w:rPr>
              <w:t xml:space="preserve">The capability belongs to a later phase of the enterprise realization roadmap and is not yet in scope for assessment.</w:t>
            </w:r>
          </w:p>
        </w:tc>
      </w:tr>
    </w:tbl>
    <w:p>
      <w:pPr>
        <w:pStyle w:val="Heading1"/>
        <w:pBdr>
          <w:bottom w:val="single" w:color="1F3864" w:sz="8" w:space="4"/>
        </w:pBdr>
        <w:spacing w:after="160" w:before="360"/>
      </w:pPr>
      <w:r>
        <w:t xml:space="preserve">25. Operational Evidence Requirements</w:t>
      </w:r>
    </w:p>
    <w:p>
      <w:pPr>
        <w:spacing w:after="160" w:line="276"/>
      </w:pPr>
      <w:r>
        <w:t xml:space="preserve">Every readiness claim admitted into the Operational Repository must be backed by one or more of the following evidence classes, each fully traceable to its originating Work Package and, through it, to ERP-01:</w:t>
      </w:r>
    </w:p>
    <w:p>
      <w:pPr>
        <w:pStyle w:val="ListParagraph"/>
        <w:numPr>
          <w:ilvl w:val="0"/>
          <w:numId w:val="2"/>
        </w:numPr>
        <w:spacing w:after="80"/>
      </w:pPr>
      <w:r>
        <w:t xml:space="preserve">Monitoring evidence — dashboard exports, alert configuration records, and validated alert-firing history.</w:t>
      </w:r>
    </w:p>
    <w:p>
      <w:pPr>
        <w:pStyle w:val="ListParagraph"/>
        <w:numPr>
          <w:ilvl w:val="0"/>
          <w:numId w:val="2"/>
        </w:numPr>
        <w:spacing w:after="80"/>
      </w:pPr>
      <w:r>
        <w:t xml:space="preserve">Logging evidence — log retention configuration and sample redaction verification.</w:t>
      </w:r>
    </w:p>
    <w:p>
      <w:pPr>
        <w:pStyle w:val="ListParagraph"/>
        <w:numPr>
          <w:ilvl w:val="0"/>
          <w:numId w:val="2"/>
        </w:numPr>
        <w:spacing w:after="80"/>
      </w:pPr>
      <w:r>
        <w:t xml:space="preserve">Incident response evidence — completed incident timelines and post-incident review records.</w:t>
      </w:r>
    </w:p>
    <w:p>
      <w:pPr>
        <w:pStyle w:val="ListParagraph"/>
        <w:numPr>
          <w:ilvl w:val="0"/>
          <w:numId w:val="2"/>
        </w:numPr>
        <w:spacing w:after="80"/>
      </w:pPr>
      <w:r>
        <w:t xml:space="preserve">Backup evidence — backup execution logs and integrity verification results.</w:t>
      </w:r>
    </w:p>
    <w:p>
      <w:pPr>
        <w:pStyle w:val="ListParagraph"/>
        <w:numPr>
          <w:ilvl w:val="0"/>
          <w:numId w:val="2"/>
        </w:numPr>
        <w:spacing w:after="80"/>
      </w:pPr>
      <w:r>
        <w:t xml:space="preserve">Recovery evidence — restoration test results and recorded recovery time.</w:t>
      </w:r>
    </w:p>
    <w:p>
      <w:pPr>
        <w:pStyle w:val="ListParagraph"/>
        <w:numPr>
          <w:ilvl w:val="0"/>
          <w:numId w:val="2"/>
        </w:numPr>
        <w:spacing w:after="80"/>
      </w:pPr>
      <w:r>
        <w:t xml:space="preserve">Runbook evidence — reviewed and, where applicable, drilled runbook documents with version history.</w:t>
      </w:r>
    </w:p>
    <w:p>
      <w:pPr>
        <w:pStyle w:val="ListParagraph"/>
        <w:numPr>
          <w:ilvl w:val="0"/>
          <w:numId w:val="2"/>
        </w:numPr>
        <w:spacing w:after="80"/>
      </w:pPr>
      <w:r>
        <w:t xml:space="preserve">Operational documentation — current, version-controlled service documentation.</w:t>
      </w:r>
    </w:p>
    <w:p>
      <w:pPr>
        <w:pStyle w:val="ListParagraph"/>
        <w:numPr>
          <w:ilvl w:val="0"/>
          <w:numId w:val="2"/>
        </w:numPr>
        <w:spacing w:after="80"/>
      </w:pPr>
      <w:r>
        <w:t xml:space="preserve">Training evidence — training completion and sign-off records.</w:t>
      </w:r>
    </w:p>
    <w:p>
      <w:pPr>
        <w:pStyle w:val="ListParagraph"/>
        <w:numPr>
          <w:ilvl w:val="0"/>
          <w:numId w:val="2"/>
        </w:numPr>
        <w:spacing w:after="80"/>
      </w:pPr>
      <w:r>
        <w:t xml:space="preserve">Operational acceptance evidence — the signed Operational Readiness Review outcome.</w:t>
      </w:r>
    </w:p>
    <w:p>
      <w:pPr>
        <w:pBdr>
          <w:top w:val="single" w:color="AAAAAA" w:sz="4" w:space="4"/>
          <w:bottom w:val="single" w:color="AAAAAA" w:sz="4" w:space="4"/>
          <w:left w:val="single" w:color="AAAAAA" w:sz="4" w:space="4"/>
          <w:right w:val="single" w:color="AAAAAA" w:sz="4" w:space="4"/>
        </w:pBdr>
        <w:shd w:fill="F2F2F2" w:val="clear"/>
        <w:spacing w:after="200" w:before="80"/>
      </w:pPr>
      <w:r>
        <w:rPr>
          <w:i/>
          <w:iCs/>
          <w:sz w:val="20"/>
          <w:szCs w:val="20"/>
        </w:rPr>
        <w:t xml:space="preserve">No operational evidence shall be recorded in the Operational Repository unless it satisfies one of the evidence classes above with a verifiable, dated source artifact. Absent such evidence, the corresponding status field remains "Operational Readiness Not Yet Assessable."</w:t>
      </w:r>
    </w:p>
    <w:p>
      <w:pPr>
        <w:pStyle w:val="Heading1"/>
        <w:pBdr>
          <w:bottom w:val="single" w:color="1F3864" w:sz="8" w:space="4"/>
        </w:pBdr>
        <w:spacing w:after="160" w:before="360"/>
      </w:pPr>
      <w:r>
        <w:t xml:space="preserve">26. Operational Readiness Reviews</w:t>
      </w:r>
    </w:p>
    <w:p>
      <w:pPr>
        <w:spacing w:after="160" w:line="276"/>
      </w:pPr>
      <w:r>
        <w:t xml:space="preserve">Operational Readiness Reviews (ORRs) are the formal governance checkpoint at which a Work Package's readiness evidence is assessed against the Operational Acceptance Criteria in Section 24. ORRs are convened under the authority established in ERP-02 Phase A and are chaired jointly by Platform Engineering, Site Reliability Engineering, and Service Management representatives, with PMO and, where applicable, Internal Audit as observers.</w:t>
      </w:r>
    </w:p>
    <w:p>
      <w:pPr>
        <w:pStyle w:val="ListParagraph"/>
        <w:numPr>
          <w:ilvl w:val="0"/>
          <w:numId w:val="2"/>
        </w:numPr>
        <w:spacing w:after="80"/>
      </w:pPr>
      <w:r>
        <w:t xml:space="preserve">ORRs are scheduled only after a Work Package has achieved Deployment Verified status under ERP-02 Phase F.</w:t>
      </w:r>
    </w:p>
    <w:p>
      <w:pPr>
        <w:pStyle w:val="ListParagraph"/>
        <w:numPr>
          <w:ilvl w:val="0"/>
          <w:numId w:val="2"/>
        </w:numPr>
        <w:spacing w:after="80"/>
      </w:pPr>
      <w:r>
        <w:t xml:space="preserve">ORR outcomes are limited to three dispositions: Accepted, Accepted with Conditions (logged as Action Points), or Not Accepted.</w:t>
      </w:r>
    </w:p>
    <w:p>
      <w:pPr>
        <w:pStyle w:val="ListParagraph"/>
        <w:numPr>
          <w:ilvl w:val="0"/>
          <w:numId w:val="2"/>
        </w:numPr>
        <w:spacing w:after="80"/>
      </w:pPr>
      <w:r>
        <w:t xml:space="preserve">A Work Package that is Not Accepted returns to the applicable readiness workstream and does not proceed to Production Transition.</w:t>
      </w:r>
    </w:p>
    <w:p>
      <w:pPr>
        <w:pStyle w:val="ListParagraph"/>
        <w:numPr>
          <w:ilvl w:val="0"/>
          <w:numId w:val="2"/>
        </w:numPr>
        <w:spacing w:after="80"/>
      </w:pPr>
      <w:r>
        <w:t xml:space="preserve">ORR outcomes and supporting evidence are recorded in the Operational Repository (Section 31) and are subject to Internal Audit review.</w:t>
      </w:r>
    </w:p>
    <w:p>
      <w:pPr>
        <w:pStyle w:val="Heading1"/>
        <w:pBdr>
          <w:bottom w:val="single" w:color="1F3864" w:sz="8" w:space="4"/>
        </w:pBdr>
        <w:spacing w:after="160" w:before="360"/>
      </w:pPr>
      <w:r>
        <w:t xml:space="preserve">27. Operational Risk Management</w:t>
      </w:r>
    </w:p>
    <w:p>
      <w:pPr>
        <w:spacing w:after="160" w:line="276"/>
      </w:pPr>
      <w:r>
        <w:t xml:space="preserve">Operational risks identified during readiness assessment are logged, classified, and tracked through the enterprise risk mechanisms established in ERP-01 and ERP-02 Phase A, rather than through a parallel risk process specific to this document.</w:t>
      </w:r>
    </w:p>
    <w:p>
      <w:pPr>
        <w:pStyle w:val="ListParagraph"/>
        <w:numPr>
          <w:ilvl w:val="0"/>
          <w:numId w:val="2"/>
        </w:numPr>
        <w:spacing w:after="80"/>
      </w:pPr>
      <w:r>
        <w:t xml:space="preserve">Operational risks are classified by likelihood and business impact consistent with the enterprise risk taxonomy.</w:t>
      </w:r>
    </w:p>
    <w:p>
      <w:pPr>
        <w:pStyle w:val="ListParagraph"/>
        <w:numPr>
          <w:ilvl w:val="0"/>
          <w:numId w:val="2"/>
        </w:numPr>
        <w:spacing w:after="80"/>
      </w:pPr>
      <w:r>
        <w:t xml:space="preserve">Critical and High operational risks block Operational Acceptance until mitigated or formally accepted by an authorized governance body.</w:t>
      </w:r>
    </w:p>
    <w:p>
      <w:pPr>
        <w:pStyle w:val="ListParagraph"/>
        <w:numPr>
          <w:ilvl w:val="0"/>
          <w:numId w:val="2"/>
        </w:numPr>
        <w:spacing w:after="80"/>
      </w:pPr>
      <w:r>
        <w:t xml:space="preserve">Operational risk status is a standing agenda item at each Operational Readiness Review.</w:t>
      </w:r>
    </w:p>
    <w:p>
      <w:pPr>
        <w:pStyle w:val="Heading1"/>
        <w:pBdr>
          <w:bottom w:val="single" w:color="1F3864" w:sz="8" w:space="4"/>
        </w:pBdr>
        <w:spacing w:after="160" w:before="360"/>
      </w:pPr>
      <w:r>
        <w:t xml:space="preserve">28. Operational KPIs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4000"/>
        <w:gridCol w:w="2750"/>
      </w:tblGrid>
      <w:tr>
        <w:trPr>
          <w:tblHeader/>
        </w:trPr>
        <w:tc>
          <w:tcPr>
            <w:tcW w:type="dxa" w:w="2600"/>
            <w:shd w:fill="1F3864" w:val="clear"/>
            <w:tcMar>
              <w:top w:type="dxa" w:w="80"/>
              <w:left w:type="dxa" w:w="100"/>
              <w:bottom w:type="dxa" w:w="80"/>
              <w:right w:type="dxa" w:w="100"/>
            </w:tcMar>
          </w:tcPr>
          <w:p>
            <w:r>
              <w:rPr>
                <w:b/>
                <w:bCs/>
                <w:color w:val="FFFFFF"/>
                <w:sz w:val="20"/>
                <w:szCs w:val="20"/>
              </w:rPr>
              <w:t xml:space="preserve">KPI</w:t>
            </w:r>
          </w:p>
        </w:tc>
        <w:tc>
          <w:tcPr>
            <w:tcW w:type="dxa" w:w="4000"/>
            <w:shd w:fill="1F3864" w:val="clear"/>
            <w:tcMar>
              <w:top w:type="dxa" w:w="80"/>
              <w:left w:type="dxa" w:w="100"/>
              <w:bottom w:type="dxa" w:w="80"/>
              <w:right w:type="dxa" w:w="100"/>
            </w:tcMar>
          </w:tcPr>
          <w:p>
            <w:r>
              <w:rPr>
                <w:b/>
                <w:bCs/>
                <w:color w:val="FFFFFF"/>
                <w:sz w:val="20"/>
                <w:szCs w:val="20"/>
              </w:rPr>
              <w:t xml:space="preserve">Definition</w:t>
            </w:r>
          </w:p>
        </w:tc>
        <w:tc>
          <w:tcPr>
            <w:tcW w:type="dxa" w:w="2750"/>
            <w:shd w:fill="1F3864" w:val="clear"/>
            <w:tcMar>
              <w:top w:type="dxa" w:w="80"/>
              <w:left w:type="dxa" w:w="100"/>
              <w:bottom w:type="dxa" w:w="80"/>
              <w:right w:type="dxa" w:w="100"/>
            </w:tcMar>
          </w:tcPr>
          <w:p>
            <w:r>
              <w:rPr>
                <w:b/>
                <w:bCs/>
                <w:color w:val="FFFFFF"/>
                <w:sz w:val="20"/>
                <w:szCs w:val="20"/>
              </w:rPr>
              <w:t xml:space="preserve">Target</w:t>
            </w:r>
          </w:p>
        </w:tc>
      </w:tr>
      <w:tr>
        <w:tc>
          <w:tcPr>
            <w:tcW w:type="dxa" w:w="2600"/>
            <w:tcMar>
              <w:top w:type="dxa" w:w="80"/>
              <w:left w:type="dxa" w:w="100"/>
              <w:bottom w:type="dxa" w:w="80"/>
              <w:right w:type="dxa" w:w="100"/>
            </w:tcMar>
          </w:tcPr>
          <w:p>
            <w:r>
              <w:rPr>
                <w:b w:val="false"/>
                <w:bCs w:val="false"/>
                <w:sz w:val="20"/>
                <w:szCs w:val="20"/>
              </w:rPr>
              <w:t xml:space="preserve">Operational Readiness Coverage</w:t>
            </w:r>
          </w:p>
        </w:tc>
        <w:tc>
          <w:tcPr>
            <w:tcW w:type="dxa" w:w="4000"/>
            <w:tcMar>
              <w:top w:type="dxa" w:w="80"/>
              <w:left w:type="dxa" w:w="100"/>
              <w:bottom w:type="dxa" w:w="80"/>
              <w:right w:type="dxa" w:w="100"/>
            </w:tcMar>
          </w:tcPr>
          <w:p>
            <w:r>
              <w:rPr>
                <w:b w:val="false"/>
                <w:bCs w:val="false"/>
                <w:sz w:val="20"/>
                <w:szCs w:val="20"/>
              </w:rPr>
              <w:t xml:space="preserve">Percentage of realized Work Packages with a completed operational readiness assessment</w:t>
            </w:r>
          </w:p>
        </w:tc>
        <w:tc>
          <w:tcPr>
            <w:tcW w:type="dxa" w:w="2750"/>
            <w:tcMar>
              <w:top w:type="dxa" w:w="80"/>
              <w:left w:type="dxa" w:w="100"/>
              <w:bottom w:type="dxa" w:w="80"/>
              <w:right w:type="dxa" w:w="100"/>
            </w:tcMar>
          </w:tcPr>
          <w:p>
            <w:r>
              <w:rPr>
                <w:b w:val="false"/>
                <w:bCs w:val="false"/>
                <w:sz w:val="20"/>
                <w:szCs w:val="20"/>
              </w:rPr>
              <w:t xml:space="preserve">Target defined at Portfolio level per ERP-02 Phase B</w:t>
            </w:r>
          </w:p>
        </w:tc>
      </w:tr>
      <w:tr>
        <w:tc>
          <w:tcPr>
            <w:tcW w:type="dxa" w:w="2600"/>
            <w:shd w:fill="F2F5FB" w:val="clear"/>
            <w:tcMar>
              <w:top w:type="dxa" w:w="80"/>
              <w:left w:type="dxa" w:w="100"/>
              <w:bottom w:type="dxa" w:w="80"/>
              <w:right w:type="dxa" w:w="100"/>
            </w:tcMar>
          </w:tcPr>
          <w:p>
            <w:r>
              <w:rPr>
                <w:b w:val="false"/>
                <w:bCs w:val="false"/>
                <w:sz w:val="20"/>
                <w:szCs w:val="20"/>
              </w:rPr>
              <w:t xml:space="preserve">Mean Time to Detect (MTTD)</w:t>
            </w:r>
          </w:p>
        </w:tc>
        <w:tc>
          <w:tcPr>
            <w:tcW w:type="dxa" w:w="4000"/>
            <w:shd w:fill="F2F5FB" w:val="clear"/>
            <w:tcMar>
              <w:top w:type="dxa" w:w="80"/>
              <w:left w:type="dxa" w:w="100"/>
              <w:bottom w:type="dxa" w:w="80"/>
              <w:right w:type="dxa" w:w="100"/>
            </w:tcMar>
          </w:tcPr>
          <w:p>
            <w:r>
              <w:rPr>
                <w:b w:val="false"/>
                <w:bCs w:val="false"/>
                <w:sz w:val="20"/>
                <w:szCs w:val="20"/>
              </w:rPr>
              <w:t xml:space="preserve">Average time from incident onset to detection</w:t>
            </w:r>
          </w:p>
        </w:tc>
        <w:tc>
          <w:tcPr>
            <w:tcW w:type="dxa" w:w="2750"/>
            <w:shd w:fill="F2F5FB" w:val="clear"/>
            <w:tcMar>
              <w:top w:type="dxa" w:w="80"/>
              <w:left w:type="dxa" w:w="100"/>
              <w:bottom w:type="dxa" w:w="80"/>
              <w:right w:type="dxa" w:w="100"/>
            </w:tcMar>
          </w:tcPr>
          <w:p>
            <w:r>
              <w:rPr>
                <w:b w:val="false"/>
                <w:bCs w:val="false"/>
                <w:sz w:val="20"/>
                <w:szCs w:val="20"/>
              </w:rPr>
              <w:t xml:space="preserve">Per service-tier target, once monitoring readiness is established</w:t>
            </w:r>
          </w:p>
        </w:tc>
      </w:tr>
      <w:tr>
        <w:tc>
          <w:tcPr>
            <w:tcW w:type="dxa" w:w="2600"/>
            <w:tcMar>
              <w:top w:type="dxa" w:w="80"/>
              <w:left w:type="dxa" w:w="100"/>
              <w:bottom w:type="dxa" w:w="80"/>
              <w:right w:type="dxa" w:w="100"/>
            </w:tcMar>
          </w:tcPr>
          <w:p>
            <w:r>
              <w:rPr>
                <w:b w:val="false"/>
                <w:bCs w:val="false"/>
                <w:sz w:val="20"/>
                <w:szCs w:val="20"/>
              </w:rPr>
              <w:t xml:space="preserve">Mean Time to Resolve (MTTR)</w:t>
            </w:r>
          </w:p>
        </w:tc>
        <w:tc>
          <w:tcPr>
            <w:tcW w:type="dxa" w:w="4000"/>
            <w:tcMar>
              <w:top w:type="dxa" w:w="80"/>
              <w:left w:type="dxa" w:w="100"/>
              <w:bottom w:type="dxa" w:w="80"/>
              <w:right w:type="dxa" w:w="100"/>
            </w:tcMar>
          </w:tcPr>
          <w:p>
            <w:r>
              <w:rPr>
                <w:b w:val="false"/>
                <w:bCs w:val="false"/>
                <w:sz w:val="20"/>
                <w:szCs w:val="20"/>
              </w:rPr>
              <w:t xml:space="preserve">Average time from detection to resolution</w:t>
            </w:r>
          </w:p>
        </w:tc>
        <w:tc>
          <w:tcPr>
            <w:tcW w:type="dxa" w:w="2750"/>
            <w:tcMar>
              <w:top w:type="dxa" w:w="80"/>
              <w:left w:type="dxa" w:w="100"/>
              <w:bottom w:type="dxa" w:w="80"/>
              <w:right w:type="dxa" w:w="100"/>
            </w:tcMar>
          </w:tcPr>
          <w:p>
            <w:r>
              <w:rPr>
                <w:b w:val="false"/>
                <w:bCs w:val="false"/>
                <w:sz w:val="20"/>
                <w:szCs w:val="20"/>
              </w:rPr>
              <w:t xml:space="preserve">Per service-tier target, once incident management readiness is established</w:t>
            </w:r>
          </w:p>
        </w:tc>
      </w:tr>
      <w:tr>
        <w:tc>
          <w:tcPr>
            <w:tcW w:type="dxa" w:w="2600"/>
            <w:shd w:fill="F2F5FB" w:val="clear"/>
            <w:tcMar>
              <w:top w:type="dxa" w:w="80"/>
              <w:left w:type="dxa" w:w="100"/>
              <w:bottom w:type="dxa" w:w="80"/>
              <w:right w:type="dxa" w:w="100"/>
            </w:tcMar>
          </w:tcPr>
          <w:p>
            <w:r>
              <w:rPr>
                <w:b w:val="false"/>
                <w:bCs w:val="false"/>
                <w:sz w:val="20"/>
                <w:szCs w:val="20"/>
              </w:rPr>
              <w:t xml:space="preserve">Backup Verification Rate</w:t>
            </w:r>
          </w:p>
        </w:tc>
        <w:tc>
          <w:tcPr>
            <w:tcW w:type="dxa" w:w="4000"/>
            <w:shd w:fill="F2F5FB" w:val="clear"/>
            <w:tcMar>
              <w:top w:type="dxa" w:w="80"/>
              <w:left w:type="dxa" w:w="100"/>
              <w:bottom w:type="dxa" w:w="80"/>
              <w:right w:type="dxa" w:w="100"/>
            </w:tcMar>
          </w:tcPr>
          <w:p>
            <w:r>
              <w:rPr>
                <w:b w:val="false"/>
                <w:bCs w:val="false"/>
                <w:sz w:val="20"/>
                <w:szCs w:val="20"/>
              </w:rPr>
              <w:t xml:space="preserve">Percentage of scheduled backups with verified integrity</w:t>
            </w:r>
          </w:p>
        </w:tc>
        <w:tc>
          <w:tcPr>
            <w:tcW w:type="dxa" w:w="2750"/>
            <w:shd w:fill="F2F5FB" w:val="clear"/>
            <w:tcMar>
              <w:top w:type="dxa" w:w="80"/>
              <w:left w:type="dxa" w:w="100"/>
              <w:bottom w:type="dxa" w:w="80"/>
              <w:right w:type="dxa" w:w="100"/>
            </w:tcMar>
          </w:tcPr>
          <w:p>
            <w:r>
              <w:rPr>
                <w:b w:val="false"/>
                <w:bCs w:val="false"/>
                <w:sz w:val="20"/>
                <w:szCs w:val="20"/>
              </w:rPr>
              <w:t xml:space="preserve">100% for business-critical services</w:t>
            </w:r>
          </w:p>
        </w:tc>
      </w:tr>
      <w:tr>
        <w:tc>
          <w:tcPr>
            <w:tcW w:type="dxa" w:w="2600"/>
            <w:tcMar>
              <w:top w:type="dxa" w:w="80"/>
              <w:left w:type="dxa" w:w="100"/>
              <w:bottom w:type="dxa" w:w="80"/>
              <w:right w:type="dxa" w:w="100"/>
            </w:tcMar>
          </w:tcPr>
          <w:p>
            <w:r>
              <w:rPr>
                <w:b w:val="false"/>
                <w:bCs w:val="false"/>
                <w:sz w:val="20"/>
                <w:szCs w:val="20"/>
              </w:rPr>
              <w:t xml:space="preserve">Runbook Drill Completion Rate</w:t>
            </w:r>
          </w:p>
        </w:tc>
        <w:tc>
          <w:tcPr>
            <w:tcW w:type="dxa" w:w="4000"/>
            <w:tcMar>
              <w:top w:type="dxa" w:w="80"/>
              <w:left w:type="dxa" w:w="100"/>
              <w:bottom w:type="dxa" w:w="80"/>
              <w:right w:type="dxa" w:w="100"/>
            </w:tcMar>
          </w:tcPr>
          <w:p>
            <w:r>
              <w:rPr>
                <w:b w:val="false"/>
                <w:bCs w:val="false"/>
                <w:sz w:val="20"/>
                <w:szCs w:val="20"/>
              </w:rPr>
              <w:t xml:space="preserve">Percentage of business-critical runbooks validated via drill</w:t>
            </w:r>
          </w:p>
        </w:tc>
        <w:tc>
          <w:tcPr>
            <w:tcW w:type="dxa" w:w="2750"/>
            <w:tcMar>
              <w:top w:type="dxa" w:w="80"/>
              <w:left w:type="dxa" w:w="100"/>
              <w:bottom w:type="dxa" w:w="80"/>
              <w:right w:type="dxa" w:w="100"/>
            </w:tcMar>
          </w:tcPr>
          <w:p>
            <w:r>
              <w:rPr>
                <w:b w:val="false"/>
                <w:bCs w:val="false"/>
                <w:sz w:val="20"/>
                <w:szCs w:val="20"/>
              </w:rPr>
              <w:t xml:space="preserve">Target defined per Operational Readiness Review cadence</w:t>
            </w:r>
          </w:p>
        </w:tc>
      </w:tr>
      <w:tr>
        <w:tc>
          <w:tcPr>
            <w:tcW w:type="dxa" w:w="2600"/>
            <w:shd w:fill="F2F5FB" w:val="clear"/>
            <w:tcMar>
              <w:top w:type="dxa" w:w="80"/>
              <w:left w:type="dxa" w:w="100"/>
              <w:bottom w:type="dxa" w:w="80"/>
              <w:right w:type="dxa" w:w="100"/>
            </w:tcMar>
          </w:tcPr>
          <w:p>
            <w:r>
              <w:rPr>
                <w:b w:val="false"/>
                <w:bCs w:val="false"/>
                <w:sz w:val="20"/>
                <w:szCs w:val="20"/>
              </w:rPr>
              <w:t xml:space="preserve">Operational Acceptance Cycle Time</w:t>
            </w:r>
          </w:p>
        </w:tc>
        <w:tc>
          <w:tcPr>
            <w:tcW w:type="dxa" w:w="4000"/>
            <w:shd w:fill="F2F5FB" w:val="clear"/>
            <w:tcMar>
              <w:top w:type="dxa" w:w="80"/>
              <w:left w:type="dxa" w:w="100"/>
              <w:bottom w:type="dxa" w:w="80"/>
              <w:right w:type="dxa" w:w="100"/>
            </w:tcMar>
          </w:tcPr>
          <w:p>
            <w:r>
              <w:rPr>
                <w:b w:val="false"/>
                <w:bCs w:val="false"/>
                <w:sz w:val="20"/>
                <w:szCs w:val="20"/>
              </w:rPr>
              <w:t xml:space="preserve">Average time from Deployment Verified to Operational Acceptance</w:t>
            </w:r>
          </w:p>
        </w:tc>
        <w:tc>
          <w:tcPr>
            <w:tcW w:type="dxa" w:w="2750"/>
            <w:shd w:fill="F2F5FB" w:val="clear"/>
            <w:tcMar>
              <w:top w:type="dxa" w:w="80"/>
              <w:left w:type="dxa" w:w="100"/>
              <w:bottom w:type="dxa" w:w="80"/>
              <w:right w:type="dxa" w:w="100"/>
            </w:tcMar>
          </w:tcPr>
          <w:p>
            <w:r>
              <w:rPr>
                <w:b w:val="false"/>
                <w:bCs w:val="false"/>
                <w:sz w:val="20"/>
                <w:szCs w:val="20"/>
              </w:rPr>
              <w:t xml:space="preserve">Tracked for continuous improvement, no fixed target at this phase</w:t>
            </w:r>
          </w:p>
        </w:tc>
      </w:tr>
    </w:tbl>
    <w:p>
      <w:pPr>
        <w:pBdr>
          <w:top w:val="single" w:color="AAAAAA" w:sz="4" w:space="4"/>
          <w:bottom w:val="single" w:color="AAAAAA" w:sz="4" w:space="4"/>
          <w:left w:val="single" w:color="AAAAAA" w:sz="4" w:space="4"/>
          <w:right w:val="single" w:color="AAAAAA" w:sz="4" w:space="4"/>
        </w:pBdr>
        <w:shd w:fill="F2F2F2" w:val="clear"/>
        <w:spacing w:after="200" w:before="80"/>
      </w:pPr>
      <w:r>
        <w:rPr>
          <w:i/>
          <w:iCs/>
          <w:sz w:val="20"/>
          <w:szCs w:val="20"/>
        </w:rPr>
        <w:t xml:space="preserve">Baseline KPI values are Operational Readiness Not Yet Assessable pending the first cycle of Operational Readiness Reviews under this framework.</w:t>
      </w:r>
    </w:p>
    <w:p>
      <w:pPr>
        <w:pStyle w:val="Heading1"/>
        <w:pBdr>
          <w:bottom w:val="single" w:color="1F3864" w:sz="8" w:space="4"/>
        </w:pBdr>
        <w:spacing w:after="160" w:before="360"/>
      </w:pPr>
      <w:r>
        <w:t xml:space="preserve">29. Operational Dashboard Inputs</w:t>
      </w:r>
    </w:p>
    <w:p>
      <w:pPr>
        <w:spacing w:after="160" w:line="276"/>
      </w:pPr>
      <w:r>
        <w:t xml:space="preserve">This section defines the data inputs that operational readiness reporting contributes to enterprise executive dashboards; it does not define or redesign the dashboards themselves, which remain governed by their respective ERP-01 Phase C dashboard specifications.</w:t>
      </w:r>
    </w:p>
    <w:p>
      <w:pPr>
        <w:pStyle w:val="ListParagraph"/>
        <w:numPr>
          <w:ilvl w:val="0"/>
          <w:numId w:val="2"/>
        </w:numPr>
        <w:spacing w:after="80"/>
      </w:pPr>
      <w:r>
        <w:t xml:space="preserve">Operational readiness status per Work Package (Section 24 status vocabulary).</w:t>
      </w:r>
    </w:p>
    <w:p>
      <w:pPr>
        <w:pStyle w:val="ListParagraph"/>
        <w:numPr>
          <w:ilvl w:val="0"/>
          <w:numId w:val="2"/>
        </w:numPr>
        <w:spacing w:after="80"/>
      </w:pPr>
      <w:r>
        <w:t xml:space="preserve">Open operational Action Points and Variances by severity.</w:t>
      </w:r>
    </w:p>
    <w:p>
      <w:pPr>
        <w:pStyle w:val="ListParagraph"/>
        <w:numPr>
          <w:ilvl w:val="0"/>
          <w:numId w:val="2"/>
        </w:numPr>
        <w:spacing w:after="80"/>
      </w:pPr>
      <w:r>
        <w:t xml:space="preserve">Operational KPI trend data (Section 28).</w:t>
      </w:r>
    </w:p>
    <w:p>
      <w:pPr>
        <w:pStyle w:val="ListParagraph"/>
        <w:numPr>
          <w:ilvl w:val="0"/>
          <w:numId w:val="2"/>
        </w:numPr>
        <w:spacing w:after="80"/>
      </w:pPr>
      <w:r>
        <w:t xml:space="preserve">Upcoming and completed Operational Readiness Review schedule.</w:t>
      </w:r>
    </w:p>
    <w:p>
      <w:pPr>
        <w:pStyle w:val="Heading1"/>
        <w:pBdr>
          <w:bottom w:val="single" w:color="1F3864" w:sz="8" w:space="4"/>
        </w:pBdr>
        <w:spacing w:after="160" w:before="360"/>
      </w:pPr>
      <w:r>
        <w:t xml:space="preserve">30. Operational Traceability</w:t>
      </w:r>
    </w:p>
    <w:p>
      <w:pPr>
        <w:spacing w:after="160" w:line="276"/>
      </w:pPr>
      <w:r>
        <w:t xml:space="preserve">Operational readiness evidence is required to maintain unbroken traceability through the full enterprise realization chain:</w:t>
      </w:r>
    </w:p>
    <w:p>
      <w:pPr>
        <w:spacing w:after="40"/>
      </w:pPr>
      <w:r>
        <w:rPr>
          <w:b/>
          <w:bCs/>
        </w:rPr>
        <w:t xml:space="preserve">1. Architecture Requirement</w:t>
      </w:r>
    </w:p>
    <w:p>
      <w:pPr>
        <w:spacing w:after="40"/>
      </w:pPr>
      <w:r>
        <w:rPr>
          <w:color w:val="44546A"/>
        </w:rPr>
        <w:t xml:space="preserve">↓</w:t>
      </w:r>
    </w:p>
    <w:p>
      <w:pPr>
        <w:spacing w:after="40"/>
      </w:pPr>
      <w:r>
        <w:rPr>
          <w:b/>
          <w:bCs/>
        </w:rPr>
        <w:t xml:space="preserve">2. Enterprise Governance Decision</w:t>
      </w:r>
    </w:p>
    <w:p>
      <w:pPr>
        <w:spacing w:after="40"/>
      </w:pPr>
      <w:r>
        <w:rPr>
          <w:color w:val="44546A"/>
        </w:rPr>
        <w:t xml:space="preserve">↓</w:t>
      </w:r>
    </w:p>
    <w:p>
      <w:pPr>
        <w:spacing w:after="40"/>
      </w:pPr>
      <w:r>
        <w:rPr>
          <w:b/>
          <w:bCs/>
        </w:rPr>
        <w:t xml:space="preserve">3. Work Package</w:t>
      </w:r>
    </w:p>
    <w:p>
      <w:pPr>
        <w:spacing w:after="40"/>
      </w:pPr>
      <w:r>
        <w:rPr>
          <w:color w:val="44546A"/>
        </w:rPr>
        <w:t xml:space="preserve">↓</w:t>
      </w:r>
    </w:p>
    <w:p>
      <w:pPr>
        <w:spacing w:after="40"/>
      </w:pPr>
      <w:r>
        <w:rPr>
          <w:b/>
          <w:bCs/>
        </w:rPr>
        <w:t xml:space="preserve">4. Engineering Execution</w:t>
      </w:r>
    </w:p>
    <w:p>
      <w:pPr>
        <w:spacing w:after="40"/>
      </w:pPr>
      <w:r>
        <w:rPr>
          <w:color w:val="44546A"/>
        </w:rPr>
        <w:t xml:space="preserve">↓</w:t>
      </w:r>
    </w:p>
    <w:p>
      <w:pPr>
        <w:spacing w:after="40"/>
      </w:pPr>
      <w:r>
        <w:rPr>
          <w:b/>
          <w:bCs/>
        </w:rPr>
        <w:t xml:space="preserve">5. Realization</w:t>
      </w:r>
    </w:p>
    <w:p>
      <w:pPr>
        <w:spacing w:after="40"/>
      </w:pPr>
      <w:r>
        <w:rPr>
          <w:color w:val="44546A"/>
        </w:rPr>
        <w:t xml:space="preserve">↓</w:t>
      </w:r>
    </w:p>
    <w:p>
      <w:pPr>
        <w:spacing w:after="40"/>
      </w:pPr>
      <w:r>
        <w:rPr>
          <w:b/>
          <w:bCs/>
        </w:rPr>
        <w:t xml:space="preserve">6. Compliance</w:t>
      </w:r>
    </w:p>
    <w:p>
      <w:pPr>
        <w:spacing w:after="40"/>
      </w:pPr>
      <w:r>
        <w:rPr>
          <w:color w:val="44546A"/>
        </w:rPr>
        <w:t xml:space="preserve">↓</w:t>
      </w:r>
    </w:p>
    <w:p>
      <w:pPr>
        <w:spacing w:after="40"/>
      </w:pPr>
      <w:r>
        <w:rPr>
          <w:b/>
          <w:bCs/>
        </w:rPr>
        <w:t xml:space="preserve">7. Release</w:t>
      </w:r>
    </w:p>
    <w:p>
      <w:pPr>
        <w:spacing w:after="40"/>
      </w:pPr>
      <w:r>
        <w:rPr>
          <w:color w:val="44546A"/>
        </w:rPr>
        <w:t xml:space="preserve">↓</w:t>
      </w:r>
    </w:p>
    <w:p>
      <w:pPr>
        <w:spacing w:after="40"/>
      </w:pPr>
      <w:r>
        <w:rPr>
          <w:b/>
          <w:bCs/>
        </w:rPr>
        <w:t xml:space="preserve">8. Deployment</w:t>
      </w:r>
    </w:p>
    <w:p>
      <w:pPr>
        <w:spacing w:after="40"/>
      </w:pPr>
      <w:r>
        <w:rPr>
          <w:color w:val="44546A"/>
        </w:rPr>
        <w:t xml:space="preserve">↓</w:t>
      </w:r>
    </w:p>
    <w:p>
      <w:pPr>
        <w:spacing w:after="40"/>
      </w:pPr>
      <w:r>
        <w:rPr>
          <w:b/>
          <w:bCs/>
        </w:rPr>
        <w:t xml:space="preserve">9. Operational Readiness</w:t>
      </w:r>
    </w:p>
    <w:p>
      <w:pPr>
        <w:spacing w:after="40"/>
      </w:pPr>
      <w:r>
        <w:rPr>
          <w:color w:val="44546A"/>
        </w:rPr>
        <w:t xml:space="preserve">↓</w:t>
      </w:r>
    </w:p>
    <w:p>
      <w:pPr>
        <w:spacing w:after="40"/>
      </w:pPr>
      <w:r>
        <w:rPr>
          <w:b/>
          <w:bCs/>
        </w:rPr>
        <w:t xml:space="preserve">10. Production Transition</w:t>
      </w:r>
    </w:p>
    <w:p>
      <w:pPr>
        <w:spacing w:after="160" w:line="276"/>
      </w:pPr>
      <w:r>
        <w:t xml:space="preserve">No traceability link in this chain may be broken by an operational readiness artifact. Where an operational readiness finding cannot be traced to its originating Architecture Requirement and Work Package, it is not admissible as evidence under this framework.</w:t>
      </w:r>
    </w:p>
    <w:p>
      <w:pPr>
        <w:pStyle w:val="Heading1"/>
        <w:pBdr>
          <w:bottom w:val="single" w:color="1F3864" w:sz="8" w:space="4"/>
        </w:pBdr>
        <w:spacing w:after="160" w:before="360"/>
      </w:pPr>
      <w:r>
        <w:t xml:space="preserve">31. Operational Repository</w:t>
      </w:r>
    </w:p>
    <w:p>
      <w:pPr>
        <w:spacing w:after="160" w:line="276"/>
      </w:pPr>
      <w:r>
        <w:t xml:space="preserve">The Operational Repository is the designated system of record for all operational readiness evidence referenced in this document. It is a target-state repository capability; where the physical repository has not yet been implemented, this section reserves its structure for future realization without asserting that the repository currently exists in operation.</w:t>
      </w:r>
    </w:p>
    <w:p>
      <w:pPr>
        <w:pStyle w:val="ListParagraph"/>
        <w:numPr>
          <w:ilvl w:val="0"/>
          <w:numId w:val="2"/>
        </w:numPr>
        <w:spacing w:after="80"/>
      </w:pPr>
      <w:r>
        <w:t xml:space="preserve">Each Work Package has a single Operational Readiness record containing its current status, evidence links, open risks, and ORR history.</w:t>
      </w:r>
    </w:p>
    <w:p>
      <w:pPr>
        <w:pStyle w:val="ListParagraph"/>
        <w:numPr>
          <w:ilvl w:val="0"/>
          <w:numId w:val="2"/>
        </w:numPr>
        <w:spacing w:after="80"/>
      </w:pPr>
      <w:r>
        <w:t xml:space="preserve">The Operational Repository is version-controlled and auditable, consistent with the repository philosophy established across ERP-01 and ERP-02.</w:t>
      </w:r>
    </w:p>
    <w:p>
      <w:pPr>
        <w:pStyle w:val="ListParagraph"/>
        <w:numPr>
          <w:ilvl w:val="0"/>
          <w:numId w:val="2"/>
        </w:numPr>
        <w:spacing w:after="80"/>
      </w:pPr>
      <w:r>
        <w:t xml:space="preserve">Access to the Operational Repository is governed by the same role model established under ERP-02 Phase A.</w:t>
      </w:r>
    </w:p>
    <w:p>
      <w:pPr>
        <w:pBdr>
          <w:top w:val="single" w:color="AAAAAA" w:sz="4" w:space="4"/>
          <w:bottom w:val="single" w:color="AAAAAA" w:sz="4" w:space="4"/>
          <w:left w:val="single" w:color="AAAAAA" w:sz="4" w:space="4"/>
          <w:right w:val="single" w:color="AAAAAA" w:sz="4" w:space="4"/>
        </w:pBdr>
        <w:shd w:fill="F2F2F2" w:val="clear"/>
        <w:spacing w:after="200" w:before="80"/>
      </w:pPr>
      <w:r>
        <w:rPr>
          <w:i/>
          <w:iCs/>
          <w:sz w:val="20"/>
          <w:szCs w:val="20"/>
        </w:rPr>
        <w:t xml:space="preserve">Reserved for Future Realization Phases where the physical Operational Repository system has not yet been implemented.</w:t>
      </w:r>
    </w:p>
    <w:p>
      <w:pPr>
        <w:pStyle w:val="Heading2"/>
        <w:spacing w:after="120" w:before="240"/>
      </w:pPr>
      <w:r>
        <w:t xml:space="preserve">31.1 Work Package Operational Readiness Register</w:t>
      </w:r>
    </w:p>
    <w:p>
      <w:pPr>
        <w:spacing w:after="160" w:line="276"/>
      </w:pPr>
      <w:r>
        <w:t xml:space="preserve">The register below reuses Work Package identifiers exactly as they exist in the repository baseline, without modification, reinterpretation, or renumbering. No Work Package identifier, Architecture Requirement, or Enterprise Governance Decision is altered by this document.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4650"/>
        <w:gridCol w:w="2500"/>
      </w:tblGrid>
      <w:tr>
        <w:trPr>
          <w:tblHeader/>
        </w:trPr>
        <w:tc>
          <w:tcPr>
            <w:tcW w:type="dxa" w:w="2200"/>
            <w:shd w:fill="1F3864" w:val="clear"/>
            <w:tcMar>
              <w:top w:type="dxa" w:w="80"/>
              <w:left w:type="dxa" w:w="100"/>
              <w:bottom w:type="dxa" w:w="80"/>
              <w:right w:type="dxa" w:w="100"/>
            </w:tcMar>
          </w:tcPr>
          <w:p>
            <w:r>
              <w:rPr>
                <w:b/>
                <w:bCs/>
                <w:color w:val="FFFFFF"/>
                <w:sz w:val="20"/>
                <w:szCs w:val="20"/>
              </w:rPr>
              <w:t xml:space="preserve">Work Package</w:t>
            </w:r>
          </w:p>
        </w:tc>
        <w:tc>
          <w:tcPr>
            <w:tcW w:type="dxa" w:w="4650"/>
            <w:shd w:fill="1F3864" w:val="clear"/>
            <w:tcMar>
              <w:top w:type="dxa" w:w="80"/>
              <w:left w:type="dxa" w:w="100"/>
              <w:bottom w:type="dxa" w:w="80"/>
              <w:right w:type="dxa" w:w="100"/>
            </w:tcMar>
          </w:tcPr>
          <w:p>
            <w:r>
              <w:rPr>
                <w:b/>
                <w:bCs/>
                <w:color w:val="FFFFFF"/>
                <w:sz w:val="20"/>
                <w:szCs w:val="20"/>
              </w:rPr>
              <w:t xml:space="preserve">Operational Prerequisite Category</w:t>
            </w:r>
          </w:p>
        </w:tc>
        <w:tc>
          <w:tcPr>
            <w:tcW w:type="dxa" w:w="2500"/>
            <w:shd w:fill="1F3864" w:val="clear"/>
            <w:tcMar>
              <w:top w:type="dxa" w:w="80"/>
              <w:left w:type="dxa" w:w="100"/>
              <w:bottom w:type="dxa" w:w="80"/>
              <w:right w:type="dxa" w:w="100"/>
            </w:tcMar>
          </w:tcPr>
          <w:p>
            <w:r>
              <w:rPr>
                <w:b/>
                <w:bCs/>
                <w:color w:val="FFFFFF"/>
                <w:sz w:val="20"/>
                <w:szCs w:val="20"/>
              </w:rPr>
              <w:t xml:space="preserve">Current Operational Readiness Status</w:t>
            </w:r>
          </w:p>
        </w:tc>
      </w:tr>
      <w:tr>
        <w:tc>
          <w:tcPr>
            <w:tcW w:type="dxa" w:w="2200"/>
            <w:tcMar>
              <w:top w:type="dxa" w:w="80"/>
              <w:left w:type="dxa" w:w="100"/>
              <w:bottom w:type="dxa" w:w="80"/>
              <w:right w:type="dxa" w:w="100"/>
            </w:tcMar>
          </w:tcPr>
          <w:p>
            <w:r>
              <w:rPr>
                <w:b w:val="false"/>
                <w:bCs w:val="false"/>
                <w:sz w:val="20"/>
                <w:szCs w:val="20"/>
              </w:rPr>
              <w:t xml:space="preserve">WP-ARCH-01A</w:t>
            </w:r>
          </w:p>
        </w:tc>
        <w:tc>
          <w:tcPr>
            <w:tcW w:type="dxa" w:w="4650"/>
            <w:tcMar>
              <w:top w:type="dxa" w:w="80"/>
              <w:left w:type="dxa" w:w="100"/>
              <w:bottom w:type="dxa" w:w="80"/>
              <w:right w:type="dxa" w:w="100"/>
            </w:tcMar>
          </w:tcPr>
          <w:p>
            <w:r>
              <w:rPr>
                <w:b w:val="false"/>
                <w:bCs w:val="false"/>
                <w:sz w:val="20"/>
                <w:szCs w:val="20"/>
              </w:rPr>
              <w:t xml:space="preserve">Service, monitoring, logging, documentation, runbook, backup/recovery, and acceptance prerequisites as defined in Section 10</w:t>
            </w:r>
          </w:p>
        </w:tc>
        <w:tc>
          <w:tcPr>
            <w:tcW w:type="dxa" w:w="2500"/>
            <w:tcMar>
              <w:top w:type="dxa" w:w="80"/>
              <w:left w:type="dxa" w:w="100"/>
              <w:bottom w:type="dxa" w:w="80"/>
              <w:right w:type="dxa" w:w="100"/>
            </w:tcMar>
          </w:tcPr>
          <w:p>
            <w:r>
              <w:rPr>
                <w:b w:val="false"/>
                <w:bCs w:val="false"/>
                <w:sz w:val="20"/>
                <w:szCs w:val="20"/>
              </w:rPr>
              <w:t xml:space="preserve">Operational Readiness Not Yet Assessable</w:t>
            </w:r>
          </w:p>
        </w:tc>
      </w:tr>
      <w:tr>
        <w:tc>
          <w:tcPr>
            <w:tcW w:type="dxa" w:w="2200"/>
            <w:shd w:fill="F2F5FB" w:val="clear"/>
            <w:tcMar>
              <w:top w:type="dxa" w:w="80"/>
              <w:left w:type="dxa" w:w="100"/>
              <w:bottom w:type="dxa" w:w="80"/>
              <w:right w:type="dxa" w:w="100"/>
            </w:tcMar>
          </w:tcPr>
          <w:p>
            <w:r>
              <w:rPr>
                <w:b w:val="false"/>
                <w:bCs w:val="false"/>
                <w:sz w:val="20"/>
                <w:szCs w:val="20"/>
              </w:rPr>
              <w:t xml:space="preserve">WP-ARCH-01B</w:t>
            </w:r>
          </w:p>
        </w:tc>
        <w:tc>
          <w:tcPr>
            <w:tcW w:type="dxa" w:w="4650"/>
            <w:shd w:fill="F2F5FB" w:val="clear"/>
            <w:tcMar>
              <w:top w:type="dxa" w:w="80"/>
              <w:left w:type="dxa" w:w="100"/>
              <w:bottom w:type="dxa" w:w="80"/>
              <w:right w:type="dxa" w:w="100"/>
            </w:tcMar>
          </w:tcPr>
          <w:p>
            <w:r>
              <w:rPr>
                <w:b w:val="false"/>
                <w:bCs w:val="false"/>
                <w:sz w:val="20"/>
                <w:szCs w:val="20"/>
              </w:rPr>
              <w:t xml:space="preserve">Service, monitoring, logging, documentation, runbook, backup/recovery, and acceptance prerequisites as defined in Section 10</w:t>
            </w:r>
          </w:p>
        </w:tc>
        <w:tc>
          <w:tcPr>
            <w:tcW w:type="dxa" w:w="2500"/>
            <w:shd w:fill="F2F5FB" w:val="clear"/>
            <w:tcMar>
              <w:top w:type="dxa" w:w="80"/>
              <w:left w:type="dxa" w:w="100"/>
              <w:bottom w:type="dxa" w:w="80"/>
              <w:right w:type="dxa" w:w="100"/>
            </w:tcMar>
          </w:tcPr>
          <w:p>
            <w:r>
              <w:rPr>
                <w:b w:val="false"/>
                <w:bCs w:val="false"/>
                <w:sz w:val="20"/>
                <w:szCs w:val="20"/>
              </w:rPr>
              <w:t xml:space="preserve">Operational Readiness Not Yet Assessable</w:t>
            </w:r>
          </w:p>
        </w:tc>
      </w:tr>
      <w:tr>
        <w:tc>
          <w:tcPr>
            <w:tcW w:type="dxa" w:w="2200"/>
            <w:tcMar>
              <w:top w:type="dxa" w:w="80"/>
              <w:left w:type="dxa" w:w="100"/>
              <w:bottom w:type="dxa" w:w="80"/>
              <w:right w:type="dxa" w:w="100"/>
            </w:tcMar>
          </w:tcPr>
          <w:p>
            <w:r>
              <w:rPr>
                <w:b w:val="false"/>
                <w:bCs w:val="false"/>
                <w:sz w:val="20"/>
                <w:szCs w:val="20"/>
              </w:rPr>
              <w:t xml:space="preserve">WP-ARCH-01C</w:t>
            </w:r>
          </w:p>
        </w:tc>
        <w:tc>
          <w:tcPr>
            <w:tcW w:type="dxa" w:w="4650"/>
            <w:tcMar>
              <w:top w:type="dxa" w:w="80"/>
              <w:left w:type="dxa" w:w="100"/>
              <w:bottom w:type="dxa" w:w="80"/>
              <w:right w:type="dxa" w:w="100"/>
            </w:tcMar>
          </w:tcPr>
          <w:p>
            <w:r>
              <w:rPr>
                <w:b w:val="false"/>
                <w:bCs w:val="false"/>
                <w:sz w:val="20"/>
                <w:szCs w:val="20"/>
              </w:rPr>
              <w:t xml:space="preserve">Service, monitoring, logging, documentation, runbook, backup/recovery, and acceptance prerequisites as defined in Section 10</w:t>
            </w:r>
          </w:p>
        </w:tc>
        <w:tc>
          <w:tcPr>
            <w:tcW w:type="dxa" w:w="2500"/>
            <w:tcMar>
              <w:top w:type="dxa" w:w="80"/>
              <w:left w:type="dxa" w:w="100"/>
              <w:bottom w:type="dxa" w:w="80"/>
              <w:right w:type="dxa" w:w="100"/>
            </w:tcMar>
          </w:tcPr>
          <w:p>
            <w:r>
              <w:rPr>
                <w:b w:val="false"/>
                <w:bCs w:val="false"/>
                <w:sz w:val="20"/>
                <w:szCs w:val="20"/>
              </w:rPr>
              <w:t xml:space="preserve">Operational Readiness Not Yet Assessable</w:t>
            </w:r>
          </w:p>
        </w:tc>
      </w:tr>
      <w:tr>
        <w:tc>
          <w:tcPr>
            <w:tcW w:type="dxa" w:w="2200"/>
            <w:shd w:fill="F2F5FB" w:val="clear"/>
            <w:tcMar>
              <w:top w:type="dxa" w:w="80"/>
              <w:left w:type="dxa" w:w="100"/>
              <w:bottom w:type="dxa" w:w="80"/>
              <w:right w:type="dxa" w:w="100"/>
            </w:tcMar>
          </w:tcPr>
          <w:p>
            <w:r>
              <w:rPr>
                <w:b w:val="false"/>
                <w:bCs w:val="false"/>
                <w:sz w:val="20"/>
                <w:szCs w:val="20"/>
              </w:rPr>
              <w:t xml:space="preserve">WP-ARCH-01D</w:t>
            </w:r>
          </w:p>
        </w:tc>
        <w:tc>
          <w:tcPr>
            <w:tcW w:type="dxa" w:w="4650"/>
            <w:shd w:fill="F2F5FB" w:val="clear"/>
            <w:tcMar>
              <w:top w:type="dxa" w:w="80"/>
              <w:left w:type="dxa" w:w="100"/>
              <w:bottom w:type="dxa" w:w="80"/>
              <w:right w:type="dxa" w:w="100"/>
            </w:tcMar>
          </w:tcPr>
          <w:p>
            <w:r>
              <w:rPr>
                <w:b w:val="false"/>
                <w:bCs w:val="false"/>
                <w:sz w:val="20"/>
                <w:szCs w:val="20"/>
              </w:rPr>
              <w:t xml:space="preserve">Service, monitoring, logging, documentation, runbook, backup/recovery, and acceptance prerequisites as defined in Section 10</w:t>
            </w:r>
          </w:p>
        </w:tc>
        <w:tc>
          <w:tcPr>
            <w:tcW w:type="dxa" w:w="2500"/>
            <w:shd w:fill="F2F5FB" w:val="clear"/>
            <w:tcMar>
              <w:top w:type="dxa" w:w="80"/>
              <w:left w:type="dxa" w:w="100"/>
              <w:bottom w:type="dxa" w:w="80"/>
              <w:right w:type="dxa" w:w="100"/>
            </w:tcMar>
          </w:tcPr>
          <w:p>
            <w:r>
              <w:rPr>
                <w:b w:val="false"/>
                <w:bCs w:val="false"/>
                <w:sz w:val="20"/>
                <w:szCs w:val="20"/>
              </w:rPr>
              <w:t xml:space="preserve">Operational Readiness Not Yet Assessable</w:t>
            </w:r>
          </w:p>
        </w:tc>
      </w:tr>
      <w:tr>
        <w:tc>
          <w:tcPr>
            <w:tcW w:type="dxa" w:w="2200"/>
            <w:tcMar>
              <w:top w:type="dxa" w:w="80"/>
              <w:left w:type="dxa" w:w="100"/>
              <w:bottom w:type="dxa" w:w="80"/>
              <w:right w:type="dxa" w:w="100"/>
            </w:tcMar>
          </w:tcPr>
          <w:p>
            <w:r>
              <w:rPr>
                <w:b w:val="false"/>
                <w:bCs w:val="false"/>
                <w:sz w:val="20"/>
                <w:szCs w:val="20"/>
              </w:rPr>
              <w:t xml:space="preserve">WP-ARCH-01E</w:t>
            </w:r>
          </w:p>
        </w:tc>
        <w:tc>
          <w:tcPr>
            <w:tcW w:type="dxa" w:w="4650"/>
            <w:tcMar>
              <w:top w:type="dxa" w:w="80"/>
              <w:left w:type="dxa" w:w="100"/>
              <w:bottom w:type="dxa" w:w="80"/>
              <w:right w:type="dxa" w:w="100"/>
            </w:tcMar>
          </w:tcPr>
          <w:p>
            <w:r>
              <w:rPr>
                <w:b w:val="false"/>
                <w:bCs w:val="false"/>
                <w:sz w:val="20"/>
                <w:szCs w:val="20"/>
              </w:rPr>
              <w:t xml:space="preserve">Service, monitoring, logging, documentation, runbook, backup/recovery, and acceptance prerequisites as defined in Section 10</w:t>
            </w:r>
          </w:p>
        </w:tc>
        <w:tc>
          <w:tcPr>
            <w:tcW w:type="dxa" w:w="2500"/>
            <w:tcMar>
              <w:top w:type="dxa" w:w="80"/>
              <w:left w:type="dxa" w:w="100"/>
              <w:bottom w:type="dxa" w:w="80"/>
              <w:right w:type="dxa" w:w="100"/>
            </w:tcMar>
          </w:tcPr>
          <w:p>
            <w:r>
              <w:rPr>
                <w:b w:val="false"/>
                <w:bCs w:val="false"/>
                <w:sz w:val="20"/>
                <w:szCs w:val="20"/>
              </w:rPr>
              <w:t xml:space="preserve">Operational Readiness Not Yet Assessable</w:t>
            </w:r>
          </w:p>
        </w:tc>
      </w:tr>
      <w:tr>
        <w:tc>
          <w:tcPr>
            <w:tcW w:type="dxa" w:w="2200"/>
            <w:shd w:fill="F2F5FB" w:val="clear"/>
            <w:tcMar>
              <w:top w:type="dxa" w:w="80"/>
              <w:left w:type="dxa" w:w="100"/>
              <w:bottom w:type="dxa" w:w="80"/>
              <w:right w:type="dxa" w:w="100"/>
            </w:tcMar>
          </w:tcPr>
          <w:p>
            <w:r>
              <w:rPr>
                <w:b w:val="false"/>
                <w:bCs w:val="false"/>
                <w:sz w:val="20"/>
                <w:szCs w:val="20"/>
              </w:rPr>
              <w:t xml:space="preserve">WP-ARCH-01F</w:t>
            </w:r>
          </w:p>
        </w:tc>
        <w:tc>
          <w:tcPr>
            <w:tcW w:type="dxa" w:w="4650"/>
            <w:shd w:fill="F2F5FB" w:val="clear"/>
            <w:tcMar>
              <w:top w:type="dxa" w:w="80"/>
              <w:left w:type="dxa" w:w="100"/>
              <w:bottom w:type="dxa" w:w="80"/>
              <w:right w:type="dxa" w:w="100"/>
            </w:tcMar>
          </w:tcPr>
          <w:p>
            <w:r>
              <w:rPr>
                <w:b w:val="false"/>
                <w:bCs w:val="false"/>
                <w:sz w:val="20"/>
                <w:szCs w:val="20"/>
              </w:rPr>
              <w:t xml:space="preserve">Service, monitoring, logging, documentation, runbook, backup/recovery, and acceptance prerequisites as defined in Section 10</w:t>
            </w:r>
          </w:p>
        </w:tc>
        <w:tc>
          <w:tcPr>
            <w:tcW w:type="dxa" w:w="2500"/>
            <w:shd w:fill="F2F5FB" w:val="clear"/>
            <w:tcMar>
              <w:top w:type="dxa" w:w="80"/>
              <w:left w:type="dxa" w:w="100"/>
              <w:bottom w:type="dxa" w:w="80"/>
              <w:right w:type="dxa" w:w="100"/>
            </w:tcMar>
          </w:tcPr>
          <w:p>
            <w:r>
              <w:rPr>
                <w:b w:val="false"/>
                <w:bCs w:val="false"/>
                <w:sz w:val="20"/>
                <w:szCs w:val="20"/>
              </w:rPr>
              <w:t xml:space="preserve">Operational Readiness Not Yet Assessable</w:t>
            </w:r>
          </w:p>
        </w:tc>
      </w:tr>
      <w:tr>
        <w:tc>
          <w:tcPr>
            <w:tcW w:type="dxa" w:w="2200"/>
            <w:tcMar>
              <w:top w:type="dxa" w:w="80"/>
              <w:left w:type="dxa" w:w="100"/>
              <w:bottom w:type="dxa" w:w="80"/>
              <w:right w:type="dxa" w:w="100"/>
            </w:tcMar>
          </w:tcPr>
          <w:p>
            <w:r>
              <w:rPr>
                <w:b w:val="false"/>
                <w:bCs w:val="false"/>
                <w:sz w:val="20"/>
                <w:szCs w:val="20"/>
              </w:rPr>
              <w:t xml:space="preserve">WP-DB-01</w:t>
            </w:r>
          </w:p>
        </w:tc>
        <w:tc>
          <w:tcPr>
            <w:tcW w:type="dxa" w:w="4650"/>
            <w:tcMar>
              <w:top w:type="dxa" w:w="80"/>
              <w:left w:type="dxa" w:w="100"/>
              <w:bottom w:type="dxa" w:w="80"/>
              <w:right w:type="dxa" w:w="100"/>
            </w:tcMar>
          </w:tcPr>
          <w:p>
            <w:r>
              <w:rPr>
                <w:b w:val="false"/>
                <w:bCs w:val="false"/>
                <w:sz w:val="20"/>
                <w:szCs w:val="20"/>
              </w:rPr>
              <w:t xml:space="preserve">Service, monitoring, logging, documentation, runbook, backup/recovery, and acceptance prerequisites as defined in Section 10</w:t>
            </w:r>
          </w:p>
        </w:tc>
        <w:tc>
          <w:tcPr>
            <w:tcW w:type="dxa" w:w="2500"/>
            <w:tcMar>
              <w:top w:type="dxa" w:w="80"/>
              <w:left w:type="dxa" w:w="100"/>
              <w:bottom w:type="dxa" w:w="80"/>
              <w:right w:type="dxa" w:w="100"/>
            </w:tcMar>
          </w:tcPr>
          <w:p>
            <w:r>
              <w:rPr>
                <w:b w:val="false"/>
                <w:bCs w:val="false"/>
                <w:sz w:val="20"/>
                <w:szCs w:val="20"/>
              </w:rPr>
              <w:t xml:space="preserve">Operational Readiness Not Yet Assessable</w:t>
            </w:r>
          </w:p>
        </w:tc>
      </w:tr>
      <w:tr>
        <w:tc>
          <w:tcPr>
            <w:tcW w:type="dxa" w:w="2200"/>
            <w:shd w:fill="F2F5FB" w:val="clear"/>
            <w:tcMar>
              <w:top w:type="dxa" w:w="80"/>
              <w:left w:type="dxa" w:w="100"/>
              <w:bottom w:type="dxa" w:w="80"/>
              <w:right w:type="dxa" w:w="100"/>
            </w:tcMar>
          </w:tcPr>
          <w:p>
            <w:r>
              <w:rPr>
                <w:b w:val="false"/>
                <w:bCs w:val="false"/>
                <w:sz w:val="20"/>
                <w:szCs w:val="20"/>
              </w:rPr>
              <w:t xml:space="preserve">WP-DB-01A</w:t>
            </w:r>
          </w:p>
        </w:tc>
        <w:tc>
          <w:tcPr>
            <w:tcW w:type="dxa" w:w="4650"/>
            <w:shd w:fill="F2F5FB" w:val="clear"/>
            <w:tcMar>
              <w:top w:type="dxa" w:w="80"/>
              <w:left w:type="dxa" w:w="100"/>
              <w:bottom w:type="dxa" w:w="80"/>
              <w:right w:type="dxa" w:w="100"/>
            </w:tcMar>
          </w:tcPr>
          <w:p>
            <w:r>
              <w:rPr>
                <w:b w:val="false"/>
                <w:bCs w:val="false"/>
                <w:sz w:val="20"/>
                <w:szCs w:val="20"/>
              </w:rPr>
              <w:t xml:space="preserve">Service, monitoring, logging, documentation, runbook, backup/recovery, and acceptance prerequisites as defined in Section 10</w:t>
            </w:r>
          </w:p>
        </w:tc>
        <w:tc>
          <w:tcPr>
            <w:tcW w:type="dxa" w:w="2500"/>
            <w:shd w:fill="F2F5FB" w:val="clear"/>
            <w:tcMar>
              <w:top w:type="dxa" w:w="80"/>
              <w:left w:type="dxa" w:w="100"/>
              <w:bottom w:type="dxa" w:w="80"/>
              <w:right w:type="dxa" w:w="100"/>
            </w:tcMar>
          </w:tcPr>
          <w:p>
            <w:r>
              <w:rPr>
                <w:b w:val="false"/>
                <w:bCs w:val="false"/>
                <w:sz w:val="20"/>
                <w:szCs w:val="20"/>
              </w:rPr>
              <w:t xml:space="preserve">Operational Readiness Not Yet Assessable</w:t>
            </w:r>
          </w:p>
        </w:tc>
      </w:tr>
      <w:tr>
        <w:tc>
          <w:tcPr>
            <w:tcW w:type="dxa" w:w="2200"/>
            <w:tcMar>
              <w:top w:type="dxa" w:w="80"/>
              <w:left w:type="dxa" w:w="100"/>
              <w:bottom w:type="dxa" w:w="80"/>
              <w:right w:type="dxa" w:w="100"/>
            </w:tcMar>
          </w:tcPr>
          <w:p>
            <w:r>
              <w:rPr>
                <w:b w:val="false"/>
                <w:bCs w:val="false"/>
                <w:sz w:val="20"/>
                <w:szCs w:val="20"/>
              </w:rPr>
              <w:t xml:space="preserve">WP-EXEC-01</w:t>
            </w:r>
          </w:p>
        </w:tc>
        <w:tc>
          <w:tcPr>
            <w:tcW w:type="dxa" w:w="4650"/>
            <w:tcMar>
              <w:top w:type="dxa" w:w="80"/>
              <w:left w:type="dxa" w:w="100"/>
              <w:bottom w:type="dxa" w:w="80"/>
              <w:right w:type="dxa" w:w="100"/>
            </w:tcMar>
          </w:tcPr>
          <w:p>
            <w:r>
              <w:rPr>
                <w:b w:val="false"/>
                <w:bCs w:val="false"/>
                <w:sz w:val="20"/>
                <w:szCs w:val="20"/>
              </w:rPr>
              <w:t xml:space="preserve">Service, monitoring, logging, documentation, runbook, backup/recovery, and acceptance prerequisites as defined in Section 10</w:t>
            </w:r>
          </w:p>
        </w:tc>
        <w:tc>
          <w:tcPr>
            <w:tcW w:type="dxa" w:w="2500"/>
            <w:tcMar>
              <w:top w:type="dxa" w:w="80"/>
              <w:left w:type="dxa" w:w="100"/>
              <w:bottom w:type="dxa" w:w="80"/>
              <w:right w:type="dxa" w:w="100"/>
            </w:tcMar>
          </w:tcPr>
          <w:p>
            <w:r>
              <w:rPr>
                <w:b w:val="false"/>
                <w:bCs w:val="false"/>
                <w:sz w:val="20"/>
                <w:szCs w:val="20"/>
              </w:rPr>
              <w:t xml:space="preserve">Operational Readiness Not Yet Assessable</w:t>
            </w:r>
          </w:p>
        </w:tc>
      </w:tr>
      <w:tr>
        <w:tc>
          <w:tcPr>
            <w:tcW w:type="dxa" w:w="2200"/>
            <w:shd w:fill="F2F5FB" w:val="clear"/>
            <w:tcMar>
              <w:top w:type="dxa" w:w="80"/>
              <w:left w:type="dxa" w:w="100"/>
              <w:bottom w:type="dxa" w:w="80"/>
              <w:right w:type="dxa" w:w="100"/>
            </w:tcMar>
          </w:tcPr>
          <w:p>
            <w:r>
              <w:rPr>
                <w:b w:val="false"/>
                <w:bCs w:val="false"/>
                <w:sz w:val="20"/>
                <w:szCs w:val="20"/>
              </w:rPr>
              <w:t xml:space="preserve">WP-INTEGRATION-01</w:t>
            </w:r>
          </w:p>
        </w:tc>
        <w:tc>
          <w:tcPr>
            <w:tcW w:type="dxa" w:w="4650"/>
            <w:shd w:fill="F2F5FB" w:val="clear"/>
            <w:tcMar>
              <w:top w:type="dxa" w:w="80"/>
              <w:left w:type="dxa" w:w="100"/>
              <w:bottom w:type="dxa" w:w="80"/>
              <w:right w:type="dxa" w:w="100"/>
            </w:tcMar>
          </w:tcPr>
          <w:p>
            <w:r>
              <w:rPr>
                <w:b w:val="false"/>
                <w:bCs w:val="false"/>
                <w:sz w:val="20"/>
                <w:szCs w:val="20"/>
              </w:rPr>
              <w:t xml:space="preserve">Service, monitoring, logging, documentation, runbook, backup/recovery, and acceptance prerequisites as defined in Section 10</w:t>
            </w:r>
          </w:p>
        </w:tc>
        <w:tc>
          <w:tcPr>
            <w:tcW w:type="dxa" w:w="2500"/>
            <w:shd w:fill="F2F5FB" w:val="clear"/>
            <w:tcMar>
              <w:top w:type="dxa" w:w="80"/>
              <w:left w:type="dxa" w:w="100"/>
              <w:bottom w:type="dxa" w:w="80"/>
              <w:right w:type="dxa" w:w="100"/>
            </w:tcMar>
          </w:tcPr>
          <w:p>
            <w:r>
              <w:rPr>
                <w:b w:val="false"/>
                <w:bCs w:val="false"/>
                <w:sz w:val="20"/>
                <w:szCs w:val="20"/>
              </w:rPr>
              <w:t xml:space="preserve">Operational Readiness Not Yet Assessable</w:t>
            </w:r>
          </w:p>
        </w:tc>
      </w:tr>
      <w:tr>
        <w:tc>
          <w:tcPr>
            <w:tcW w:type="dxa" w:w="2200"/>
            <w:tcMar>
              <w:top w:type="dxa" w:w="80"/>
              <w:left w:type="dxa" w:w="100"/>
              <w:bottom w:type="dxa" w:w="80"/>
              <w:right w:type="dxa" w:w="100"/>
            </w:tcMar>
          </w:tcPr>
          <w:p>
            <w:r>
              <w:rPr>
                <w:b w:val="false"/>
                <w:bCs w:val="false"/>
                <w:sz w:val="20"/>
                <w:szCs w:val="20"/>
              </w:rPr>
              <w:t xml:space="preserve">WP-INTEGRATION-02</w:t>
            </w:r>
          </w:p>
        </w:tc>
        <w:tc>
          <w:tcPr>
            <w:tcW w:type="dxa" w:w="4650"/>
            <w:tcMar>
              <w:top w:type="dxa" w:w="80"/>
              <w:left w:type="dxa" w:w="100"/>
              <w:bottom w:type="dxa" w:w="80"/>
              <w:right w:type="dxa" w:w="100"/>
            </w:tcMar>
          </w:tcPr>
          <w:p>
            <w:r>
              <w:rPr>
                <w:b w:val="false"/>
                <w:bCs w:val="false"/>
                <w:sz w:val="20"/>
                <w:szCs w:val="20"/>
              </w:rPr>
              <w:t xml:space="preserve">Service, monitoring, logging, documentation, runbook, backup/recovery, and acceptance prerequisites as defined in Section 10</w:t>
            </w:r>
          </w:p>
        </w:tc>
        <w:tc>
          <w:tcPr>
            <w:tcW w:type="dxa" w:w="2500"/>
            <w:tcMar>
              <w:top w:type="dxa" w:w="80"/>
              <w:left w:type="dxa" w:w="100"/>
              <w:bottom w:type="dxa" w:w="80"/>
              <w:right w:type="dxa" w:w="100"/>
            </w:tcMar>
          </w:tcPr>
          <w:p>
            <w:r>
              <w:rPr>
                <w:b w:val="false"/>
                <w:bCs w:val="false"/>
                <w:sz w:val="20"/>
                <w:szCs w:val="20"/>
              </w:rPr>
              <w:t xml:space="preserve">Operational Readiness Not Yet Assessable</w:t>
            </w:r>
          </w:p>
        </w:tc>
      </w:tr>
      <w:tr>
        <w:tc>
          <w:tcPr>
            <w:tcW w:type="dxa" w:w="2200"/>
            <w:shd w:fill="F2F5FB" w:val="clear"/>
            <w:tcMar>
              <w:top w:type="dxa" w:w="80"/>
              <w:left w:type="dxa" w:w="100"/>
              <w:bottom w:type="dxa" w:w="80"/>
              <w:right w:type="dxa" w:w="100"/>
            </w:tcMar>
          </w:tcPr>
          <w:p>
            <w:r>
              <w:rPr>
                <w:b w:val="false"/>
                <w:bCs w:val="false"/>
                <w:sz w:val="20"/>
                <w:szCs w:val="20"/>
              </w:rPr>
              <w:t xml:space="preserve">WP-KP-01</w:t>
            </w:r>
          </w:p>
        </w:tc>
        <w:tc>
          <w:tcPr>
            <w:tcW w:type="dxa" w:w="4650"/>
            <w:shd w:fill="F2F5FB" w:val="clear"/>
            <w:tcMar>
              <w:top w:type="dxa" w:w="80"/>
              <w:left w:type="dxa" w:w="100"/>
              <w:bottom w:type="dxa" w:w="80"/>
              <w:right w:type="dxa" w:w="100"/>
            </w:tcMar>
          </w:tcPr>
          <w:p>
            <w:r>
              <w:rPr>
                <w:b w:val="false"/>
                <w:bCs w:val="false"/>
                <w:sz w:val="20"/>
                <w:szCs w:val="20"/>
              </w:rPr>
              <w:t xml:space="preserve">Service, monitoring, logging, documentation, runbook, backup/recovery, and acceptance prerequisites as defined in Section 10</w:t>
            </w:r>
          </w:p>
        </w:tc>
        <w:tc>
          <w:tcPr>
            <w:tcW w:type="dxa" w:w="2500"/>
            <w:shd w:fill="F2F5FB" w:val="clear"/>
            <w:tcMar>
              <w:top w:type="dxa" w:w="80"/>
              <w:left w:type="dxa" w:w="100"/>
              <w:bottom w:type="dxa" w:w="80"/>
              <w:right w:type="dxa" w:w="100"/>
            </w:tcMar>
          </w:tcPr>
          <w:p>
            <w:r>
              <w:rPr>
                <w:b w:val="false"/>
                <w:bCs w:val="false"/>
                <w:sz w:val="20"/>
                <w:szCs w:val="20"/>
              </w:rPr>
              <w:t xml:space="preserve">Operational Readiness Not Yet Assessable</w:t>
            </w:r>
          </w:p>
        </w:tc>
      </w:tr>
      <w:tr>
        <w:tc>
          <w:tcPr>
            <w:tcW w:type="dxa" w:w="2200"/>
            <w:tcMar>
              <w:top w:type="dxa" w:w="80"/>
              <w:left w:type="dxa" w:w="100"/>
              <w:bottom w:type="dxa" w:w="80"/>
              <w:right w:type="dxa" w:w="100"/>
            </w:tcMar>
          </w:tcPr>
          <w:p>
            <w:r>
              <w:rPr>
                <w:b w:val="false"/>
                <w:bCs w:val="false"/>
                <w:sz w:val="20"/>
                <w:szCs w:val="20"/>
              </w:rPr>
              <w:t xml:space="preserve">WP-KD-01</w:t>
            </w:r>
          </w:p>
        </w:tc>
        <w:tc>
          <w:tcPr>
            <w:tcW w:type="dxa" w:w="4650"/>
            <w:tcMar>
              <w:top w:type="dxa" w:w="80"/>
              <w:left w:type="dxa" w:w="100"/>
              <w:bottom w:type="dxa" w:w="80"/>
              <w:right w:type="dxa" w:w="100"/>
            </w:tcMar>
          </w:tcPr>
          <w:p>
            <w:r>
              <w:rPr>
                <w:b w:val="false"/>
                <w:bCs w:val="false"/>
                <w:sz w:val="20"/>
                <w:szCs w:val="20"/>
              </w:rPr>
              <w:t xml:space="preserve">Service, monitoring, logging, documentation, runbook, backup/recovery, and acceptance prerequisites as defined in Section 10</w:t>
            </w:r>
          </w:p>
        </w:tc>
        <w:tc>
          <w:tcPr>
            <w:tcW w:type="dxa" w:w="2500"/>
            <w:tcMar>
              <w:top w:type="dxa" w:w="80"/>
              <w:left w:type="dxa" w:w="100"/>
              <w:bottom w:type="dxa" w:w="80"/>
              <w:right w:type="dxa" w:w="100"/>
            </w:tcMar>
          </w:tcPr>
          <w:p>
            <w:r>
              <w:rPr>
                <w:b w:val="false"/>
                <w:bCs w:val="false"/>
                <w:sz w:val="20"/>
                <w:szCs w:val="20"/>
              </w:rPr>
              <w:t xml:space="preserve">Operational Readiness Not Yet Assessable</w:t>
            </w:r>
          </w:p>
        </w:tc>
      </w:tr>
      <w:tr>
        <w:tc>
          <w:tcPr>
            <w:tcW w:type="dxa" w:w="2200"/>
            <w:shd w:fill="F2F5FB" w:val="clear"/>
            <w:tcMar>
              <w:top w:type="dxa" w:w="80"/>
              <w:left w:type="dxa" w:w="100"/>
              <w:bottom w:type="dxa" w:w="80"/>
              <w:right w:type="dxa" w:w="100"/>
            </w:tcMar>
          </w:tcPr>
          <w:p>
            <w:r>
              <w:rPr>
                <w:b w:val="false"/>
                <w:bCs w:val="false"/>
                <w:sz w:val="20"/>
                <w:szCs w:val="20"/>
              </w:rPr>
              <w:t xml:space="preserve">WP-KB-02</w:t>
            </w:r>
          </w:p>
        </w:tc>
        <w:tc>
          <w:tcPr>
            <w:tcW w:type="dxa" w:w="4650"/>
            <w:shd w:fill="F2F5FB" w:val="clear"/>
            <w:tcMar>
              <w:top w:type="dxa" w:w="80"/>
              <w:left w:type="dxa" w:w="100"/>
              <w:bottom w:type="dxa" w:w="80"/>
              <w:right w:type="dxa" w:w="100"/>
            </w:tcMar>
          </w:tcPr>
          <w:p>
            <w:r>
              <w:rPr>
                <w:b w:val="false"/>
                <w:bCs w:val="false"/>
                <w:sz w:val="20"/>
                <w:szCs w:val="20"/>
              </w:rPr>
              <w:t xml:space="preserve">Service, monitoring, logging, documentation, runbook, backup/recovery, and acceptance prerequisites as defined in Section 10</w:t>
            </w:r>
          </w:p>
        </w:tc>
        <w:tc>
          <w:tcPr>
            <w:tcW w:type="dxa" w:w="2500"/>
            <w:shd w:fill="F2F5FB" w:val="clear"/>
            <w:tcMar>
              <w:top w:type="dxa" w:w="80"/>
              <w:left w:type="dxa" w:w="100"/>
              <w:bottom w:type="dxa" w:w="80"/>
              <w:right w:type="dxa" w:w="100"/>
            </w:tcMar>
          </w:tcPr>
          <w:p>
            <w:r>
              <w:rPr>
                <w:b w:val="false"/>
                <w:bCs w:val="false"/>
                <w:sz w:val="20"/>
                <w:szCs w:val="20"/>
              </w:rPr>
              <w:t xml:space="preserve">Operational Readiness Not Yet Assessable</w:t>
            </w:r>
          </w:p>
        </w:tc>
      </w:tr>
      <w:tr>
        <w:tc>
          <w:tcPr>
            <w:tcW w:type="dxa" w:w="2200"/>
            <w:tcMar>
              <w:top w:type="dxa" w:w="80"/>
              <w:left w:type="dxa" w:w="100"/>
              <w:bottom w:type="dxa" w:w="80"/>
              <w:right w:type="dxa" w:w="100"/>
            </w:tcMar>
          </w:tcPr>
          <w:p>
            <w:r>
              <w:rPr>
                <w:b w:val="false"/>
                <w:bCs w:val="false"/>
                <w:sz w:val="20"/>
                <w:szCs w:val="20"/>
              </w:rPr>
              <w:t xml:space="preserve">WP-KB-03</w:t>
            </w:r>
          </w:p>
        </w:tc>
        <w:tc>
          <w:tcPr>
            <w:tcW w:type="dxa" w:w="4650"/>
            <w:tcMar>
              <w:top w:type="dxa" w:w="80"/>
              <w:left w:type="dxa" w:w="100"/>
              <w:bottom w:type="dxa" w:w="80"/>
              <w:right w:type="dxa" w:w="100"/>
            </w:tcMar>
          </w:tcPr>
          <w:p>
            <w:r>
              <w:rPr>
                <w:b w:val="false"/>
                <w:bCs w:val="false"/>
                <w:sz w:val="20"/>
                <w:szCs w:val="20"/>
              </w:rPr>
              <w:t xml:space="preserve">Service, monitoring, logging, documentation, runbook, backup/recovery, and acceptance prerequisites as defined in Section 10</w:t>
            </w:r>
          </w:p>
        </w:tc>
        <w:tc>
          <w:tcPr>
            <w:tcW w:type="dxa" w:w="2500"/>
            <w:tcMar>
              <w:top w:type="dxa" w:w="80"/>
              <w:left w:type="dxa" w:w="100"/>
              <w:bottom w:type="dxa" w:w="80"/>
              <w:right w:type="dxa" w:w="100"/>
            </w:tcMar>
          </w:tcPr>
          <w:p>
            <w:r>
              <w:rPr>
                <w:b w:val="false"/>
                <w:bCs w:val="false"/>
                <w:sz w:val="20"/>
                <w:szCs w:val="20"/>
              </w:rPr>
              <w:t xml:space="preserve">Operational Readiness Not Yet Assessable</w:t>
            </w:r>
          </w:p>
        </w:tc>
      </w:tr>
      <w:tr>
        <w:tc>
          <w:tcPr>
            <w:tcW w:type="dxa" w:w="2200"/>
            <w:shd w:fill="F2F5FB" w:val="clear"/>
            <w:tcMar>
              <w:top w:type="dxa" w:w="80"/>
              <w:left w:type="dxa" w:w="100"/>
              <w:bottom w:type="dxa" w:w="80"/>
              <w:right w:type="dxa" w:w="100"/>
            </w:tcMar>
          </w:tcPr>
          <w:p>
            <w:r>
              <w:rPr>
                <w:b w:val="false"/>
                <w:bCs w:val="false"/>
                <w:sz w:val="20"/>
                <w:szCs w:val="20"/>
              </w:rPr>
              <w:t xml:space="preserve">WP-KRA-01</w:t>
            </w:r>
          </w:p>
        </w:tc>
        <w:tc>
          <w:tcPr>
            <w:tcW w:type="dxa" w:w="4650"/>
            <w:shd w:fill="F2F5FB" w:val="clear"/>
            <w:tcMar>
              <w:top w:type="dxa" w:w="80"/>
              <w:left w:type="dxa" w:w="100"/>
              <w:bottom w:type="dxa" w:w="80"/>
              <w:right w:type="dxa" w:w="100"/>
            </w:tcMar>
          </w:tcPr>
          <w:p>
            <w:r>
              <w:rPr>
                <w:b w:val="false"/>
                <w:bCs w:val="false"/>
                <w:sz w:val="20"/>
                <w:szCs w:val="20"/>
              </w:rPr>
              <w:t xml:space="preserve">Service, monitoring, logging, documentation, runbook, backup/recovery, and acceptance prerequisites as defined in Section 10</w:t>
            </w:r>
          </w:p>
        </w:tc>
        <w:tc>
          <w:tcPr>
            <w:tcW w:type="dxa" w:w="2500"/>
            <w:shd w:fill="F2F5FB" w:val="clear"/>
            <w:tcMar>
              <w:top w:type="dxa" w:w="80"/>
              <w:left w:type="dxa" w:w="100"/>
              <w:bottom w:type="dxa" w:w="80"/>
              <w:right w:type="dxa" w:w="100"/>
            </w:tcMar>
          </w:tcPr>
          <w:p>
            <w:r>
              <w:rPr>
                <w:b w:val="false"/>
                <w:bCs w:val="false"/>
                <w:sz w:val="20"/>
                <w:szCs w:val="20"/>
              </w:rPr>
              <w:t xml:space="preserve">Operational Readiness Not Yet Assessable</w:t>
            </w:r>
          </w:p>
        </w:tc>
      </w:tr>
      <w:tr>
        <w:tc>
          <w:tcPr>
            <w:tcW w:type="dxa" w:w="2200"/>
            <w:tcMar>
              <w:top w:type="dxa" w:w="80"/>
              <w:left w:type="dxa" w:w="100"/>
              <w:bottom w:type="dxa" w:w="80"/>
              <w:right w:type="dxa" w:w="100"/>
            </w:tcMar>
          </w:tcPr>
          <w:p>
            <w:r>
              <w:rPr>
                <w:b w:val="false"/>
                <w:bCs w:val="false"/>
                <w:sz w:val="20"/>
                <w:szCs w:val="20"/>
              </w:rPr>
              <w:t xml:space="preserve">WP-DIF-01</w:t>
            </w:r>
          </w:p>
        </w:tc>
        <w:tc>
          <w:tcPr>
            <w:tcW w:type="dxa" w:w="4650"/>
            <w:tcMar>
              <w:top w:type="dxa" w:w="80"/>
              <w:left w:type="dxa" w:w="100"/>
              <w:bottom w:type="dxa" w:w="80"/>
              <w:right w:type="dxa" w:w="100"/>
            </w:tcMar>
          </w:tcPr>
          <w:p>
            <w:r>
              <w:rPr>
                <w:b w:val="false"/>
                <w:bCs w:val="false"/>
                <w:sz w:val="20"/>
                <w:szCs w:val="20"/>
              </w:rPr>
              <w:t xml:space="preserve">Service, monitoring, logging, documentation, runbook, backup/recovery, and acceptance prerequisites as defined in Section 10</w:t>
            </w:r>
          </w:p>
        </w:tc>
        <w:tc>
          <w:tcPr>
            <w:tcW w:type="dxa" w:w="2500"/>
            <w:tcMar>
              <w:top w:type="dxa" w:w="80"/>
              <w:left w:type="dxa" w:w="100"/>
              <w:bottom w:type="dxa" w:w="80"/>
              <w:right w:type="dxa" w:w="100"/>
            </w:tcMar>
          </w:tcPr>
          <w:p>
            <w:r>
              <w:rPr>
                <w:b w:val="false"/>
                <w:bCs w:val="false"/>
                <w:sz w:val="20"/>
                <w:szCs w:val="20"/>
              </w:rPr>
              <w:t xml:space="preserve">Operational Readiness Not Yet Assessable</w:t>
            </w:r>
          </w:p>
        </w:tc>
      </w:tr>
      <w:tr>
        <w:tc>
          <w:tcPr>
            <w:tcW w:type="dxa" w:w="2200"/>
            <w:shd w:fill="F2F5FB" w:val="clear"/>
            <w:tcMar>
              <w:top w:type="dxa" w:w="80"/>
              <w:left w:type="dxa" w:w="100"/>
              <w:bottom w:type="dxa" w:w="80"/>
              <w:right w:type="dxa" w:w="100"/>
            </w:tcMar>
          </w:tcPr>
          <w:p>
            <w:r>
              <w:rPr>
                <w:b w:val="false"/>
                <w:bCs w:val="false"/>
                <w:sz w:val="20"/>
                <w:szCs w:val="20"/>
              </w:rPr>
              <w:t xml:space="preserve">WP-AIC-01</w:t>
            </w:r>
          </w:p>
        </w:tc>
        <w:tc>
          <w:tcPr>
            <w:tcW w:type="dxa" w:w="4650"/>
            <w:shd w:fill="F2F5FB" w:val="clear"/>
            <w:tcMar>
              <w:top w:type="dxa" w:w="80"/>
              <w:left w:type="dxa" w:w="100"/>
              <w:bottom w:type="dxa" w:w="80"/>
              <w:right w:type="dxa" w:w="100"/>
            </w:tcMar>
          </w:tcPr>
          <w:p>
            <w:r>
              <w:rPr>
                <w:b w:val="false"/>
                <w:bCs w:val="false"/>
                <w:sz w:val="20"/>
                <w:szCs w:val="20"/>
              </w:rPr>
              <w:t xml:space="preserve">Service, monitoring, logging, documentation, runbook, backup/recovery, and acceptance prerequisites as defined in Section 10</w:t>
            </w:r>
          </w:p>
        </w:tc>
        <w:tc>
          <w:tcPr>
            <w:tcW w:type="dxa" w:w="2500"/>
            <w:shd w:fill="F2F5FB" w:val="clear"/>
            <w:tcMar>
              <w:top w:type="dxa" w:w="80"/>
              <w:left w:type="dxa" w:w="100"/>
              <w:bottom w:type="dxa" w:w="80"/>
              <w:right w:type="dxa" w:w="100"/>
            </w:tcMar>
          </w:tcPr>
          <w:p>
            <w:r>
              <w:rPr>
                <w:b w:val="false"/>
                <w:bCs w:val="false"/>
                <w:sz w:val="20"/>
                <w:szCs w:val="20"/>
              </w:rPr>
              <w:t xml:space="preserve">Operational Readiness Not Yet Assessable</w:t>
            </w:r>
          </w:p>
        </w:tc>
      </w:tr>
      <w:tr>
        <w:tc>
          <w:tcPr>
            <w:tcW w:type="dxa" w:w="2200"/>
            <w:tcMar>
              <w:top w:type="dxa" w:w="80"/>
              <w:left w:type="dxa" w:w="100"/>
              <w:bottom w:type="dxa" w:w="80"/>
              <w:right w:type="dxa" w:w="100"/>
            </w:tcMar>
          </w:tcPr>
          <w:p>
            <w:r>
              <w:rPr>
                <w:b w:val="false"/>
                <w:bCs w:val="false"/>
                <w:sz w:val="20"/>
                <w:szCs w:val="20"/>
              </w:rPr>
              <w:t xml:space="preserve">WP-ENG-01</w:t>
            </w:r>
          </w:p>
        </w:tc>
        <w:tc>
          <w:tcPr>
            <w:tcW w:type="dxa" w:w="4650"/>
            <w:tcMar>
              <w:top w:type="dxa" w:w="80"/>
              <w:left w:type="dxa" w:w="100"/>
              <w:bottom w:type="dxa" w:w="80"/>
              <w:right w:type="dxa" w:w="100"/>
            </w:tcMar>
          </w:tcPr>
          <w:p>
            <w:r>
              <w:rPr>
                <w:b w:val="false"/>
                <w:bCs w:val="false"/>
                <w:sz w:val="20"/>
                <w:szCs w:val="20"/>
              </w:rPr>
              <w:t xml:space="preserve">Service, monitoring, logging, documentation, runbook, backup/recovery, and acceptance prerequisites as defined in Section 10</w:t>
            </w:r>
          </w:p>
        </w:tc>
        <w:tc>
          <w:tcPr>
            <w:tcW w:type="dxa" w:w="2500"/>
            <w:tcMar>
              <w:top w:type="dxa" w:w="80"/>
              <w:left w:type="dxa" w:w="100"/>
              <w:bottom w:type="dxa" w:w="80"/>
              <w:right w:type="dxa" w:w="100"/>
            </w:tcMar>
          </w:tcPr>
          <w:p>
            <w:r>
              <w:rPr>
                <w:b w:val="false"/>
                <w:bCs w:val="false"/>
                <w:sz w:val="20"/>
                <w:szCs w:val="20"/>
              </w:rPr>
              <w:t xml:space="preserve">Operational Readiness Not Yet Assessable</w:t>
            </w:r>
          </w:p>
        </w:tc>
      </w:tr>
      <w:tr>
        <w:tc>
          <w:tcPr>
            <w:tcW w:type="dxa" w:w="2200"/>
            <w:shd w:fill="F2F5FB" w:val="clear"/>
            <w:tcMar>
              <w:top w:type="dxa" w:w="80"/>
              <w:left w:type="dxa" w:w="100"/>
              <w:bottom w:type="dxa" w:w="80"/>
              <w:right w:type="dxa" w:w="100"/>
            </w:tcMar>
          </w:tcPr>
          <w:p>
            <w:r>
              <w:rPr>
                <w:b w:val="false"/>
                <w:bCs w:val="false"/>
                <w:sz w:val="20"/>
                <w:szCs w:val="20"/>
              </w:rPr>
              <w:t xml:space="preserve">WP-ARB-01</w:t>
            </w:r>
          </w:p>
        </w:tc>
        <w:tc>
          <w:tcPr>
            <w:tcW w:type="dxa" w:w="4650"/>
            <w:shd w:fill="F2F5FB" w:val="clear"/>
            <w:tcMar>
              <w:top w:type="dxa" w:w="80"/>
              <w:left w:type="dxa" w:w="100"/>
              <w:bottom w:type="dxa" w:w="80"/>
              <w:right w:type="dxa" w:w="100"/>
            </w:tcMar>
          </w:tcPr>
          <w:p>
            <w:r>
              <w:rPr>
                <w:b w:val="false"/>
                <w:bCs w:val="false"/>
                <w:sz w:val="20"/>
                <w:szCs w:val="20"/>
              </w:rPr>
              <w:t xml:space="preserve">Service, monitoring, logging, documentation, runbook, backup/recovery, and acceptance prerequisites as defined in Section 10</w:t>
            </w:r>
          </w:p>
        </w:tc>
        <w:tc>
          <w:tcPr>
            <w:tcW w:type="dxa" w:w="2500"/>
            <w:shd w:fill="F2F5FB" w:val="clear"/>
            <w:tcMar>
              <w:top w:type="dxa" w:w="80"/>
              <w:left w:type="dxa" w:w="100"/>
              <w:bottom w:type="dxa" w:w="80"/>
              <w:right w:type="dxa" w:w="100"/>
            </w:tcMar>
          </w:tcPr>
          <w:p>
            <w:r>
              <w:rPr>
                <w:b w:val="false"/>
                <w:bCs w:val="false"/>
                <w:sz w:val="20"/>
                <w:szCs w:val="20"/>
              </w:rPr>
              <w:t xml:space="preserve">Operational Readiness Not Yet Assessable</w:t>
            </w:r>
          </w:p>
        </w:tc>
      </w:tr>
      <w:tr>
        <w:tc>
          <w:tcPr>
            <w:tcW w:type="dxa" w:w="2200"/>
            <w:tcMar>
              <w:top w:type="dxa" w:w="80"/>
              <w:left w:type="dxa" w:w="100"/>
              <w:bottom w:type="dxa" w:w="80"/>
              <w:right w:type="dxa" w:w="100"/>
            </w:tcMar>
          </w:tcPr>
          <w:p>
            <w:r>
              <w:rPr>
                <w:b w:val="false"/>
                <w:bCs w:val="false"/>
                <w:sz w:val="20"/>
                <w:szCs w:val="20"/>
              </w:rPr>
              <w:t xml:space="preserve">WP-AUTH-03A</w:t>
            </w:r>
          </w:p>
        </w:tc>
        <w:tc>
          <w:tcPr>
            <w:tcW w:type="dxa" w:w="4650"/>
            <w:tcMar>
              <w:top w:type="dxa" w:w="80"/>
              <w:left w:type="dxa" w:w="100"/>
              <w:bottom w:type="dxa" w:w="80"/>
              <w:right w:type="dxa" w:w="100"/>
            </w:tcMar>
          </w:tcPr>
          <w:p>
            <w:r>
              <w:rPr>
                <w:b w:val="false"/>
                <w:bCs w:val="false"/>
                <w:sz w:val="20"/>
                <w:szCs w:val="20"/>
              </w:rPr>
              <w:t xml:space="preserve">Service, monitoring, logging, documentation, runbook, backup/recovery, and acceptance prerequisites as defined in Section 10</w:t>
            </w:r>
          </w:p>
        </w:tc>
        <w:tc>
          <w:tcPr>
            <w:tcW w:type="dxa" w:w="2500"/>
            <w:tcMar>
              <w:top w:type="dxa" w:w="80"/>
              <w:left w:type="dxa" w:w="100"/>
              <w:bottom w:type="dxa" w:w="80"/>
              <w:right w:type="dxa" w:w="100"/>
            </w:tcMar>
          </w:tcPr>
          <w:p>
            <w:r>
              <w:rPr>
                <w:b w:val="false"/>
                <w:bCs w:val="false"/>
                <w:sz w:val="20"/>
                <w:szCs w:val="20"/>
              </w:rPr>
              <w:t xml:space="preserve">Operational Readiness Not Yet Assessable</w:t>
            </w:r>
          </w:p>
        </w:tc>
      </w:tr>
      <w:tr>
        <w:tc>
          <w:tcPr>
            <w:tcW w:type="dxa" w:w="2200"/>
            <w:shd w:fill="F2F5FB" w:val="clear"/>
            <w:tcMar>
              <w:top w:type="dxa" w:w="80"/>
              <w:left w:type="dxa" w:w="100"/>
              <w:bottom w:type="dxa" w:w="80"/>
              <w:right w:type="dxa" w:w="100"/>
            </w:tcMar>
          </w:tcPr>
          <w:p>
            <w:r>
              <w:rPr>
                <w:b w:val="false"/>
                <w:bCs w:val="false"/>
                <w:sz w:val="20"/>
                <w:szCs w:val="20"/>
              </w:rPr>
              <w:t xml:space="preserve">WP-AUTH-03B</w:t>
            </w:r>
          </w:p>
        </w:tc>
        <w:tc>
          <w:tcPr>
            <w:tcW w:type="dxa" w:w="4650"/>
            <w:shd w:fill="F2F5FB" w:val="clear"/>
            <w:tcMar>
              <w:top w:type="dxa" w:w="80"/>
              <w:left w:type="dxa" w:w="100"/>
              <w:bottom w:type="dxa" w:w="80"/>
              <w:right w:type="dxa" w:w="100"/>
            </w:tcMar>
          </w:tcPr>
          <w:p>
            <w:r>
              <w:rPr>
                <w:b w:val="false"/>
                <w:bCs w:val="false"/>
                <w:sz w:val="20"/>
                <w:szCs w:val="20"/>
              </w:rPr>
              <w:t xml:space="preserve">Service, monitoring, logging, documentation, runbook, backup/recovery, and acceptance prerequisites as defined in Section 10</w:t>
            </w:r>
          </w:p>
        </w:tc>
        <w:tc>
          <w:tcPr>
            <w:tcW w:type="dxa" w:w="2500"/>
            <w:shd w:fill="F2F5FB" w:val="clear"/>
            <w:tcMar>
              <w:top w:type="dxa" w:w="80"/>
              <w:left w:type="dxa" w:w="100"/>
              <w:bottom w:type="dxa" w:w="80"/>
              <w:right w:type="dxa" w:w="100"/>
            </w:tcMar>
          </w:tcPr>
          <w:p>
            <w:r>
              <w:rPr>
                <w:b w:val="false"/>
                <w:bCs w:val="false"/>
                <w:sz w:val="20"/>
                <w:szCs w:val="20"/>
              </w:rPr>
              <w:t xml:space="preserve">Operational Readiness Not Yet Assessable</w:t>
            </w:r>
          </w:p>
        </w:tc>
      </w:tr>
      <w:tr>
        <w:tc>
          <w:tcPr>
            <w:tcW w:type="dxa" w:w="2200"/>
            <w:tcMar>
              <w:top w:type="dxa" w:w="80"/>
              <w:left w:type="dxa" w:w="100"/>
              <w:bottom w:type="dxa" w:w="80"/>
              <w:right w:type="dxa" w:w="100"/>
            </w:tcMar>
          </w:tcPr>
          <w:p>
            <w:r>
              <w:rPr>
                <w:b w:val="false"/>
                <w:bCs w:val="false"/>
                <w:sz w:val="20"/>
                <w:szCs w:val="20"/>
              </w:rPr>
              <w:t xml:space="preserve">WP-SEC-01</w:t>
            </w:r>
          </w:p>
        </w:tc>
        <w:tc>
          <w:tcPr>
            <w:tcW w:type="dxa" w:w="4650"/>
            <w:tcMar>
              <w:top w:type="dxa" w:w="80"/>
              <w:left w:type="dxa" w:w="100"/>
              <w:bottom w:type="dxa" w:w="80"/>
              <w:right w:type="dxa" w:w="100"/>
            </w:tcMar>
          </w:tcPr>
          <w:p>
            <w:r>
              <w:rPr>
                <w:b w:val="false"/>
                <w:bCs w:val="false"/>
                <w:sz w:val="20"/>
                <w:szCs w:val="20"/>
              </w:rPr>
              <w:t xml:space="preserve">Service, monitoring, logging, documentation, runbook, backup/recovery, and acceptance prerequisites as defined in Section 10</w:t>
            </w:r>
          </w:p>
        </w:tc>
        <w:tc>
          <w:tcPr>
            <w:tcW w:type="dxa" w:w="2500"/>
            <w:tcMar>
              <w:top w:type="dxa" w:w="80"/>
              <w:left w:type="dxa" w:w="100"/>
              <w:bottom w:type="dxa" w:w="80"/>
              <w:right w:type="dxa" w:w="100"/>
            </w:tcMar>
          </w:tcPr>
          <w:p>
            <w:r>
              <w:rPr>
                <w:b w:val="false"/>
                <w:bCs w:val="false"/>
                <w:sz w:val="20"/>
                <w:szCs w:val="20"/>
              </w:rPr>
              <w:t xml:space="preserve">Operational Readiness Not Yet Assessable</w:t>
            </w:r>
          </w:p>
        </w:tc>
      </w:tr>
      <w:tr>
        <w:tc>
          <w:tcPr>
            <w:tcW w:type="dxa" w:w="2200"/>
            <w:shd w:fill="F2F5FB" w:val="clear"/>
            <w:tcMar>
              <w:top w:type="dxa" w:w="80"/>
              <w:left w:type="dxa" w:w="100"/>
              <w:bottom w:type="dxa" w:w="80"/>
              <w:right w:type="dxa" w:w="100"/>
            </w:tcMar>
          </w:tcPr>
          <w:p>
            <w:r>
              <w:rPr>
                <w:b w:val="false"/>
                <w:bCs w:val="false"/>
                <w:sz w:val="20"/>
                <w:szCs w:val="20"/>
              </w:rPr>
              <w:t xml:space="preserve">WP-IMP-01</w:t>
            </w:r>
          </w:p>
        </w:tc>
        <w:tc>
          <w:tcPr>
            <w:tcW w:type="dxa" w:w="4650"/>
            <w:shd w:fill="F2F5FB" w:val="clear"/>
            <w:tcMar>
              <w:top w:type="dxa" w:w="80"/>
              <w:left w:type="dxa" w:w="100"/>
              <w:bottom w:type="dxa" w:w="80"/>
              <w:right w:type="dxa" w:w="100"/>
            </w:tcMar>
          </w:tcPr>
          <w:p>
            <w:r>
              <w:rPr>
                <w:b w:val="false"/>
                <w:bCs w:val="false"/>
                <w:sz w:val="20"/>
                <w:szCs w:val="20"/>
              </w:rPr>
              <w:t xml:space="preserve">Service, monitoring, logging, documentation, runbook, backup/recovery, and acceptance prerequisites as defined in Section 10</w:t>
            </w:r>
          </w:p>
        </w:tc>
        <w:tc>
          <w:tcPr>
            <w:tcW w:type="dxa" w:w="2500"/>
            <w:shd w:fill="F2F5FB" w:val="clear"/>
            <w:tcMar>
              <w:top w:type="dxa" w:w="80"/>
              <w:left w:type="dxa" w:w="100"/>
              <w:bottom w:type="dxa" w:w="80"/>
              <w:right w:type="dxa" w:w="100"/>
            </w:tcMar>
          </w:tcPr>
          <w:p>
            <w:r>
              <w:rPr>
                <w:b w:val="false"/>
                <w:bCs w:val="false"/>
                <w:sz w:val="20"/>
                <w:szCs w:val="20"/>
              </w:rPr>
              <w:t xml:space="preserve">Operational Readiness Not Yet Assessable</w:t>
            </w:r>
          </w:p>
        </w:tc>
      </w:tr>
      <w:tr>
        <w:tc>
          <w:tcPr>
            <w:tcW w:type="dxa" w:w="2200"/>
            <w:tcMar>
              <w:top w:type="dxa" w:w="80"/>
              <w:left w:type="dxa" w:w="100"/>
              <w:bottom w:type="dxa" w:w="80"/>
              <w:right w:type="dxa" w:w="100"/>
            </w:tcMar>
          </w:tcPr>
          <w:p>
            <w:r>
              <w:rPr>
                <w:b w:val="false"/>
                <w:bCs w:val="false"/>
                <w:sz w:val="20"/>
                <w:szCs w:val="20"/>
              </w:rPr>
              <w:t xml:space="preserve">WP-IMP-02</w:t>
            </w:r>
          </w:p>
        </w:tc>
        <w:tc>
          <w:tcPr>
            <w:tcW w:type="dxa" w:w="4650"/>
            <w:tcMar>
              <w:top w:type="dxa" w:w="80"/>
              <w:left w:type="dxa" w:w="100"/>
              <w:bottom w:type="dxa" w:w="80"/>
              <w:right w:type="dxa" w:w="100"/>
            </w:tcMar>
          </w:tcPr>
          <w:p>
            <w:r>
              <w:rPr>
                <w:b w:val="false"/>
                <w:bCs w:val="false"/>
                <w:sz w:val="20"/>
                <w:szCs w:val="20"/>
              </w:rPr>
              <w:t xml:space="preserve">Service, monitoring, logging, documentation, runbook, backup/recovery, and acceptance prerequisites as defined in Section 10</w:t>
            </w:r>
          </w:p>
        </w:tc>
        <w:tc>
          <w:tcPr>
            <w:tcW w:type="dxa" w:w="2500"/>
            <w:tcMar>
              <w:top w:type="dxa" w:w="80"/>
              <w:left w:type="dxa" w:w="100"/>
              <w:bottom w:type="dxa" w:w="80"/>
              <w:right w:type="dxa" w:w="100"/>
            </w:tcMar>
          </w:tcPr>
          <w:p>
            <w:r>
              <w:rPr>
                <w:b w:val="false"/>
                <w:bCs w:val="false"/>
                <w:sz w:val="20"/>
                <w:szCs w:val="20"/>
              </w:rPr>
              <w:t xml:space="preserve">Operational Readiness Not Yet Assessable</w:t>
            </w:r>
          </w:p>
        </w:tc>
      </w:tr>
      <w:tr>
        <w:tc>
          <w:tcPr>
            <w:tcW w:type="dxa" w:w="2200"/>
            <w:shd w:fill="F2F5FB" w:val="clear"/>
            <w:tcMar>
              <w:top w:type="dxa" w:w="80"/>
              <w:left w:type="dxa" w:w="100"/>
              <w:bottom w:type="dxa" w:w="80"/>
              <w:right w:type="dxa" w:w="100"/>
            </w:tcMar>
          </w:tcPr>
          <w:p>
            <w:r>
              <w:rPr>
                <w:b w:val="false"/>
                <w:bCs w:val="false"/>
                <w:sz w:val="20"/>
                <w:szCs w:val="20"/>
              </w:rPr>
              <w:t xml:space="preserve">WP-IMP-03</w:t>
            </w:r>
          </w:p>
        </w:tc>
        <w:tc>
          <w:tcPr>
            <w:tcW w:type="dxa" w:w="4650"/>
            <w:shd w:fill="F2F5FB" w:val="clear"/>
            <w:tcMar>
              <w:top w:type="dxa" w:w="80"/>
              <w:left w:type="dxa" w:w="100"/>
              <w:bottom w:type="dxa" w:w="80"/>
              <w:right w:type="dxa" w:w="100"/>
            </w:tcMar>
          </w:tcPr>
          <w:p>
            <w:r>
              <w:rPr>
                <w:b w:val="false"/>
                <w:bCs w:val="false"/>
                <w:sz w:val="20"/>
                <w:szCs w:val="20"/>
              </w:rPr>
              <w:t xml:space="preserve">Service, monitoring, logging, documentation, runbook, backup/recovery, and acceptance prerequisites as defined in Section 10</w:t>
            </w:r>
          </w:p>
        </w:tc>
        <w:tc>
          <w:tcPr>
            <w:tcW w:type="dxa" w:w="2500"/>
            <w:shd w:fill="F2F5FB" w:val="clear"/>
            <w:tcMar>
              <w:top w:type="dxa" w:w="80"/>
              <w:left w:type="dxa" w:w="100"/>
              <w:bottom w:type="dxa" w:w="80"/>
              <w:right w:type="dxa" w:w="100"/>
            </w:tcMar>
          </w:tcPr>
          <w:p>
            <w:r>
              <w:rPr>
                <w:b w:val="false"/>
                <w:bCs w:val="false"/>
                <w:sz w:val="20"/>
                <w:szCs w:val="20"/>
              </w:rPr>
              <w:t xml:space="preserve">Operational Readiness Not Yet Assessable</w:t>
            </w:r>
          </w:p>
        </w:tc>
      </w:tr>
      <w:tr>
        <w:tc>
          <w:tcPr>
            <w:tcW w:type="dxa" w:w="2200"/>
            <w:tcMar>
              <w:top w:type="dxa" w:w="80"/>
              <w:left w:type="dxa" w:w="100"/>
              <w:bottom w:type="dxa" w:w="80"/>
              <w:right w:type="dxa" w:w="100"/>
            </w:tcMar>
          </w:tcPr>
          <w:p>
            <w:r>
              <w:rPr>
                <w:b w:val="false"/>
                <w:bCs w:val="false"/>
                <w:sz w:val="20"/>
                <w:szCs w:val="20"/>
              </w:rPr>
              <w:t xml:space="preserve">WP-IMP-04</w:t>
            </w:r>
          </w:p>
        </w:tc>
        <w:tc>
          <w:tcPr>
            <w:tcW w:type="dxa" w:w="4650"/>
            <w:tcMar>
              <w:top w:type="dxa" w:w="80"/>
              <w:left w:type="dxa" w:w="100"/>
              <w:bottom w:type="dxa" w:w="80"/>
              <w:right w:type="dxa" w:w="100"/>
            </w:tcMar>
          </w:tcPr>
          <w:p>
            <w:r>
              <w:rPr>
                <w:b w:val="false"/>
                <w:bCs w:val="false"/>
                <w:sz w:val="20"/>
                <w:szCs w:val="20"/>
              </w:rPr>
              <w:t xml:space="preserve">Service, monitoring, logging, documentation, runbook, backup/recovery, and acceptance prerequisites as defined in Section 10</w:t>
            </w:r>
          </w:p>
        </w:tc>
        <w:tc>
          <w:tcPr>
            <w:tcW w:type="dxa" w:w="2500"/>
            <w:tcMar>
              <w:top w:type="dxa" w:w="80"/>
              <w:left w:type="dxa" w:w="100"/>
              <w:bottom w:type="dxa" w:w="80"/>
              <w:right w:type="dxa" w:w="100"/>
            </w:tcMar>
          </w:tcPr>
          <w:p>
            <w:r>
              <w:rPr>
                <w:b w:val="false"/>
                <w:bCs w:val="false"/>
                <w:sz w:val="20"/>
                <w:szCs w:val="20"/>
              </w:rPr>
              <w:t xml:space="preserve">Operational Readiness Not Yet Assessable</w:t>
            </w:r>
          </w:p>
        </w:tc>
      </w:tr>
      <w:tr>
        <w:tc>
          <w:tcPr>
            <w:tcW w:type="dxa" w:w="2200"/>
            <w:shd w:fill="F2F5FB" w:val="clear"/>
            <w:tcMar>
              <w:top w:type="dxa" w:w="80"/>
              <w:left w:type="dxa" w:w="100"/>
              <w:bottom w:type="dxa" w:w="80"/>
              <w:right w:type="dxa" w:w="100"/>
            </w:tcMar>
          </w:tcPr>
          <w:p>
            <w:r>
              <w:rPr>
                <w:b w:val="false"/>
                <w:bCs w:val="false"/>
                <w:sz w:val="20"/>
                <w:szCs w:val="20"/>
              </w:rPr>
              <w:t xml:space="preserve">WP-IMP-04A</w:t>
            </w:r>
          </w:p>
        </w:tc>
        <w:tc>
          <w:tcPr>
            <w:tcW w:type="dxa" w:w="4650"/>
            <w:shd w:fill="F2F5FB" w:val="clear"/>
            <w:tcMar>
              <w:top w:type="dxa" w:w="80"/>
              <w:left w:type="dxa" w:w="100"/>
              <w:bottom w:type="dxa" w:w="80"/>
              <w:right w:type="dxa" w:w="100"/>
            </w:tcMar>
          </w:tcPr>
          <w:p>
            <w:r>
              <w:rPr>
                <w:b w:val="false"/>
                <w:bCs w:val="false"/>
                <w:sz w:val="20"/>
                <w:szCs w:val="20"/>
              </w:rPr>
              <w:t xml:space="preserve">Service, monitoring, logging, documentation, runbook, backup/recovery, and acceptance prerequisites as defined in Section 10</w:t>
            </w:r>
          </w:p>
        </w:tc>
        <w:tc>
          <w:tcPr>
            <w:tcW w:type="dxa" w:w="2500"/>
            <w:shd w:fill="F2F5FB" w:val="clear"/>
            <w:tcMar>
              <w:top w:type="dxa" w:w="80"/>
              <w:left w:type="dxa" w:w="100"/>
              <w:bottom w:type="dxa" w:w="80"/>
              <w:right w:type="dxa" w:w="100"/>
            </w:tcMar>
          </w:tcPr>
          <w:p>
            <w:r>
              <w:rPr>
                <w:b w:val="false"/>
                <w:bCs w:val="false"/>
                <w:sz w:val="20"/>
                <w:szCs w:val="20"/>
              </w:rPr>
              <w:t xml:space="preserve">Operational Readiness Not Yet Assessable</w:t>
            </w:r>
          </w:p>
        </w:tc>
      </w:tr>
      <w:tr>
        <w:tc>
          <w:tcPr>
            <w:tcW w:type="dxa" w:w="2200"/>
            <w:tcMar>
              <w:top w:type="dxa" w:w="80"/>
              <w:left w:type="dxa" w:w="100"/>
              <w:bottom w:type="dxa" w:w="80"/>
              <w:right w:type="dxa" w:w="100"/>
            </w:tcMar>
          </w:tcPr>
          <w:p>
            <w:r>
              <w:rPr>
                <w:b w:val="false"/>
                <w:bCs w:val="false"/>
                <w:sz w:val="20"/>
                <w:szCs w:val="20"/>
              </w:rPr>
              <w:t xml:space="preserve">WP-IMP-05</w:t>
            </w:r>
          </w:p>
        </w:tc>
        <w:tc>
          <w:tcPr>
            <w:tcW w:type="dxa" w:w="4650"/>
            <w:tcMar>
              <w:top w:type="dxa" w:w="80"/>
              <w:left w:type="dxa" w:w="100"/>
              <w:bottom w:type="dxa" w:w="80"/>
              <w:right w:type="dxa" w:w="100"/>
            </w:tcMar>
          </w:tcPr>
          <w:p>
            <w:r>
              <w:rPr>
                <w:b w:val="false"/>
                <w:bCs w:val="false"/>
                <w:sz w:val="20"/>
                <w:szCs w:val="20"/>
              </w:rPr>
              <w:t xml:space="preserve">Service, monitoring, logging, documentation, runbook, backup/recovery, and acceptance prerequisites as defined in Section 10</w:t>
            </w:r>
          </w:p>
        </w:tc>
        <w:tc>
          <w:tcPr>
            <w:tcW w:type="dxa" w:w="2500"/>
            <w:tcMar>
              <w:top w:type="dxa" w:w="80"/>
              <w:left w:type="dxa" w:w="100"/>
              <w:bottom w:type="dxa" w:w="80"/>
              <w:right w:type="dxa" w:w="100"/>
            </w:tcMar>
          </w:tcPr>
          <w:p>
            <w:r>
              <w:rPr>
                <w:b w:val="false"/>
                <w:bCs w:val="false"/>
                <w:sz w:val="20"/>
                <w:szCs w:val="20"/>
              </w:rPr>
              <w:t xml:space="preserve">Operational Readiness Not Yet Assessable</w:t>
            </w:r>
          </w:p>
        </w:tc>
      </w:tr>
      <w:tr>
        <w:tc>
          <w:tcPr>
            <w:tcW w:type="dxa" w:w="2200"/>
            <w:shd w:fill="F2F5FB" w:val="clear"/>
            <w:tcMar>
              <w:top w:type="dxa" w:w="80"/>
              <w:left w:type="dxa" w:w="100"/>
              <w:bottom w:type="dxa" w:w="80"/>
              <w:right w:type="dxa" w:w="100"/>
            </w:tcMar>
          </w:tcPr>
          <w:p>
            <w:r>
              <w:rPr>
                <w:b w:val="false"/>
                <w:bCs w:val="false"/>
                <w:sz w:val="20"/>
                <w:szCs w:val="20"/>
              </w:rPr>
              <w:t xml:space="preserve">WP-IMP-06</w:t>
            </w:r>
          </w:p>
        </w:tc>
        <w:tc>
          <w:tcPr>
            <w:tcW w:type="dxa" w:w="4650"/>
            <w:shd w:fill="F2F5FB" w:val="clear"/>
            <w:tcMar>
              <w:top w:type="dxa" w:w="80"/>
              <w:left w:type="dxa" w:w="100"/>
              <w:bottom w:type="dxa" w:w="80"/>
              <w:right w:type="dxa" w:w="100"/>
            </w:tcMar>
          </w:tcPr>
          <w:p>
            <w:r>
              <w:rPr>
                <w:b w:val="false"/>
                <w:bCs w:val="false"/>
                <w:sz w:val="20"/>
                <w:szCs w:val="20"/>
              </w:rPr>
              <w:t xml:space="preserve">Service, monitoring, logging, documentation, runbook, backup/recovery, and acceptance prerequisites as defined in Section 10</w:t>
            </w:r>
          </w:p>
        </w:tc>
        <w:tc>
          <w:tcPr>
            <w:tcW w:type="dxa" w:w="2500"/>
            <w:shd w:fill="F2F5FB" w:val="clear"/>
            <w:tcMar>
              <w:top w:type="dxa" w:w="80"/>
              <w:left w:type="dxa" w:w="100"/>
              <w:bottom w:type="dxa" w:w="80"/>
              <w:right w:type="dxa" w:w="100"/>
            </w:tcMar>
          </w:tcPr>
          <w:p>
            <w:r>
              <w:rPr>
                <w:b w:val="false"/>
                <w:bCs w:val="false"/>
                <w:sz w:val="20"/>
                <w:szCs w:val="20"/>
              </w:rPr>
              <w:t xml:space="preserve">Operational Readiness Not Yet Assessable</w:t>
            </w:r>
          </w:p>
        </w:tc>
      </w:tr>
      <w:tr>
        <w:tc>
          <w:tcPr>
            <w:tcW w:type="dxa" w:w="2200"/>
            <w:tcMar>
              <w:top w:type="dxa" w:w="80"/>
              <w:left w:type="dxa" w:w="100"/>
              <w:bottom w:type="dxa" w:w="80"/>
              <w:right w:type="dxa" w:w="100"/>
            </w:tcMar>
          </w:tcPr>
          <w:p>
            <w:r>
              <w:rPr>
                <w:b w:val="false"/>
                <w:bCs w:val="false"/>
                <w:sz w:val="20"/>
                <w:szCs w:val="20"/>
              </w:rPr>
              <w:t xml:space="preserve">WP-XAI2-01</w:t>
            </w:r>
          </w:p>
        </w:tc>
        <w:tc>
          <w:tcPr>
            <w:tcW w:type="dxa" w:w="4650"/>
            <w:tcMar>
              <w:top w:type="dxa" w:w="80"/>
              <w:left w:type="dxa" w:w="100"/>
              <w:bottom w:type="dxa" w:w="80"/>
              <w:right w:type="dxa" w:w="100"/>
            </w:tcMar>
          </w:tcPr>
          <w:p>
            <w:r>
              <w:rPr>
                <w:b w:val="false"/>
                <w:bCs w:val="false"/>
                <w:sz w:val="20"/>
                <w:szCs w:val="20"/>
              </w:rPr>
              <w:t xml:space="preserve">Service, monitoring, logging, documentation, runbook, backup/recovery, and acceptance prerequisites as defined in Section 10</w:t>
            </w:r>
          </w:p>
        </w:tc>
        <w:tc>
          <w:tcPr>
            <w:tcW w:type="dxa" w:w="2500"/>
            <w:tcMar>
              <w:top w:type="dxa" w:w="80"/>
              <w:left w:type="dxa" w:w="100"/>
              <w:bottom w:type="dxa" w:w="80"/>
              <w:right w:type="dxa" w:w="100"/>
            </w:tcMar>
          </w:tcPr>
          <w:p>
            <w:r>
              <w:rPr>
                <w:b w:val="false"/>
                <w:bCs w:val="false"/>
                <w:sz w:val="20"/>
                <w:szCs w:val="20"/>
              </w:rPr>
              <w:t xml:space="preserve">Operational Readiness Not Yet Assessable</w:t>
            </w:r>
          </w:p>
        </w:tc>
      </w:tr>
      <w:tr>
        <w:tc>
          <w:tcPr>
            <w:tcW w:type="dxa" w:w="2200"/>
            <w:shd w:fill="F2F5FB" w:val="clear"/>
            <w:tcMar>
              <w:top w:type="dxa" w:w="80"/>
              <w:left w:type="dxa" w:w="100"/>
              <w:bottom w:type="dxa" w:w="80"/>
              <w:right w:type="dxa" w:w="100"/>
            </w:tcMar>
          </w:tcPr>
          <w:p>
            <w:r>
              <w:rPr>
                <w:b w:val="false"/>
                <w:bCs w:val="false"/>
                <w:sz w:val="20"/>
                <w:szCs w:val="20"/>
              </w:rPr>
              <w:t xml:space="preserve">WP-XAI2-02</w:t>
            </w:r>
          </w:p>
        </w:tc>
        <w:tc>
          <w:tcPr>
            <w:tcW w:type="dxa" w:w="4650"/>
            <w:shd w:fill="F2F5FB" w:val="clear"/>
            <w:tcMar>
              <w:top w:type="dxa" w:w="80"/>
              <w:left w:type="dxa" w:w="100"/>
              <w:bottom w:type="dxa" w:w="80"/>
              <w:right w:type="dxa" w:w="100"/>
            </w:tcMar>
          </w:tcPr>
          <w:p>
            <w:r>
              <w:rPr>
                <w:b w:val="false"/>
                <w:bCs w:val="false"/>
                <w:sz w:val="20"/>
                <w:szCs w:val="20"/>
              </w:rPr>
              <w:t xml:space="preserve">Service, monitoring, logging, documentation, runbook, backup/recovery, and acceptance prerequisites as defined in Section 10</w:t>
            </w:r>
          </w:p>
        </w:tc>
        <w:tc>
          <w:tcPr>
            <w:tcW w:type="dxa" w:w="2500"/>
            <w:shd w:fill="F2F5FB" w:val="clear"/>
            <w:tcMar>
              <w:top w:type="dxa" w:w="80"/>
              <w:left w:type="dxa" w:w="100"/>
              <w:bottom w:type="dxa" w:w="80"/>
              <w:right w:type="dxa" w:w="100"/>
            </w:tcMar>
          </w:tcPr>
          <w:p>
            <w:r>
              <w:rPr>
                <w:b w:val="false"/>
                <w:bCs w:val="false"/>
                <w:sz w:val="20"/>
                <w:szCs w:val="20"/>
              </w:rPr>
              <w:t xml:space="preserve">Operational Readiness Not Yet Assessable</w:t>
            </w:r>
          </w:p>
        </w:tc>
      </w:tr>
      <w:tr>
        <w:tc>
          <w:tcPr>
            <w:tcW w:type="dxa" w:w="2200"/>
            <w:tcMar>
              <w:top w:type="dxa" w:w="80"/>
              <w:left w:type="dxa" w:w="100"/>
              <w:bottom w:type="dxa" w:w="80"/>
              <w:right w:type="dxa" w:w="100"/>
            </w:tcMar>
          </w:tcPr>
          <w:p>
            <w:r>
              <w:rPr>
                <w:b w:val="false"/>
                <w:bCs w:val="false"/>
                <w:sz w:val="20"/>
                <w:szCs w:val="20"/>
              </w:rPr>
              <w:t xml:space="preserve">WP-XAI2-03</w:t>
            </w:r>
          </w:p>
        </w:tc>
        <w:tc>
          <w:tcPr>
            <w:tcW w:type="dxa" w:w="4650"/>
            <w:tcMar>
              <w:top w:type="dxa" w:w="80"/>
              <w:left w:type="dxa" w:w="100"/>
              <w:bottom w:type="dxa" w:w="80"/>
              <w:right w:type="dxa" w:w="100"/>
            </w:tcMar>
          </w:tcPr>
          <w:p>
            <w:r>
              <w:rPr>
                <w:b w:val="false"/>
                <w:bCs w:val="false"/>
                <w:sz w:val="20"/>
                <w:szCs w:val="20"/>
              </w:rPr>
              <w:t xml:space="preserve">Service, monitoring, logging, documentation, runbook, backup/recovery, and acceptance prerequisites as defined in Section 10</w:t>
            </w:r>
          </w:p>
        </w:tc>
        <w:tc>
          <w:tcPr>
            <w:tcW w:type="dxa" w:w="2500"/>
            <w:tcMar>
              <w:top w:type="dxa" w:w="80"/>
              <w:left w:type="dxa" w:w="100"/>
              <w:bottom w:type="dxa" w:w="80"/>
              <w:right w:type="dxa" w:w="100"/>
            </w:tcMar>
          </w:tcPr>
          <w:p>
            <w:r>
              <w:rPr>
                <w:b w:val="false"/>
                <w:bCs w:val="false"/>
                <w:sz w:val="20"/>
                <w:szCs w:val="20"/>
              </w:rPr>
              <w:t xml:space="preserve">Operational Readiness Not Yet Assessable</w:t>
            </w:r>
          </w:p>
        </w:tc>
      </w:tr>
      <w:tr>
        <w:tc>
          <w:tcPr>
            <w:tcW w:type="dxa" w:w="2200"/>
            <w:shd w:fill="F2F5FB" w:val="clear"/>
            <w:tcMar>
              <w:top w:type="dxa" w:w="80"/>
              <w:left w:type="dxa" w:w="100"/>
              <w:bottom w:type="dxa" w:w="80"/>
              <w:right w:type="dxa" w:w="100"/>
            </w:tcMar>
          </w:tcPr>
          <w:p>
            <w:r>
              <w:rPr>
                <w:b w:val="false"/>
                <w:bCs w:val="false"/>
                <w:sz w:val="20"/>
                <w:szCs w:val="20"/>
              </w:rPr>
              <w:t xml:space="preserve">WP-XAI2-04</w:t>
            </w:r>
          </w:p>
        </w:tc>
        <w:tc>
          <w:tcPr>
            <w:tcW w:type="dxa" w:w="4650"/>
            <w:shd w:fill="F2F5FB" w:val="clear"/>
            <w:tcMar>
              <w:top w:type="dxa" w:w="80"/>
              <w:left w:type="dxa" w:w="100"/>
              <w:bottom w:type="dxa" w:w="80"/>
              <w:right w:type="dxa" w:w="100"/>
            </w:tcMar>
          </w:tcPr>
          <w:p>
            <w:r>
              <w:rPr>
                <w:b w:val="false"/>
                <w:bCs w:val="false"/>
                <w:sz w:val="20"/>
                <w:szCs w:val="20"/>
              </w:rPr>
              <w:t xml:space="preserve">Service, monitoring, logging, documentation, runbook, backup/recovery, and acceptance prerequisites as defined in Section 10</w:t>
            </w:r>
          </w:p>
        </w:tc>
        <w:tc>
          <w:tcPr>
            <w:tcW w:type="dxa" w:w="2500"/>
            <w:shd w:fill="F2F5FB" w:val="clear"/>
            <w:tcMar>
              <w:top w:type="dxa" w:w="80"/>
              <w:left w:type="dxa" w:w="100"/>
              <w:bottom w:type="dxa" w:w="80"/>
              <w:right w:type="dxa" w:w="100"/>
            </w:tcMar>
          </w:tcPr>
          <w:p>
            <w:r>
              <w:rPr>
                <w:b w:val="false"/>
                <w:bCs w:val="false"/>
                <w:sz w:val="20"/>
                <w:szCs w:val="20"/>
              </w:rPr>
              <w:t xml:space="preserve">Operational Readiness Not Yet Assessable</w:t>
            </w:r>
          </w:p>
        </w:tc>
      </w:tr>
      <w:tr>
        <w:tc>
          <w:tcPr>
            <w:tcW w:type="dxa" w:w="2200"/>
            <w:tcMar>
              <w:top w:type="dxa" w:w="80"/>
              <w:left w:type="dxa" w:w="100"/>
              <w:bottom w:type="dxa" w:w="80"/>
              <w:right w:type="dxa" w:w="100"/>
            </w:tcMar>
          </w:tcPr>
          <w:p>
            <w:r>
              <w:rPr>
                <w:b w:val="false"/>
                <w:bCs w:val="false"/>
                <w:sz w:val="20"/>
                <w:szCs w:val="20"/>
              </w:rPr>
              <w:t xml:space="preserve">WP-XAI2-05</w:t>
            </w:r>
          </w:p>
        </w:tc>
        <w:tc>
          <w:tcPr>
            <w:tcW w:type="dxa" w:w="4650"/>
            <w:tcMar>
              <w:top w:type="dxa" w:w="80"/>
              <w:left w:type="dxa" w:w="100"/>
              <w:bottom w:type="dxa" w:w="80"/>
              <w:right w:type="dxa" w:w="100"/>
            </w:tcMar>
          </w:tcPr>
          <w:p>
            <w:r>
              <w:rPr>
                <w:b w:val="false"/>
                <w:bCs w:val="false"/>
                <w:sz w:val="20"/>
                <w:szCs w:val="20"/>
              </w:rPr>
              <w:t xml:space="preserve">Service, monitoring, logging, documentation, runbook, backup/recovery, and acceptance prerequisites as defined in Section 10</w:t>
            </w:r>
          </w:p>
        </w:tc>
        <w:tc>
          <w:tcPr>
            <w:tcW w:type="dxa" w:w="2500"/>
            <w:tcMar>
              <w:top w:type="dxa" w:w="80"/>
              <w:left w:type="dxa" w:w="100"/>
              <w:bottom w:type="dxa" w:w="80"/>
              <w:right w:type="dxa" w:w="100"/>
            </w:tcMar>
          </w:tcPr>
          <w:p>
            <w:r>
              <w:rPr>
                <w:b w:val="false"/>
                <w:bCs w:val="false"/>
                <w:sz w:val="20"/>
                <w:szCs w:val="20"/>
              </w:rPr>
              <w:t xml:space="preserve">Operational Readiness Not Yet Assessable</w:t>
            </w:r>
          </w:p>
        </w:tc>
      </w:tr>
      <w:tr>
        <w:tc>
          <w:tcPr>
            <w:tcW w:type="dxa" w:w="2200"/>
            <w:shd w:fill="F2F5FB" w:val="clear"/>
            <w:tcMar>
              <w:top w:type="dxa" w:w="80"/>
              <w:left w:type="dxa" w:w="100"/>
              <w:bottom w:type="dxa" w:w="80"/>
              <w:right w:type="dxa" w:w="100"/>
            </w:tcMar>
          </w:tcPr>
          <w:p>
            <w:r>
              <w:rPr>
                <w:b w:val="false"/>
                <w:bCs w:val="false"/>
                <w:sz w:val="20"/>
                <w:szCs w:val="20"/>
              </w:rPr>
              <w:t xml:space="preserve">WP-XAI2-06</w:t>
            </w:r>
          </w:p>
        </w:tc>
        <w:tc>
          <w:tcPr>
            <w:tcW w:type="dxa" w:w="4650"/>
            <w:shd w:fill="F2F5FB" w:val="clear"/>
            <w:tcMar>
              <w:top w:type="dxa" w:w="80"/>
              <w:left w:type="dxa" w:w="100"/>
              <w:bottom w:type="dxa" w:w="80"/>
              <w:right w:type="dxa" w:w="100"/>
            </w:tcMar>
          </w:tcPr>
          <w:p>
            <w:r>
              <w:rPr>
                <w:b w:val="false"/>
                <w:bCs w:val="false"/>
                <w:sz w:val="20"/>
                <w:szCs w:val="20"/>
              </w:rPr>
              <w:t xml:space="preserve">Service, monitoring, logging, documentation, runbook, backup/recovery, and acceptance prerequisites as defined in Section 10</w:t>
            </w:r>
          </w:p>
        </w:tc>
        <w:tc>
          <w:tcPr>
            <w:tcW w:type="dxa" w:w="2500"/>
            <w:shd w:fill="F2F5FB" w:val="clear"/>
            <w:tcMar>
              <w:top w:type="dxa" w:w="80"/>
              <w:left w:type="dxa" w:w="100"/>
              <w:bottom w:type="dxa" w:w="80"/>
              <w:right w:type="dxa" w:w="100"/>
            </w:tcMar>
          </w:tcPr>
          <w:p>
            <w:r>
              <w:rPr>
                <w:b w:val="false"/>
                <w:bCs w:val="false"/>
                <w:sz w:val="20"/>
                <w:szCs w:val="20"/>
              </w:rPr>
              <w:t xml:space="preserve">Operational Readiness Not Yet Assessable</w:t>
            </w:r>
          </w:p>
        </w:tc>
      </w:tr>
      <w:tr>
        <w:tc>
          <w:tcPr>
            <w:tcW w:type="dxa" w:w="2200"/>
            <w:tcMar>
              <w:top w:type="dxa" w:w="80"/>
              <w:left w:type="dxa" w:w="100"/>
              <w:bottom w:type="dxa" w:w="80"/>
              <w:right w:type="dxa" w:w="100"/>
            </w:tcMar>
          </w:tcPr>
          <w:p>
            <w:r>
              <w:rPr>
                <w:b w:val="false"/>
                <w:bCs w:val="false"/>
                <w:sz w:val="20"/>
                <w:szCs w:val="20"/>
              </w:rPr>
              <w:t xml:space="preserve">WP-P2-01</w:t>
            </w:r>
          </w:p>
        </w:tc>
        <w:tc>
          <w:tcPr>
            <w:tcW w:type="dxa" w:w="4650"/>
            <w:tcMar>
              <w:top w:type="dxa" w:w="80"/>
              <w:left w:type="dxa" w:w="100"/>
              <w:bottom w:type="dxa" w:w="80"/>
              <w:right w:type="dxa" w:w="100"/>
            </w:tcMar>
          </w:tcPr>
          <w:p>
            <w:r>
              <w:rPr>
                <w:b w:val="false"/>
                <w:bCs w:val="false"/>
                <w:sz w:val="20"/>
                <w:szCs w:val="20"/>
              </w:rPr>
              <w:t xml:space="preserve">Service, monitoring, logging, documentation, runbook, backup/recovery, and acceptance prerequisites as defined in Section 10</w:t>
            </w:r>
          </w:p>
        </w:tc>
        <w:tc>
          <w:tcPr>
            <w:tcW w:type="dxa" w:w="2500"/>
            <w:tcMar>
              <w:top w:type="dxa" w:w="80"/>
              <w:left w:type="dxa" w:w="100"/>
              <w:bottom w:type="dxa" w:w="80"/>
              <w:right w:type="dxa" w:w="100"/>
            </w:tcMar>
          </w:tcPr>
          <w:p>
            <w:r>
              <w:rPr>
                <w:b w:val="false"/>
                <w:bCs w:val="false"/>
                <w:sz w:val="20"/>
                <w:szCs w:val="20"/>
              </w:rPr>
              <w:t xml:space="preserve">Operational Readiness Not Yet Assessable</w:t>
            </w:r>
          </w:p>
        </w:tc>
      </w:tr>
    </w:tbl>
    <w:p>
      <w:pPr>
        <w:pStyle w:val="Heading1"/>
        <w:pBdr>
          <w:bottom w:val="single" w:color="1F3864" w:sz="8" w:space="4"/>
        </w:pBdr>
        <w:spacing w:after="160" w:before="360"/>
      </w:pPr>
      <w:r>
        <w:t xml:space="preserve">32. Phase Exit Criteria</w:t>
      </w:r>
    </w:p>
    <w:p>
      <w:pPr>
        <w:spacing w:after="160" w:line="276"/>
      </w:pPr>
      <w:r>
        <w:t xml:space="preserve">ERP-02 Phase G is considered complete for a given Work Package, and that Work Package becomes eligible to proceed to Production Transition (governed outside this document), when all of the following are satisfied:</w:t>
      </w:r>
    </w:p>
    <w:p>
      <w:pPr>
        <w:pStyle w:val="ListParagraph"/>
        <w:numPr>
          <w:ilvl w:val="0"/>
          <w:numId w:val="2"/>
        </w:numPr>
        <w:spacing w:after="80"/>
      </w:pPr>
      <w:r>
        <w:t xml:space="preserve">The Work Package has achieved Deployment Verified status under ERP-02 Phase F.</w:t>
      </w:r>
    </w:p>
    <w:p>
      <w:pPr>
        <w:pStyle w:val="ListParagraph"/>
        <w:numPr>
          <w:ilvl w:val="0"/>
          <w:numId w:val="2"/>
        </w:numPr>
        <w:spacing w:after="80"/>
      </w:pPr>
      <w:r>
        <w:t xml:space="preserve">All applicable readiness dimensions in Sections 10 through 23 are evidenced in the Operational Repository.</w:t>
      </w:r>
    </w:p>
    <w:p>
      <w:pPr>
        <w:pStyle w:val="ListParagraph"/>
        <w:numPr>
          <w:ilvl w:val="0"/>
          <w:numId w:val="2"/>
        </w:numPr>
        <w:spacing w:after="80"/>
      </w:pPr>
      <w:r>
        <w:t xml:space="preserve">An Operational Readiness Review has recorded a disposition of Accepted or Accepted with Conditions, with all Conditions subsequently closed.</w:t>
      </w:r>
    </w:p>
    <w:p>
      <w:pPr>
        <w:pStyle w:val="ListParagraph"/>
        <w:numPr>
          <w:ilvl w:val="0"/>
          <w:numId w:val="2"/>
        </w:numPr>
        <w:spacing w:after="80"/>
      </w:pPr>
      <w:r>
        <w:t xml:space="preserve">No unresolved Critical or High operational risk remains open.</w:t>
      </w:r>
    </w:p>
    <w:p>
      <w:pPr>
        <w:pStyle w:val="ListParagraph"/>
        <w:numPr>
          <w:ilvl w:val="0"/>
          <w:numId w:val="2"/>
        </w:numPr>
        <w:spacing w:after="80"/>
      </w:pPr>
      <w:r>
        <w:t xml:space="preserve">Traceability from Architecture Requirement through Operational Readiness is confirmed unbroken.</w:t>
      </w:r>
    </w:p>
    <w:p>
      <w:pPr>
        <w:spacing w:after="160" w:line="276"/>
      </w:pPr>
      <w:r>
        <w:t xml:space="preserve">Phase G itself, as a governance framework, is considered established upon publication and adoption of this document by the Enterprise Architecture Board; individual Work Packages progress through Phase G independently and asynchronously thereafter.</w:t>
      </w:r>
    </w:p>
    <w:p>
      <w:pPr>
        <w:pStyle w:val="Heading1"/>
        <w:pBdr>
          <w:bottom w:val="single" w:color="1F3864" w:sz="8" w:space="4"/>
        </w:pBdr>
        <w:spacing w:after="160" w:before="360"/>
      </w:pPr>
      <w:r>
        <w:t xml:space="preserve">33. References to ERP-01</w:t>
      </w:r>
    </w:p>
    <w:p>
      <w:pPr>
        <w:spacing w:after="160" w:line="276"/>
      </w:pPr>
      <w:r>
        <w:t xml:space="preserve">This document is fully consistent with, and subordinate to, the following ERP-01 and ERP-01A artifacts, which it does not restate, modify, or reinterpret:</w:t>
      </w:r>
    </w:p>
    <w:p>
      <w:pPr>
        <w:pStyle w:val="ListParagraph"/>
        <w:numPr>
          <w:ilvl w:val="0"/>
          <w:numId w:val="2"/>
        </w:numPr>
        <w:spacing w:after="80"/>
      </w:pPr>
      <w:r>
        <w:t xml:space="preserve">ERP-01 Phase A1 — Physical Data Model Realization Assessment</w:t>
      </w:r>
    </w:p>
    <w:p>
      <w:pPr>
        <w:pStyle w:val="ListParagraph"/>
        <w:numPr>
          <w:ilvl w:val="0"/>
          <w:numId w:val="2"/>
        </w:numPr>
        <w:spacing w:after="80"/>
      </w:pPr>
      <w:r>
        <w:t xml:space="preserve">ERP-01 Phase A2 — Governance Disposition Assessment</w:t>
      </w:r>
    </w:p>
    <w:p>
      <w:pPr>
        <w:pStyle w:val="ListParagraph"/>
        <w:numPr>
          <w:ilvl w:val="0"/>
          <w:numId w:val="2"/>
        </w:numPr>
        <w:spacing w:after="80"/>
      </w:pPr>
      <w:r>
        <w:t xml:space="preserve">ERP-01 Phase A3 — Enterprise Architecture Baseline</w:t>
      </w:r>
    </w:p>
    <w:p>
      <w:pPr>
        <w:pStyle w:val="ListParagraph"/>
        <w:numPr>
          <w:ilvl w:val="0"/>
          <w:numId w:val="2"/>
        </w:numPr>
        <w:spacing w:after="80"/>
      </w:pPr>
      <w:r>
        <w:t xml:space="preserve">ERP-01 Phase B — Enterprise Realization Roadmap</w:t>
      </w:r>
    </w:p>
    <w:p>
      <w:pPr>
        <w:pStyle w:val="ListParagraph"/>
        <w:numPr>
          <w:ilvl w:val="0"/>
          <w:numId w:val="2"/>
        </w:numPr>
        <w:spacing w:after="80"/>
      </w:pPr>
      <w:r>
        <w:t xml:space="preserve">ERP-01A — Baseline Validation Report</w:t>
      </w:r>
    </w:p>
    <w:p>
      <w:pPr>
        <w:pStyle w:val="ListParagraph"/>
        <w:numPr>
          <w:ilvl w:val="0"/>
          <w:numId w:val="2"/>
        </w:numPr>
        <w:spacing w:after="80"/>
      </w:pPr>
      <w:r>
        <w:t xml:space="preserve">ERP-01 Phase C, Sections 1–10 — Enterprise Work Package Execution Strategy through Executive Engineering Dashboard</w:t>
      </w:r>
    </w:p>
    <w:p>
      <w:pPr>
        <w:pStyle w:val="Heading1"/>
        <w:pBdr>
          <w:bottom w:val="single" w:color="1F3864" w:sz="8" w:space="4"/>
        </w:pBdr>
        <w:spacing w:after="160" w:before="360"/>
      </w:pPr>
      <w:r>
        <w:t xml:space="preserve">34. Conclusion</w:t>
      </w:r>
    </w:p>
    <w:p>
      <w:pPr>
        <w:spacing w:after="160" w:line="276"/>
      </w:pPr>
      <w:r>
        <w:t xml:space="preserve">ERP-02 Phase G completes the operational-readiness governance layer of the Enterprise Realization Program, providing the HireRise Career Intelligence Platform with a single, evidence-based framework for determining when a compliant, released, and deployed capability is genuinely ready for production operation. It preserves the repository's target-state integrity by refusing to assert operational maturity that has not been independently evidenced, while providing the enterprise with a clear, auditable path from architectural approval to sustained production service.</w:t>
      </w:r>
    </w:p>
    <w:p>
      <w:pPr>
        <w:spacing w:after="160" w:line="276"/>
      </w:pPr>
      <w:r>
        <w:t xml:space="preserve">Upon adoption, ERP-02 Phase G becomes the canonical Enterprise Operational Readiness specification governing all subsequent operational readiness assessments, Operational Readiness Reviews, and Operational Acceptance decisions for the HireRise platform, until superseded by a subsequent revision approved through the ERP-02 Phase A governance framework.</w:t>
      </w:r>
    </w:p>
    <w:p>
      <w:pPr>
        <w:pBdr>
          <w:top w:val="single" w:color="1F3864" w:sz="8" w:space="4"/>
        </w:pBdr>
        <w:spacing w:before="600"/>
      </w:pPr>
      <w:r>
        <w:rPr>
          <w:b/>
          <w:bCs/>
          <w:i/>
          <w:iCs/>
        </w:rPr>
        <w:t xml:space="preserve">End of ERP-02 Phase G — Enterprise Operational Readiness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r>
    <w:r>
      <w:rPr>
        <w:color w:val="808080"/>
        <w:sz w:val="16"/>
        <w:szCs w:val="16"/>
      </w:rPr>
      <w:fldChar w:fldCharType="begin"/>
      <w:instrText xml:space="preserve">PAGE</w:instrText>
      <w:fldChar w:fldCharType="separate"/>
      <w:fldChar w:fldCharType="end"/>
    </w:r>
    <w:r>
      <w:rPr>
        <w:color w:val="808080"/>
        <w:sz w:val="16"/>
        <w:szCs w:val="16"/>
      </w:rPr>
      <w:t xml:space="preserve"> of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ERP-02 Phase G — Enterprise Operational Readiness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pPr>
    <w:rPr>
      <w:rFonts w:ascii="Calibri" w:cs="Calibri" w:eastAsia="Calibri" w:hAnsi="Calibri"/>
      <w:b/>
      <w:bCs/>
      <w:color w:val="1F3864"/>
      <w:sz w:val="30"/>
      <w:szCs w:val="30"/>
    </w:rPr>
  </w:style>
  <w:style w:type="paragraph" w:styleId="Heading2">
    <w:name w:val="Heading 2"/>
    <w:basedOn w:val="Normal"/>
    <w:next w:val="Normal"/>
    <w:qFormat/>
    <w:rPr>
      <w:rFonts w:ascii="Calibri" w:cs="Calibri" w:eastAsia="Calibri" w:hAnsi="Calibri"/>
      <w:b/>
      <w:bCs/>
      <w:color w:val="44546A"/>
      <w:sz w:val="26"/>
      <w:szCs w:val="26"/>
    </w:rPr>
  </w:style>
  <w:style w:type="paragraph" w:styleId="Heading3">
    <w:name w:val="Heading 3"/>
    <w:basedOn w:val="Normal"/>
    <w:next w:val="Normal"/>
    <w:qFormat/>
    <w:rPr>
      <w:rFonts w:ascii="Calibri" w:cs="Calibri" w:eastAsia="Calibri" w:hAnsi="Calibri"/>
      <w:b/>
      <w:bCs/>
      <w:color w:val="44546A"/>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2026-07-10T06:30:23.549Z</dcterms:created>
  <dcterms:modified xsi:type="dcterms:W3CDTF">2026-07-10T06:30:23.567Z</dcterms:modified>
</cp:coreProperties>
</file>

<file path=docProps/custom.xml><?xml version="1.0" encoding="utf-8"?>
<Properties xmlns="http://schemas.openxmlformats.org/officeDocument/2006/custom-properties" xmlns:vt="http://schemas.openxmlformats.org/officeDocument/2006/docPropsVTypes"/>
</file>