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t xml:space="preserve">HIRERISE CAREER INTELLIGENCE PLATFORM</w:t>
      </w:r>
    </w:p>
    <w:p>
      <w:pPr>
        <w:spacing w:after="400"/>
        <w:jc w:val="center"/>
      </w:pPr>
      <w:r>
        <w:t xml:space="preserve">Enterprise Architecture Repository</w:t>
      </w:r>
    </w:p>
    <w:p>
      <w:pPr>
        <w:spacing w:after="200"/>
        <w:jc w:val="center"/>
      </w:pPr>
      <w:r>
        <w:rPr>
          <w:b/>
          <w:bCs/>
          <w:sz w:val="36"/>
          <w:szCs w:val="36"/>
        </w:rPr>
        <w:t xml:space="preserve">ERP-02 · PHASE H</w:t>
      </w:r>
    </w:p>
    <w:p>
      <w:pPr>
        <w:spacing w:after="400"/>
        <w:jc w:val="center"/>
      </w:pPr>
      <w:r>
        <w:rPr>
          <w:b/>
          <w:bCs/>
          <w:sz w:val="28"/>
          <w:szCs w:val="28"/>
        </w:rPr>
        <w:t xml:space="preserve">Enterprise Production Transition Governance</w:t>
      </w:r>
    </w:p>
    <w:p>
      <w:pPr>
        <w:spacing w:after="400"/>
        <w:jc w:val="center"/>
      </w:pPr>
      <w:r>
        <w:t xml:space="preserve">Canonical Governance Specification for the Controlled Transition of Approved, Released, Deployed, and Operationally Ready ERP-01 Capabilities into Live Production Service</w:t>
      </w:r>
    </w:p>
    <w:p>
      <w:pPr>
        <w:spacing w:after="200"/>
        <w:jc w:val="center"/>
      </w:pPr>
      <w:r>
        <w:t xml:space="preserve">Document Classification: Enterprise Architecture Governance — Target-State Repository Artifact</w:t>
      </w:r>
    </w:p>
    <w:p>
      <w:pPr>
        <w:spacing w:after="200"/>
        <w:jc w:val="center"/>
      </w:pPr>
      <w:r>
        <w:t xml:space="preserve">Prepared for: Enterprise Architecture Board · CIO · CTO · COO · Platform Engineering · Site Reliability Engineering · DevSecOps · Operations Leadership · Service Management · PMO Leadership · Internal Audit</w:t>
      </w:r>
    </w:p>
    <w:p>
      <w:pPr>
        <w:spacing w:after="600"/>
        <w:jc w:val="center"/>
      </w:pPr>
      <w:r>
        <w:t xml:space="preserve">Status: ERP-02 Phases A–G Complete · Phase H Active</w:t>
      </w:r>
    </w:p>
    <w:p>
      <w:r>
        <w:br w:type="page"/>
      </w:r>
    </w:p>
    <w:p>
      <w:pPr>
        <w:pStyle w:val="Heading1"/>
        <w:spacing w:after="200" w:before="400"/>
      </w:pPr>
      <w:r>
        <w:t xml:space="preserve">1. Executive Summary</w:t>
      </w:r>
    </w:p>
    <w:p>
      <w:pPr>
        <w:spacing w:after="160"/>
      </w:pPr>
      <w:r>
        <w:t xml:space="preserve">This document establishes ERP-02 Phase H — Enterprise Production Transition Governance — the production-transition governance layer of the Enterprise Realization Program (ERP-02) for the HireRise Career Intelligence Platform. It follows the completion of ERP-01, ERP-01A, and ERP-02 Phases A through G, which together establish the approved target-state architecture, execution governance, portfolio execution planning, engineering execution control, Work Package realization governance, architecture compliance governance, release and deployment governance, and operational readiness governance respectively.</w:t>
      </w:r>
    </w:p>
    <w:p>
      <w:pPr>
        <w:spacing w:after="160"/>
      </w:pPr>
      <w:r>
        <w:t xml:space="preserve">Phase H governs the discipline through which an operationally ready capability is formally accepted into production, cut over, transferred to operational ownership, carried through hypercare and stabilization, verified in live service, and — where necessary — rolled back, without ever asserting that any of this has occurred unless repository evidence proves it. Phase H does not authorize operational readiness on its own; it begins only where Phase G ends, at the point a Work Package has achieved Operational Acceptance, and it ends where steady-state Production Operations begin.</w:t>
      </w:r>
    </w:p>
    <w:p>
      <w:pPr>
        <w:spacing w:after="160"/>
      </w:pPr>
      <w:r>
        <w:t xml:space="preserve">Consistent with the repository philosophy established across ERP-01 and ERP-02, this document distinguishes clearly between target-state governance (the production transition framework itself, which is fully defined) and current-state transition evidence (which, at the time of authoring, has not been independently verified against this framework for any Work Package). No production maturity is inferred, and no transition evidence is fabricated.</w:t>
      </w:r>
    </w:p>
    <w:p>
      <w:pPr>
        <w:spacing w:after="160"/>
      </w:pPr>
      <w:r>
        <w:t xml:space="preserve">Status disclosure: Unless otherwise evidenced in the Production Transition Repository (Section 26), the current production transition status of every Work Package governed by this document is: "Production Transition Not Yet Assessable."</w:t>
      </w:r>
    </w:p>
    <w:p>
      <w:pPr>
        <w:pStyle w:val="Heading1"/>
        <w:spacing w:after="200" w:before="400"/>
      </w:pPr>
      <w:r>
        <w:t xml:space="preserve">2. Purpose</w:t>
      </w:r>
    </w:p>
    <w:p>
      <w:pPr>
        <w:spacing w:after="160"/>
      </w:pPr>
      <w:r>
        <w:t xml:space="preserve">The purpose of this document is to establish the single, authoritative framework by which the enterprise governs the movement of an operationally ready HireRise capability into live production service. Specifically, this document exists to:</w:t>
      </w:r>
    </w:p>
    <w:p>
      <w:pPr>
        <w:pStyle w:val="ListParagraph"/>
        <w:numPr>
          <w:ilvl w:val="0"/>
          <w:numId w:val="1"/>
        </w:numPr>
        <w:spacing w:after="100"/>
      </w:pPr>
      <w:r>
        <w:t xml:space="preserve">Define a canonical Production Transition Lifecycle that bridges Operational Readiness (ERP-02 Phase G) and steady-state Production Operations.</w:t>
      </w:r>
    </w:p>
    <w:p>
      <w:pPr>
        <w:pStyle w:val="ListParagraph"/>
        <w:numPr>
          <w:ilvl w:val="0"/>
          <w:numId w:val="1"/>
        </w:numPr>
        <w:spacing w:after="100"/>
      </w:pPr>
      <w:r>
        <w:t xml:space="preserve">Establish mandatory production transition dimensions — production acceptance, service transition, ownership transfer, cutover, hypercare, stabilization, production verification, and rollback — that must be addressed for every Work Package prior to Production Service commencing.</w:t>
      </w:r>
    </w:p>
    <w:p>
      <w:pPr>
        <w:pStyle w:val="ListParagraph"/>
        <w:numPr>
          <w:ilvl w:val="0"/>
          <w:numId w:val="1"/>
        </w:numPr>
        <w:spacing w:after="100"/>
      </w:pPr>
      <w:r>
        <w:t xml:space="preserve">Define Production Acceptance Criteria and the evidence required to satisfy them.</w:t>
      </w:r>
    </w:p>
    <w:p>
      <w:pPr>
        <w:pStyle w:val="ListParagraph"/>
        <w:numPr>
          <w:ilvl w:val="0"/>
          <w:numId w:val="1"/>
        </w:numPr>
        <w:spacing w:after="100"/>
      </w:pPr>
      <w:r>
        <w:t xml:space="preserve">Establish Production Transition Reviews as the formal governance checkpoint preceding cutover, and Hypercare and Stabilization Reviews as the formal checkpoints preceding Steady-State Operations.</w:t>
      </w:r>
    </w:p>
    <w:p>
      <w:pPr>
        <w:pStyle w:val="ListParagraph"/>
        <w:numPr>
          <w:ilvl w:val="0"/>
          <w:numId w:val="1"/>
        </w:numPr>
        <w:spacing w:after="100"/>
      </w:pPr>
      <w:r>
        <w:t xml:space="preserve">Preserve unbroken traceability from Architecture Requirement through Production Transition to Production Service.</w:t>
      </w:r>
    </w:p>
    <w:p>
      <w:pPr>
        <w:pStyle w:val="ListParagraph"/>
        <w:numPr>
          <w:ilvl w:val="0"/>
          <w:numId w:val="1"/>
        </w:numPr>
        <w:spacing w:after="100"/>
      </w:pPr>
      <w:r>
        <w:t xml:space="preserve">Prevent premature, undocumented, or unverified claims of production maturity anywhere in the repository.</w:t>
      </w:r>
    </w:p>
    <w:p>
      <w:pPr>
        <w:pStyle w:val="Heading1"/>
        <w:spacing w:after="200" w:before="400"/>
      </w:pPr>
      <w:r>
        <w:t xml:space="preserve">3. Scope</w:t>
      </w:r>
    </w:p>
    <w:p>
      <w:pPr>
        <w:spacing w:after="160"/>
      </w:pPr>
      <w:r>
        <w:t xml:space="preserve">This document is in scope for all Work Packages, services, and capabilities of the HireRise Career Intelligence Platform that have achieved Operational Acceptance under ERP-02 Phase G and are candidates for production cutover. In scope:</w:t>
      </w:r>
    </w:p>
    <w:p>
      <w:pPr>
        <w:pStyle w:val="ListParagraph"/>
        <w:numPr>
          <w:ilvl w:val="0"/>
          <w:numId w:val="1"/>
        </w:numPr>
        <w:spacing w:after="100"/>
      </w:pPr>
      <w:r>
        <w:t xml:space="preserve">Production acceptance and transition eligibility determination for all operationally accepted Work Packages</w:t>
      </w:r>
    </w:p>
    <w:p>
      <w:pPr>
        <w:pStyle w:val="ListParagraph"/>
        <w:numPr>
          <w:ilvl w:val="0"/>
          <w:numId w:val="1"/>
        </w:numPr>
        <w:spacing w:after="100"/>
      </w:pPr>
      <w:r>
        <w:t xml:space="preserve">Service transition governance, including transition planning and transition risk assessment</w:t>
      </w:r>
    </w:p>
    <w:p>
      <w:pPr>
        <w:pStyle w:val="ListParagraph"/>
        <w:numPr>
          <w:ilvl w:val="0"/>
          <w:numId w:val="1"/>
        </w:numPr>
        <w:spacing w:after="100"/>
      </w:pPr>
      <w:r>
        <w:t xml:space="preserve">Production ownership transfer from delivery teams to operating teams</w:t>
      </w:r>
    </w:p>
    <w:p>
      <w:pPr>
        <w:pStyle w:val="ListParagraph"/>
        <w:numPr>
          <w:ilvl w:val="0"/>
          <w:numId w:val="1"/>
        </w:numPr>
        <w:spacing w:after="100"/>
      </w:pPr>
      <w:r>
        <w:t xml:space="preserve">Cutover governance, including cutover planning, cutover windows, and go/no-go decision authority</w:t>
      </w:r>
    </w:p>
    <w:p>
      <w:pPr>
        <w:pStyle w:val="ListParagraph"/>
        <w:numPr>
          <w:ilvl w:val="0"/>
          <w:numId w:val="1"/>
        </w:numPr>
        <w:spacing w:after="100"/>
      </w:pPr>
      <w:r>
        <w:t xml:space="preserve">Hypercare governance immediately following cutover</w:t>
      </w:r>
    </w:p>
    <w:p>
      <w:pPr>
        <w:pStyle w:val="ListParagraph"/>
        <w:numPr>
          <w:ilvl w:val="0"/>
          <w:numId w:val="1"/>
        </w:numPr>
        <w:spacing w:after="100"/>
      </w:pPr>
      <w:r>
        <w:t xml:space="preserve">Stabilization governance following hypercare and prior to steady-state handover</w:t>
      </w:r>
    </w:p>
    <w:p>
      <w:pPr>
        <w:pStyle w:val="ListParagraph"/>
        <w:numPr>
          <w:ilvl w:val="0"/>
          <w:numId w:val="1"/>
        </w:numPr>
        <w:spacing w:after="100"/>
      </w:pPr>
      <w:r>
        <w:t xml:space="preserve">Production verification of live service behavior against architectural and release intent</w:t>
      </w:r>
    </w:p>
    <w:p>
      <w:pPr>
        <w:pStyle w:val="ListParagraph"/>
        <w:numPr>
          <w:ilvl w:val="0"/>
          <w:numId w:val="1"/>
        </w:numPr>
        <w:spacing w:after="100"/>
      </w:pPr>
      <w:r>
        <w:t xml:space="preserve">Production rollback governance during the transition window</w:t>
      </w:r>
    </w:p>
    <w:p>
      <w:pPr>
        <w:pStyle w:val="ListParagraph"/>
        <w:numPr>
          <w:ilvl w:val="0"/>
          <w:numId w:val="1"/>
        </w:numPr>
        <w:spacing w:after="100"/>
      </w:pPr>
      <w:r>
        <w:t xml:space="preserve">Production support handover to Service Management and Operations</w:t>
      </w:r>
    </w:p>
    <w:p>
      <w:pPr>
        <w:pStyle w:val="ListParagraph"/>
        <w:numPr>
          <w:ilvl w:val="0"/>
          <w:numId w:val="1"/>
        </w:numPr>
        <w:spacing w:after="100"/>
      </w:pPr>
      <w:r>
        <w:t xml:space="preserve">Transition documentation, evidence requirements, and transition reporting</w:t>
      </w:r>
    </w:p>
    <w:p>
      <w:pPr>
        <w:spacing w:after="160"/>
      </w:pPr>
      <w:r>
        <w:t xml:space="preserve">Out of scope — governed elsewhere and not restated, redesigned, or reinterpreted here:</w:t>
      </w:r>
    </w:p>
    <w:p>
      <w:pPr>
        <w:pStyle w:val="ListParagraph"/>
        <w:numPr>
          <w:ilvl w:val="0"/>
          <w:numId w:val="1"/>
        </w:numPr>
        <w:spacing w:after="100"/>
      </w:pPr>
      <w:r>
        <w:t xml:space="preserve">Architecture design and target-state definition (ERP-01, ERP-01A)</w:t>
      </w:r>
    </w:p>
    <w:p>
      <w:pPr>
        <w:pStyle w:val="ListParagraph"/>
        <w:numPr>
          <w:ilvl w:val="0"/>
          <w:numId w:val="1"/>
        </w:numPr>
        <w:spacing w:after="100"/>
      </w:pPr>
      <w:r>
        <w:t xml:space="preserve">Execution governance, portfolio planning, and engineering execution controls (ERP-02 Phases A–C)</w:t>
      </w:r>
    </w:p>
    <w:p>
      <w:pPr>
        <w:pStyle w:val="ListParagraph"/>
        <w:numPr>
          <w:ilvl w:val="0"/>
          <w:numId w:val="1"/>
        </w:numPr>
        <w:spacing w:after="100"/>
      </w:pPr>
      <w:r>
        <w:t xml:space="preserve">Work Package realization and architecture compliance during delivery (ERP-02 Phases D–E)</w:t>
      </w:r>
    </w:p>
    <w:p>
      <w:pPr>
        <w:pStyle w:val="ListParagraph"/>
        <w:numPr>
          <w:ilvl w:val="0"/>
          <w:numId w:val="1"/>
        </w:numPr>
        <w:spacing w:after="100"/>
      </w:pPr>
      <w:r>
        <w:t xml:space="preserve">Release approval and deployment verification (ERP-02 Phase F)</w:t>
      </w:r>
    </w:p>
    <w:p>
      <w:pPr>
        <w:pStyle w:val="ListParagraph"/>
        <w:numPr>
          <w:ilvl w:val="0"/>
          <w:numId w:val="1"/>
        </w:numPr>
        <w:spacing w:after="100"/>
      </w:pPr>
      <w:r>
        <w:t xml:space="preserve">Operational readiness assessment and Operational Acceptance (ERP-02 Phase G)</w:t>
      </w:r>
    </w:p>
    <w:p>
      <w:pPr>
        <w:pStyle w:val="ListParagraph"/>
        <w:numPr>
          <w:ilvl w:val="0"/>
          <w:numId w:val="1"/>
        </w:numPr>
        <w:spacing w:after="100"/>
      </w:pPr>
      <w:r>
        <w:t xml:space="preserve">Steady-state production operations, ongoing service management, and continuous improvement once Production Service has commenced (reserved for future realization phases)</w:t>
      </w:r>
    </w:p>
    <w:p>
      <w:pPr>
        <w:pStyle w:val="Heading1"/>
        <w:spacing w:after="200" w:before="400"/>
      </w:pPr>
      <w:r>
        <w:t xml:space="preserve">4. Relationship to ERP-01</w:t>
      </w:r>
    </w:p>
    <w:p>
      <w:pPr>
        <w:spacing w:after="160"/>
      </w:pPr>
      <w:r>
        <w:t xml:space="preserve">ERP-01 and ERP-01A define the approved target-state architecture of the HireRise platform, including its physical data model, governance disposition, enterprise architecture baseline, and enterprise realization roadmap. ERP-02 Phase H does not modify, reinterpret, or extend that architecture. Every production transition requirement defined in this document exists to verify that a capability, once operationally accepted, continues to conform to the architectural intent captured in ERP-01 as it enters and stabilizes in live production.</w:t>
      </w:r>
    </w:p>
    <w:p>
      <w:pPr>
        <w:spacing w:after="160"/>
      </w:pPr>
      <w:r>
        <w:t xml:space="preserve">Where production transition activity surfaces an architectural gap or ambiguity, that finding is routed to ERP-01 governance and ERP-02 Phase E (Architecture Compliance During Delivery) for disposition. Phase H does not have authority to alter architectural requirements; it has authority only to withhold Production Acceptance, halt cutover, or trigger rollback until such gaps are resolved through the appropriate governance channel.</w:t>
      </w:r>
    </w:p>
    <w:p>
      <w:pPr>
        <w:pStyle w:val="Heading1"/>
        <w:spacing w:after="200" w:before="400"/>
      </w:pPr>
      <w:r>
        <w:t xml:space="preserve">5. Relationship to ERP-02 Phases 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rPr>
          <w:tblHeader/>
        </w:trPr>
        <w:tc>
          <w:tcPr>
            <w:tcW w:type="dxa" w:w="1200"/>
            <w:shd w:fill="D9E2F3" w:val="clear"/>
          </w:tcPr>
          <w:p>
            <w:r>
              <w:rPr>
                <w:b/>
                <w:bCs/>
              </w:rPr>
              <w:t xml:space="preserve">Phase</w:t>
            </w:r>
          </w:p>
        </w:tc>
        <w:tc>
          <w:tcPr>
            <w:tcW w:type="dxa" w:w="3200"/>
            <w:shd w:fill="D9E2F3" w:val="clear"/>
          </w:tcPr>
          <w:p>
            <w:r>
              <w:rPr>
                <w:b/>
                <w:bCs/>
              </w:rPr>
              <w:t xml:space="preserve">Title</w:t>
            </w:r>
          </w:p>
        </w:tc>
        <w:tc>
          <w:tcPr>
            <w:tcW w:type="dxa" w:w="4600"/>
            <w:shd w:fill="D9E2F3" w:val="clear"/>
          </w:tcPr>
          <w:p>
            <w:r>
              <w:rPr>
                <w:b/>
                <w:bCs/>
              </w:rPr>
              <w:t xml:space="preserve">Relationship to Phase H</w:t>
            </w:r>
          </w:p>
        </w:tc>
      </w:tr>
      <w:tr>
        <w:tc>
          <w:tcPr>
            <w:tcW w:type="dxa" w:w="1200"/>
          </w:tcPr>
          <w:p>
            <w:r>
              <w:rPr>
                <w:b w:val="false"/>
                <w:bCs w:val="false"/>
              </w:rPr>
              <w:t xml:space="preserve">Phase A</w:t>
            </w:r>
          </w:p>
        </w:tc>
        <w:tc>
          <w:tcPr>
            <w:tcW w:type="dxa" w:w="3200"/>
          </w:tcPr>
          <w:p>
            <w:r>
              <w:rPr>
                <w:b w:val="false"/>
                <w:bCs w:val="false"/>
              </w:rPr>
              <w:t xml:space="preserve">Enterprise Execution Governance Framework</w:t>
            </w:r>
          </w:p>
        </w:tc>
        <w:tc>
          <w:tcPr>
            <w:tcW w:type="dxa" w:w="4600"/>
          </w:tcPr>
          <w:p>
            <w:r>
              <w:rPr>
                <w:b w:val="false"/>
                <w:bCs w:val="false"/>
              </w:rPr>
              <w:t xml:space="preserve">Provides the governance authorities, escalation paths, and decision rights that Phase H transition reviews, cutover go/no-go decisions, and rollback exceptions rely upon.</w:t>
            </w:r>
          </w:p>
        </w:tc>
      </w:tr>
      <w:tr>
        <w:tc>
          <w:tcPr>
            <w:tcW w:type="dxa" w:w="1200"/>
          </w:tcPr>
          <w:p>
            <w:r>
              <w:rPr>
                <w:b w:val="false"/>
                <w:bCs w:val="false"/>
              </w:rPr>
              <w:t xml:space="preserve">Phase B</w:t>
            </w:r>
          </w:p>
        </w:tc>
        <w:tc>
          <w:tcPr>
            <w:tcW w:type="dxa" w:w="3200"/>
          </w:tcPr>
          <w:p>
            <w:r>
              <w:rPr>
                <w:b w:val="false"/>
                <w:bCs w:val="false"/>
              </w:rPr>
              <w:t xml:space="preserve">Enterprise Portfolio Execution Planning</w:t>
            </w:r>
          </w:p>
        </w:tc>
        <w:tc>
          <w:tcPr>
            <w:tcW w:type="dxa" w:w="4600"/>
          </w:tcPr>
          <w:p>
            <w:r>
              <w:rPr>
                <w:b w:val="false"/>
                <w:bCs w:val="false"/>
              </w:rPr>
              <w:t xml:space="preserve">Provides the Wave and Portfolio structures against which production transition is sequenced and reported.</w:t>
            </w:r>
          </w:p>
        </w:tc>
      </w:tr>
      <w:tr>
        <w:tc>
          <w:tcPr>
            <w:tcW w:type="dxa" w:w="1200"/>
          </w:tcPr>
          <w:p>
            <w:r>
              <w:rPr>
                <w:b w:val="false"/>
                <w:bCs w:val="false"/>
              </w:rPr>
              <w:t xml:space="preserve">Phase C</w:t>
            </w:r>
          </w:p>
        </w:tc>
        <w:tc>
          <w:tcPr>
            <w:tcW w:type="dxa" w:w="3200"/>
          </w:tcPr>
          <w:p>
            <w:r>
              <w:rPr>
                <w:b w:val="false"/>
                <w:bCs w:val="false"/>
              </w:rPr>
              <w:t xml:space="preserve">Enterprise Engineering Execution Control</w:t>
            </w:r>
          </w:p>
        </w:tc>
        <w:tc>
          <w:tcPr>
            <w:tcW w:type="dxa" w:w="4600"/>
          </w:tcPr>
          <w:p>
            <w:r>
              <w:rPr>
                <w:b w:val="false"/>
                <w:bCs w:val="false"/>
              </w:rPr>
              <w:t xml:space="preserve">Provides the engineering execution controls whose outputs feed cutover runbooks and production verification scripts.</w:t>
            </w:r>
          </w:p>
        </w:tc>
      </w:tr>
      <w:tr>
        <w:tc>
          <w:tcPr>
            <w:tcW w:type="dxa" w:w="1200"/>
          </w:tcPr>
          <w:p>
            <w:r>
              <w:rPr>
                <w:b w:val="false"/>
                <w:bCs w:val="false"/>
              </w:rPr>
              <w:t xml:space="preserve">Phase D</w:t>
            </w:r>
          </w:p>
        </w:tc>
        <w:tc>
          <w:tcPr>
            <w:tcW w:type="dxa" w:w="3200"/>
          </w:tcPr>
          <w:p>
            <w:r>
              <w:rPr>
                <w:b w:val="false"/>
                <w:bCs w:val="false"/>
              </w:rPr>
              <w:t xml:space="preserve">Enterprise Work Package Realization Governance</w:t>
            </w:r>
          </w:p>
        </w:tc>
        <w:tc>
          <w:tcPr>
            <w:tcW w:type="dxa" w:w="4600"/>
          </w:tcPr>
          <w:p>
            <w:r>
              <w:rPr>
                <w:b w:val="false"/>
                <w:bCs w:val="false"/>
              </w:rPr>
              <w:t xml:space="preserve">Provides the Work Package realization status that is a precondition of the transition lifecycle.</w:t>
            </w:r>
          </w:p>
        </w:tc>
      </w:tr>
      <w:tr>
        <w:tc>
          <w:tcPr>
            <w:tcW w:type="dxa" w:w="1200"/>
          </w:tcPr>
          <w:p>
            <w:r>
              <w:rPr>
                <w:b w:val="false"/>
                <w:bCs w:val="false"/>
              </w:rPr>
              <w:t xml:space="preserve">Phase E</w:t>
            </w:r>
          </w:p>
        </w:tc>
        <w:tc>
          <w:tcPr>
            <w:tcW w:type="dxa" w:w="3200"/>
          </w:tcPr>
          <w:p>
            <w:r>
              <w:rPr>
                <w:b w:val="false"/>
                <w:bCs w:val="false"/>
              </w:rPr>
              <w:t xml:space="preserve">Enterprise Architecture Compliance During Delivery</w:t>
            </w:r>
          </w:p>
        </w:tc>
        <w:tc>
          <w:tcPr>
            <w:tcW w:type="dxa" w:w="4600"/>
          </w:tcPr>
          <w:p>
            <w:r>
              <w:rPr>
                <w:b w:val="false"/>
                <w:bCs w:val="false"/>
              </w:rPr>
              <w:t xml:space="preserve">Provides the compliance verification that must remain intact through cutover and stabilization.</w:t>
            </w:r>
          </w:p>
        </w:tc>
      </w:tr>
      <w:tr>
        <w:tc>
          <w:tcPr>
            <w:tcW w:type="dxa" w:w="1200"/>
          </w:tcPr>
          <w:p>
            <w:r>
              <w:rPr>
                <w:b w:val="false"/>
                <w:bCs w:val="false"/>
              </w:rPr>
              <w:t xml:space="preserve">Phase F</w:t>
            </w:r>
          </w:p>
        </w:tc>
        <w:tc>
          <w:tcPr>
            <w:tcW w:type="dxa" w:w="3200"/>
          </w:tcPr>
          <w:p>
            <w:r>
              <w:rPr>
                <w:b w:val="false"/>
                <w:bCs w:val="false"/>
              </w:rPr>
              <w:t xml:space="preserve">Enterprise Release &amp; Deployment Governance</w:t>
            </w:r>
          </w:p>
        </w:tc>
        <w:tc>
          <w:tcPr>
            <w:tcW w:type="dxa" w:w="4600"/>
          </w:tcPr>
          <w:p>
            <w:r>
              <w:rPr>
                <w:b w:val="false"/>
                <w:bCs w:val="false"/>
              </w:rPr>
              <w:t xml:space="preserve">Provides the release approval and deployment verification that precede operational readiness assessment in the lifecycle.</w:t>
            </w:r>
          </w:p>
        </w:tc>
      </w:tr>
      <w:tr>
        <w:tc>
          <w:tcPr>
            <w:tcW w:type="dxa" w:w="1200"/>
          </w:tcPr>
          <w:p>
            <w:r>
              <w:rPr>
                <w:b w:val="false"/>
                <w:bCs w:val="false"/>
              </w:rPr>
              <w:t xml:space="preserve">Phase G</w:t>
            </w:r>
          </w:p>
        </w:tc>
        <w:tc>
          <w:tcPr>
            <w:tcW w:type="dxa" w:w="3200"/>
          </w:tcPr>
          <w:p>
            <w:r>
              <w:rPr>
                <w:b w:val="false"/>
                <w:bCs w:val="false"/>
              </w:rPr>
              <w:t xml:space="preserve">Enterprise Operational Readiness</w:t>
            </w:r>
          </w:p>
        </w:tc>
        <w:tc>
          <w:tcPr>
            <w:tcW w:type="dxa" w:w="4600"/>
          </w:tcPr>
          <w:p>
            <w:r>
              <w:rPr>
                <w:b w:val="false"/>
                <w:bCs w:val="false"/>
              </w:rPr>
              <w:t xml:space="preserve">Provides the Operational Acceptance decision that is the entry condition for Production Transition under this document.</w:t>
            </w:r>
          </w:p>
        </w:tc>
      </w:tr>
    </w:tbl>
    <w:p>
      <w:pPr>
        <w:spacing w:after="160"/>
      </w:pPr>
      <w:r>
        <w:t xml:space="preserve"/>
      </w:r>
    </w:p>
    <w:p>
      <w:pPr>
        <w:spacing w:after="160"/>
      </w:pPr>
      <w:r>
        <w:t xml:space="preserve">Phase H begins where Phase G ends: a Work Package that has achieved Operational Acceptance under Phase G becomes eligible for Production Transition assessment under Phase H. Phase H does not repeat, duplicate, or override any control, gate, or artifact defined in Phases A through G.</w:t>
      </w:r>
    </w:p>
    <w:p>
      <w:pPr>
        <w:pStyle w:val="Heading1"/>
        <w:spacing w:after="200" w:before="400"/>
      </w:pPr>
      <w:r>
        <w:t xml:space="preserve">6. Production Transition Philosophy</w:t>
      </w:r>
    </w:p>
    <w:p>
      <w:pPr>
        <w:spacing w:after="160"/>
      </w:pPr>
      <w:r>
        <w:t xml:space="preserve">Production transition is treated as a controlled, reversible, evidence-based discipline rather than a single irreversible event. A capability does not become production-ready because a deployment succeeded or because operational readiness was assessed; it becomes production-ready because the organization has demonstrated — with evidence — that ownership, cutover, verification, and stabilization can be executed and, if necessary, reversed without unacceptable harm to users or data.</w:t>
      </w:r>
    </w:p>
    <w:p>
      <w:pPr>
        <w:spacing w:after="160"/>
      </w:pPr>
      <w:r>
        <w:t xml:space="preserve">This document adopts three philosophical commitments that govern every subsequent section:</w:t>
      </w:r>
    </w:p>
    <w:p>
      <w:pPr>
        <w:pStyle w:val="ListParagraph"/>
        <w:numPr>
          <w:ilvl w:val="0"/>
          <w:numId w:val="1"/>
        </w:numPr>
        <w:spacing w:after="100"/>
      </w:pPr>
      <w:r>
        <w:t xml:space="preserve">Evidence over assertion: transition is demonstrated through signed acceptance records, cutover logs, verification results, and hypercare incident data, not through narrative claims of readiness.</w:t>
      </w:r>
    </w:p>
    <w:p>
      <w:pPr>
        <w:pStyle w:val="ListParagraph"/>
        <w:numPr>
          <w:ilvl w:val="0"/>
          <w:numId w:val="1"/>
        </w:numPr>
        <w:spacing w:after="100"/>
      </w:pPr>
      <w:r>
        <w:t xml:space="preserve">Reversibility over irreversibility: no cutover proceeds without a tested, pre-approved rollback path, and rollback is treated as a normal governance outcome rather than a failure to be hidden.</w:t>
      </w:r>
    </w:p>
    <w:p>
      <w:pPr>
        <w:pStyle w:val="ListParagraph"/>
        <w:numPr>
          <w:ilvl w:val="0"/>
          <w:numId w:val="1"/>
        </w:numPr>
        <w:spacing w:after="100"/>
      </w:pPr>
      <w:r>
        <w:t xml:space="preserve">Continuity over point-in-time approval: production transition is not complete at cutover; it is only complete once hypercare and stabilization have been formally closed and ownership has been confirmed transferred.</w:t>
      </w:r>
    </w:p>
    <w:p>
      <w:pPr>
        <w:pStyle w:val="Heading1"/>
        <w:spacing w:after="200" w:before="400"/>
      </w:pPr>
      <w:r>
        <w:t xml:space="preserve">7. Production Transition Principles</w:t>
      </w:r>
    </w:p>
    <w:p>
      <w:pPr>
        <w:pStyle w:val="ListParagraph"/>
        <w:numPr>
          <w:ilvl w:val="0"/>
          <w:numId w:val="1"/>
        </w:numPr>
        <w:spacing w:after="100"/>
      </w:pPr>
      <w:r>
        <w:t xml:space="preserve">Principle 1 — No Work Package enters cutover without a completed Production Acceptance determination and a tested rollback plan.</w:t>
      </w:r>
    </w:p>
    <w:p>
      <w:pPr>
        <w:pStyle w:val="ListParagraph"/>
        <w:numPr>
          <w:ilvl w:val="0"/>
          <w:numId w:val="1"/>
        </w:numPr>
        <w:spacing w:after="100"/>
      </w:pPr>
      <w:r>
        <w:t xml:space="preserve">Principle 2 — Production transition does not redesign architecture, re-litigate engineering or release decisions, or reopen operational readiness assessments; it governs the transition event and its immediate aftermath only.</w:t>
      </w:r>
    </w:p>
    <w:p>
      <w:pPr>
        <w:pStyle w:val="ListParagraph"/>
        <w:numPr>
          <w:ilvl w:val="0"/>
          <w:numId w:val="1"/>
        </w:numPr>
        <w:spacing w:after="100"/>
      </w:pPr>
      <w:r>
        <w:t xml:space="preserve">Principle 3 — Every transition claim is traceable to a specific artifact (acceptance record, cutover log, verification result, hypercare report, stabilization report) referenced in the Production Transition Repository (Section 26).</w:t>
      </w:r>
    </w:p>
    <w:p>
      <w:pPr>
        <w:pStyle w:val="ListParagraph"/>
        <w:numPr>
          <w:ilvl w:val="0"/>
          <w:numId w:val="1"/>
        </w:numPr>
        <w:spacing w:after="100"/>
      </w:pPr>
      <w:r>
        <w:t xml:space="preserve">Principle 4 — Production transition gaps, incidents, or rollbacks are logged as Action Points or Variances under the ERP-02 Phase A governance framework, not silently absorbed.</w:t>
      </w:r>
    </w:p>
    <w:p>
      <w:pPr>
        <w:pStyle w:val="ListParagraph"/>
        <w:numPr>
          <w:ilvl w:val="0"/>
          <w:numId w:val="1"/>
        </w:numPr>
        <w:spacing w:after="100"/>
      </w:pPr>
      <w:r>
        <w:t xml:space="preserve">Principle 5 — Production transition status is reported honestly at all times, including to executive stakeholders, using the standard status vocabulary defined in the Status Rules of this document.</w:t>
      </w:r>
    </w:p>
    <w:p>
      <w:pPr>
        <w:pStyle w:val="ListParagraph"/>
        <w:numPr>
          <w:ilvl w:val="0"/>
          <w:numId w:val="1"/>
        </w:numPr>
        <w:spacing w:after="100"/>
      </w:pPr>
      <w:r>
        <w:t xml:space="preserve">Principle 6 — Production transition rigor is proportionate: the depth of cutover planning, hypercare duration, and stabilization monitoring scales with the criticality, data sensitivity, and blast radius of the Work Package, as classified in ERP-01.</w:t>
      </w:r>
    </w:p>
    <w:p>
      <w:pPr>
        <w:pStyle w:val="ListParagraph"/>
        <w:numPr>
          <w:ilvl w:val="0"/>
          <w:numId w:val="1"/>
        </w:numPr>
        <w:spacing w:after="100"/>
      </w:pPr>
      <w:r>
        <w:t xml:space="preserve">Principle 7 — Ownership transfer is explicit and acknowledged in writing; a Work Package is never presumed to be operating under new ownership by default or by silence.</w:t>
      </w:r>
    </w:p>
    <w:p>
      <w:pPr>
        <w:pStyle w:val="Heading1"/>
        <w:spacing w:after="200" w:before="400"/>
      </w:pPr>
      <w:r>
        <w:t xml:space="preserve">8. Enterprise Production Transition Model</w:t>
      </w:r>
    </w:p>
    <w:p>
      <w:pPr>
        <w:spacing w:after="160"/>
      </w:pPr>
      <w:r>
        <w:t xml:space="preserve">The Enterprise Production Transition Model organizes transition into four layers, each of which must be satisfied before a Work Package can proceed to the next: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Pr>
          <w:p>
            <w:r>
              <w:rPr>
                <w:b/>
                <w:bCs/>
              </w:rPr>
              <w:t xml:space="preserve">Layer</w:t>
            </w:r>
          </w:p>
        </w:tc>
        <w:tc>
          <w:tcPr>
            <w:tcW w:type="dxa" w:w="5800"/>
            <w:shd w:fill="D9E2F3" w:val="clear"/>
          </w:tcPr>
          <w:p>
            <w:r>
              <w:rPr>
                <w:b/>
                <w:bCs/>
              </w:rPr>
              <w:t xml:space="preserve">Purpose</w:t>
            </w:r>
          </w:p>
        </w:tc>
      </w:tr>
      <w:tr>
        <w:tc>
          <w:tcPr>
            <w:tcW w:type="dxa" w:w="3200"/>
          </w:tcPr>
          <w:p>
            <w:r>
              <w:rPr>
                <w:b w:val="false"/>
                <w:bCs w:val="false"/>
              </w:rPr>
              <w:t xml:space="preserve">Layer 1 — Acceptance &amp; Ownership</w:t>
            </w:r>
          </w:p>
        </w:tc>
        <w:tc>
          <w:tcPr>
            <w:tcW w:type="dxa" w:w="5800"/>
          </w:tcPr>
          <w:p>
            <w:r>
              <w:rPr>
                <w:b w:val="false"/>
                <w:bCs w:val="false"/>
              </w:rPr>
              <w:t xml:space="preserve">Confirms formal Production Acceptance and a documented, acknowledged transfer of operational ownership from the delivery team to the operating team.</w:t>
            </w:r>
          </w:p>
        </w:tc>
      </w:tr>
      <w:tr>
        <w:tc>
          <w:tcPr>
            <w:tcW w:type="dxa" w:w="3200"/>
          </w:tcPr>
          <w:p>
            <w:r>
              <w:rPr>
                <w:b w:val="false"/>
                <w:bCs w:val="false"/>
              </w:rPr>
              <w:t xml:space="preserve">Layer 2 — Cutover</w:t>
            </w:r>
          </w:p>
        </w:tc>
        <w:tc>
          <w:tcPr>
            <w:tcW w:type="dxa" w:w="5800"/>
          </w:tcPr>
          <w:p>
            <w:r>
              <w:rPr>
                <w:b w:val="false"/>
                <w:bCs w:val="false"/>
              </w:rPr>
              <w:t xml:space="preserve">Confirms a governed, reversible cutover executed against an approved plan, window, and go/no-go decision.</w:t>
            </w:r>
          </w:p>
        </w:tc>
      </w:tr>
      <w:tr>
        <w:tc>
          <w:tcPr>
            <w:tcW w:type="dxa" w:w="3200"/>
          </w:tcPr>
          <w:p>
            <w:r>
              <w:rPr>
                <w:b w:val="false"/>
                <w:bCs w:val="false"/>
              </w:rPr>
              <w:t xml:space="preserve">Layer 3 — Hypercare &amp; Stabilization</w:t>
            </w:r>
          </w:p>
        </w:tc>
        <w:tc>
          <w:tcPr>
            <w:tcW w:type="dxa" w:w="5800"/>
          </w:tcPr>
          <w:p>
            <w:r>
              <w:rPr>
                <w:b w:val="false"/>
                <w:bCs w:val="false"/>
              </w:rPr>
              <w:t xml:space="preserve">Confirms intensified post-cutover monitoring and support, tapering to steady-state thresholds only once stability criteria are met.</w:t>
            </w:r>
          </w:p>
        </w:tc>
      </w:tr>
      <w:tr>
        <w:tc>
          <w:tcPr>
            <w:tcW w:type="dxa" w:w="3200"/>
          </w:tcPr>
          <w:p>
            <w:r>
              <w:rPr>
                <w:b w:val="false"/>
                <w:bCs w:val="false"/>
              </w:rPr>
              <w:t xml:space="preserve">Layer 4 — Production Verification &amp; Handover</w:t>
            </w:r>
          </w:p>
        </w:tc>
        <w:tc>
          <w:tcPr>
            <w:tcW w:type="dxa" w:w="5800"/>
          </w:tcPr>
          <w:p>
            <w:r>
              <w:rPr>
                <w:b w:val="false"/>
                <w:bCs w:val="false"/>
              </w:rPr>
              <w:t xml:space="preserve">Confirms live service behavior matches architectural and release intent, and confirms formal handover to Production Support.</w:t>
            </w:r>
          </w:p>
        </w:tc>
      </w:tr>
    </w:tbl>
    <w:p>
      <w:pPr>
        <w:spacing w:after="160"/>
      </w:pPr>
      <w:r>
        <w:t xml:space="preserve">A Work Package cannot progress to the next layer with an incomplete prior layer; each layer's requirements are elaborated in Sections 10 through 17.</w:t>
      </w:r>
    </w:p>
    <w:p>
      <w:pPr>
        <w:pStyle w:val="Heading1"/>
        <w:spacing w:after="200" w:before="400"/>
      </w:pPr>
      <w:r>
        <w:t xml:space="preserve">9. Production Transition Lifecycle</w:t>
      </w:r>
    </w:p>
    <w:p>
      <w:pPr>
        <w:spacing w:after="160"/>
      </w:pPr>
      <w:r>
        <w:t xml:space="preserve">The canonical lifecycle governed across ERP-02 in its entirety, with Phase H's contribution shown in bold context, is:</w:t>
      </w:r>
    </w:p>
    <w:p>
      <w:pPr>
        <w:pStyle w:val="ListParagraph"/>
        <w:numPr>
          <w:ilvl w:val="0"/>
          <w:numId w:val="1"/>
        </w:numPr>
        <w:spacing w:after="100"/>
      </w:pPr>
      <w:r>
        <w:t xml:space="preserve">1. Architecture Approved</w:t>
      </w:r>
    </w:p>
    <w:p>
      <w:pPr>
        <w:pStyle w:val="ListParagraph"/>
        <w:numPr>
          <w:ilvl w:val="0"/>
          <w:numId w:val="1"/>
        </w:numPr>
        <w:spacing w:after="100"/>
      </w:pPr>
      <w:r>
        <w:t xml:space="preserve">2. Engineering Controlled</w:t>
      </w:r>
    </w:p>
    <w:p>
      <w:pPr>
        <w:pStyle w:val="ListParagraph"/>
        <w:numPr>
          <w:ilvl w:val="0"/>
          <w:numId w:val="1"/>
        </w:numPr>
        <w:spacing w:after="100"/>
      </w:pPr>
      <w:r>
        <w:t xml:space="preserve">3. Work Package Realized</w:t>
      </w:r>
    </w:p>
    <w:p>
      <w:pPr>
        <w:pStyle w:val="ListParagraph"/>
        <w:numPr>
          <w:ilvl w:val="0"/>
          <w:numId w:val="1"/>
        </w:numPr>
        <w:spacing w:after="100"/>
      </w:pPr>
      <w:r>
        <w:t xml:space="preserve">4. Architecture Compliant</w:t>
      </w:r>
    </w:p>
    <w:p>
      <w:pPr>
        <w:pStyle w:val="ListParagraph"/>
        <w:numPr>
          <w:ilvl w:val="0"/>
          <w:numId w:val="1"/>
        </w:numPr>
        <w:spacing w:after="100"/>
      </w:pPr>
      <w:r>
        <w:t xml:space="preserve">5. Release Approved</w:t>
      </w:r>
    </w:p>
    <w:p>
      <w:pPr>
        <w:pStyle w:val="ListParagraph"/>
        <w:numPr>
          <w:ilvl w:val="0"/>
          <w:numId w:val="1"/>
        </w:numPr>
        <w:spacing w:after="100"/>
      </w:pPr>
      <w:r>
        <w:t xml:space="preserve">6. Deployment Verified</w:t>
      </w:r>
    </w:p>
    <w:p>
      <w:pPr>
        <w:pStyle w:val="ListParagraph"/>
        <w:numPr>
          <w:ilvl w:val="0"/>
          <w:numId w:val="1"/>
        </w:numPr>
        <w:spacing w:after="100"/>
      </w:pPr>
      <w:r>
        <w:t xml:space="preserve">7. Operational Acceptance</w:t>
      </w:r>
    </w:p>
    <w:p>
      <w:pPr>
        <w:pStyle w:val="ListParagraph"/>
        <w:numPr>
          <w:ilvl w:val="0"/>
          <w:numId w:val="1"/>
        </w:numPr>
        <w:spacing w:after="100"/>
      </w:pPr>
      <w:r>
        <w:t xml:space="preserve">8. Production Transition</w:t>
      </w:r>
    </w:p>
    <w:p>
      <w:pPr>
        <w:pStyle w:val="ListParagraph"/>
        <w:numPr>
          <w:ilvl w:val="0"/>
          <w:numId w:val="1"/>
        </w:numPr>
        <w:spacing w:after="100"/>
      </w:pPr>
      <w:r>
        <w:t xml:space="preserve">9. Hypercare</w:t>
      </w:r>
    </w:p>
    <w:p>
      <w:pPr>
        <w:pStyle w:val="ListParagraph"/>
        <w:numPr>
          <w:ilvl w:val="0"/>
          <w:numId w:val="1"/>
        </w:numPr>
        <w:spacing w:after="100"/>
      </w:pPr>
      <w:r>
        <w:t xml:space="preserve">10. Stabilization</w:t>
      </w:r>
    </w:p>
    <w:p>
      <w:pPr>
        <w:pStyle w:val="ListParagraph"/>
        <w:numPr>
          <w:ilvl w:val="0"/>
          <w:numId w:val="1"/>
        </w:numPr>
        <w:spacing w:after="100"/>
      </w:pPr>
      <w:r>
        <w:t xml:space="preserve">11. Production Service</w:t>
      </w:r>
    </w:p>
    <w:p>
      <w:pPr>
        <w:pStyle w:val="ListParagraph"/>
        <w:numPr>
          <w:ilvl w:val="0"/>
          <w:numId w:val="1"/>
        </w:numPr>
        <w:spacing w:after="100"/>
      </w:pPr>
      <w:r>
        <w:t xml:space="preserve">12. Steady-State Operations</w:t>
      </w:r>
    </w:p>
    <w:p>
      <w:pPr>
        <w:spacing w:after="160"/>
      </w:pPr>
      <w:r>
        <w:t xml:space="preserve">Steps 1–6 are governed by ERP-02 Phases A–F. Step 7 (Operational Acceptance) is governed by ERP-02 Phase G. Steps 8–10 (Production Transition, Hypercare, Stabilization) are governed by this document. Step 11 (Production Service) is the outcome this document certifies but does not itself operate. Step 12 (Steady-State Operations) is reserved for a future realization phase and is not addressed here.</w:t>
      </w:r>
    </w:p>
    <w:p>
      <w:pPr>
        <w:spacing w:after="160"/>
      </w:pPr>
      <w:r>
        <w:rPr>
          <w:i/>
          <w:iCs/>
        </w:rPr>
        <w:t xml:space="preserve">Production Transition is distinguished from Operational Readiness (ERP-02 Phase G), which assesses preparedness before the fact, and from Production Operations (a future phase), which governs sustained day-to-day running of the service after stabilization is complete. Phase H governs only the event of transition and its immediate, time-bounded aftermath.</w:t>
      </w:r>
    </w:p>
    <w:p>
      <w:pPr>
        <w:pStyle w:val="Heading1"/>
        <w:spacing w:after="200" w:before="400"/>
      </w:pPr>
      <w:r>
        <w:t xml:space="preserve">10. Production Acceptance</w:t>
      </w:r>
    </w:p>
    <w:p>
      <w:pPr>
        <w:spacing w:after="160"/>
      </w:pPr>
      <w:r>
        <w:t xml:space="preserve">For every Work Package listed in the Production Transition Readiness Register (Section 26.1), Production Acceptance requires evidence against each of the following prerequisites:</w:t>
      </w:r>
    </w:p>
    <w:p>
      <w:pPr>
        <w:pStyle w:val="ListParagraph"/>
        <w:numPr>
          <w:ilvl w:val="0"/>
          <w:numId w:val="1"/>
        </w:numPr>
        <w:spacing w:after="100"/>
      </w:pPr>
      <w:r>
        <w:t xml:space="preserve">Production prerequisite: confirmation that Operational Acceptance under ERP-02 Phase G has been recorded without open Critical or High operational risk.</w:t>
      </w:r>
    </w:p>
    <w:p>
      <w:pPr>
        <w:pStyle w:val="ListParagraph"/>
        <w:numPr>
          <w:ilvl w:val="0"/>
          <w:numId w:val="1"/>
        </w:numPr>
        <w:spacing w:after="100"/>
      </w:pPr>
      <w:r>
        <w:t xml:space="preserve">Operational acceptance prerequisite: the Phase G Operational Acceptance record reference for the Work Package.</w:t>
      </w:r>
    </w:p>
    <w:p>
      <w:pPr>
        <w:pStyle w:val="ListParagraph"/>
        <w:numPr>
          <w:ilvl w:val="0"/>
          <w:numId w:val="1"/>
        </w:numPr>
        <w:spacing w:after="100"/>
      </w:pPr>
      <w:r>
        <w:t xml:space="preserve">Ownership transfer prerequisite: identification of the accepting operating team and its acknowledgement of readiness to accept ownership.</w:t>
      </w:r>
    </w:p>
    <w:p>
      <w:pPr>
        <w:pStyle w:val="ListParagraph"/>
        <w:numPr>
          <w:ilvl w:val="0"/>
          <w:numId w:val="1"/>
        </w:numPr>
        <w:spacing w:after="100"/>
      </w:pPr>
      <w:r>
        <w:t xml:space="preserve">Cutover prerequisite: an approved cutover plan, window, and rollback plan specific to the Work Package.</w:t>
      </w:r>
    </w:p>
    <w:p>
      <w:pPr>
        <w:pStyle w:val="ListParagraph"/>
        <w:numPr>
          <w:ilvl w:val="0"/>
          <w:numId w:val="1"/>
        </w:numPr>
        <w:spacing w:after="100"/>
      </w:pPr>
      <w:r>
        <w:t xml:space="preserve">Hypercare prerequisite: a defined hypercare duration, monitoring thresholds, and escalation path.</w:t>
      </w:r>
    </w:p>
    <w:p>
      <w:pPr>
        <w:pStyle w:val="ListParagraph"/>
        <w:numPr>
          <w:ilvl w:val="0"/>
          <w:numId w:val="1"/>
        </w:numPr>
        <w:spacing w:after="100"/>
      </w:pPr>
      <w:r>
        <w:t xml:space="preserve">Stabilization prerequisite: defined stabilization exit criteria distinct from hypercare exit criteria.</w:t>
      </w:r>
    </w:p>
    <w:p>
      <w:pPr>
        <w:pStyle w:val="ListParagraph"/>
        <w:numPr>
          <w:ilvl w:val="0"/>
          <w:numId w:val="1"/>
        </w:numPr>
        <w:spacing w:after="100"/>
      </w:pPr>
      <w:r>
        <w:t xml:space="preserve">Production verification prerequisite: a defined set of post-cutover verification checks mapped to the Work Package's architecture requirements and release scope.</w:t>
      </w:r>
    </w:p>
    <w:p>
      <w:pPr>
        <w:pStyle w:val="ListParagraph"/>
        <w:numPr>
          <w:ilvl w:val="0"/>
          <w:numId w:val="1"/>
        </w:numPr>
        <w:spacing w:after="100"/>
      </w:pPr>
      <w:r>
        <w:t xml:space="preserve">Rollback prerequisite: a tested rollback procedure with a defined maximum execution time.</w:t>
      </w:r>
    </w:p>
    <w:p>
      <w:pPr>
        <w:pStyle w:val="ListParagraph"/>
        <w:numPr>
          <w:ilvl w:val="0"/>
          <w:numId w:val="1"/>
        </w:numPr>
        <w:spacing w:after="100"/>
      </w:pPr>
      <w:r>
        <w:t xml:space="preserve">Transition evidence required: the specific artifact types listed in Section 20 that must exist before Production Acceptance can be recorded.</w:t>
      </w:r>
    </w:p>
    <w:p>
      <w:pPr>
        <w:pStyle w:val="ListParagraph"/>
        <w:numPr>
          <w:ilvl w:val="0"/>
          <w:numId w:val="1"/>
        </w:numPr>
        <w:spacing w:after="100"/>
      </w:pPr>
      <w:r>
        <w:t xml:space="preserve">Production acceptance evidence: the signed Production Acceptance record itself, once it exists.</w:t>
      </w:r>
    </w:p>
    <w:p>
      <w:pPr>
        <w:pStyle w:val="ListParagraph"/>
        <w:numPr>
          <w:ilvl w:val="0"/>
          <w:numId w:val="1"/>
        </w:numPr>
        <w:spacing w:after="100"/>
      </w:pPr>
      <w:r>
        <w:t xml:space="preserve">Current transition status: reported using the Status Rules of this document.</w:t>
      </w:r>
    </w:p>
    <w:p>
      <w:pPr>
        <w:spacing w:after="160"/>
      </w:pPr>
      <w:r>
        <w:rPr>
          <w:b/>
          <w:bCs/>
        </w:rPr>
        <w:t xml:space="preserve">Current transition status for every Work Package in this document is: "Production Transition Not Yet Assessable," unless repository evidence in Section 26.1 proves otherwise.</w:t>
      </w:r>
    </w:p>
    <w:p>
      <w:pPr>
        <w:pStyle w:val="Heading1"/>
        <w:spacing w:after="200" w:before="400"/>
      </w:pPr>
      <w:r>
        <w:t xml:space="preserve">11. Service Transition Governance</w:t>
      </w:r>
    </w:p>
    <w:p>
      <w:pPr>
        <w:spacing w:after="160"/>
      </w:pPr>
      <w:r>
        <w:t xml:space="preserve">Service Transition Governance defines the decision rights, planning artifacts, and review checkpoints that convert an operationally accepted Work Package into a transition-ready candidate. It requires a Service Transition Plan for each Work Package, covering the target cutover window, dependent services, communication plan to affected users, and a named Transition Owner accountable for the plan's execution.</w:t>
      </w:r>
    </w:p>
    <w:p>
      <w:pPr>
        <w:spacing w:after="160"/>
      </w:pPr>
      <w:r>
        <w:t xml:space="preserve">No Work Package proceeds to cutover planning (Section 13) without an approved Service Transition Plan. Approval authority rests with the governance bodies established under ERP-02 Phase A; Phase H introduces no new approval authority.</w:t>
      </w:r>
    </w:p>
    <w:p>
      <w:pPr>
        <w:pStyle w:val="Heading1"/>
        <w:spacing w:after="200" w:before="400"/>
      </w:pPr>
      <w:r>
        <w:t xml:space="preserve">12. Production Ownership Transfer</w:t>
      </w:r>
    </w:p>
    <w:p>
      <w:pPr>
        <w:spacing w:after="160"/>
      </w:pPr>
      <w:r>
        <w:t xml:space="preserve">Ownership transfer moves accountability for a Work Package's operation from the delivery team that built or released it to the operating team that will run it in steady state. Ownership transfer is never presumed by the passage of time, by deployment success, or by silence from either party.</w:t>
      </w:r>
    </w:p>
    <w:p>
      <w:pPr>
        <w:spacing w:after="160"/>
      </w:pPr>
      <w:r>
        <w:t xml:space="preserve">Ownership transfer requires:</w:t>
      </w:r>
    </w:p>
    <w:p>
      <w:pPr>
        <w:pStyle w:val="ListParagraph"/>
        <w:numPr>
          <w:ilvl w:val="0"/>
          <w:numId w:val="1"/>
        </w:numPr>
        <w:spacing w:after="100"/>
      </w:pPr>
      <w:r>
        <w:t xml:space="preserve">A named accepting owner (team or role) documented in the Production Transition Repository.</w:t>
      </w:r>
    </w:p>
    <w:p>
      <w:pPr>
        <w:pStyle w:val="ListParagraph"/>
        <w:numPr>
          <w:ilvl w:val="0"/>
          <w:numId w:val="1"/>
        </w:numPr>
        <w:spacing w:after="100"/>
      </w:pPr>
      <w:r>
        <w:t xml:space="preserve">Written acknowledgement from the accepting owner that operational documentation, runbooks, and training required under ERP-02 Phase G have been received and understood.</w:t>
      </w:r>
    </w:p>
    <w:p>
      <w:pPr>
        <w:pStyle w:val="ListParagraph"/>
        <w:numPr>
          <w:ilvl w:val="0"/>
          <w:numId w:val="1"/>
        </w:numPr>
        <w:spacing w:after="100"/>
      </w:pPr>
      <w:r>
        <w:t xml:space="preserve">A defined effective date and time at which accountability formally passes.</w:t>
      </w:r>
    </w:p>
    <w:p>
      <w:pPr>
        <w:pStyle w:val="ListParagraph"/>
        <w:numPr>
          <w:ilvl w:val="0"/>
          <w:numId w:val="1"/>
        </w:numPr>
        <w:spacing w:after="100"/>
      </w:pPr>
      <w:r>
        <w:t xml:space="preserve">An explicit statement of what, if anything, remains with the delivery team during hypercare (Section 14).</w:t>
      </w:r>
    </w:p>
    <w:p>
      <w:pPr>
        <w:pStyle w:val="Heading1"/>
        <w:spacing w:after="200" w:before="400"/>
      </w:pPr>
      <w:r>
        <w:t xml:space="preserve">13. Cutover Governance</w:t>
      </w:r>
    </w:p>
    <w:p>
      <w:pPr>
        <w:spacing w:after="160"/>
      </w:pPr>
      <w:r>
        <w:t xml:space="preserve">Cutover Governance defines how a Work Package moves from pre-production to live production traffic. Every cutover requires an approved Cutover Plan specifying the cutover window, sequencing of steps, validation checkpoints during cutover, and the specific conditions under which cutover is paused or reversed.</w:t>
      </w:r>
    </w:p>
    <w:p>
      <w:pPr>
        <w:spacing w:after="160"/>
      </w:pPr>
      <w:r>
        <w:t xml:space="preserve">Go/no-go decision authority for cutover rests with the governance bodies established under ERP-02 Phase A. A go decision requires confirmation that:</w:t>
      </w:r>
    </w:p>
    <w:p>
      <w:pPr>
        <w:pStyle w:val="ListParagraph"/>
        <w:numPr>
          <w:ilvl w:val="0"/>
          <w:numId w:val="1"/>
        </w:numPr>
        <w:spacing w:after="100"/>
      </w:pPr>
      <w:r>
        <w:t xml:space="preserve">Production Acceptance (Section 10) has been recorded for the Work Package.</w:t>
      </w:r>
    </w:p>
    <w:p>
      <w:pPr>
        <w:pStyle w:val="ListParagraph"/>
        <w:numPr>
          <w:ilvl w:val="0"/>
          <w:numId w:val="1"/>
        </w:numPr>
        <w:spacing w:after="100"/>
      </w:pPr>
      <w:r>
        <w:t xml:space="preserve">Ownership transfer (Section 12) is documented and acknowledged, or explicitly deferred to a stated post-cutover date within hypercare.</w:t>
      </w:r>
    </w:p>
    <w:p>
      <w:pPr>
        <w:pStyle w:val="ListParagraph"/>
        <w:numPr>
          <w:ilvl w:val="0"/>
          <w:numId w:val="1"/>
        </w:numPr>
        <w:spacing w:after="100"/>
      </w:pPr>
      <w:r>
        <w:t xml:space="preserve">The rollback plan (Section 17) has been reviewed and is executable within its stated maximum execution time.</w:t>
      </w:r>
    </w:p>
    <w:p>
      <w:pPr>
        <w:pStyle w:val="ListParagraph"/>
        <w:numPr>
          <w:ilvl w:val="0"/>
          <w:numId w:val="1"/>
        </w:numPr>
        <w:spacing w:after="100"/>
      </w:pPr>
      <w:r>
        <w:t xml:space="preserve">No open Critical or High risk exists in the Production Risk Register (Section 22) for the Work Package.</w:t>
      </w:r>
    </w:p>
    <w:p>
      <w:pPr>
        <w:spacing w:after="160"/>
      </w:pPr>
      <w:r>
        <w:t xml:space="preserve">Emergency cutover — cutover executed outside a pre-approved window in response to a critical business need — is permitted only through the exception process defined in Section 16, and requires retrospective governance review within a defined period after the fact.</w:t>
      </w:r>
    </w:p>
    <w:p>
      <w:pPr>
        <w:pStyle w:val="Heading1"/>
        <w:spacing w:after="200" w:before="400"/>
      </w:pPr>
      <w:r>
        <w:t xml:space="preserve">14. Hypercare Governance</w:t>
      </w:r>
    </w:p>
    <w:p>
      <w:pPr>
        <w:spacing w:after="160"/>
      </w:pPr>
      <w:r>
        <w:t xml:space="preserve">Hypercare is the intensified support period immediately following cutover, during which monitoring thresholds are tightened, escalation paths are staffed at elevated readiness, and both the delivery team and the accepting operating team remain actively engaged. Hypercare duration is defined per Work Package in the Service Transition Plan and scales with the criticality classification established in ERP-01.</w:t>
      </w:r>
    </w:p>
    <w:p>
      <w:pPr>
        <w:spacing w:after="160"/>
      </w:pPr>
      <w:r>
        <w:t xml:space="preserve">Hypercare exit requires evidence that:</w:t>
      </w:r>
    </w:p>
    <w:p>
      <w:pPr>
        <w:pStyle w:val="ListParagraph"/>
        <w:numPr>
          <w:ilvl w:val="0"/>
          <w:numId w:val="1"/>
        </w:numPr>
        <w:spacing w:after="100"/>
      </w:pPr>
      <w:r>
        <w:t xml:space="preserve">No unresolved Critical or High severity incident is attributable to the transitioned Work Package.</w:t>
      </w:r>
    </w:p>
    <w:p>
      <w:pPr>
        <w:pStyle w:val="ListParagraph"/>
        <w:numPr>
          <w:ilvl w:val="0"/>
          <w:numId w:val="1"/>
        </w:numPr>
        <w:spacing w:after="100"/>
      </w:pPr>
      <w:r>
        <w:t xml:space="preserve">Monitoring and alerting have operated within defined thresholds for the full hypercare duration, or any threshold breach has been investigated and dispositioned.</w:t>
      </w:r>
    </w:p>
    <w:p>
      <w:pPr>
        <w:pStyle w:val="ListParagraph"/>
        <w:numPr>
          <w:ilvl w:val="0"/>
          <w:numId w:val="1"/>
        </w:numPr>
        <w:spacing w:after="100"/>
      </w:pPr>
      <w:r>
        <w:t xml:space="preserve">The accepting operating team confirms readiness to proceed to Stabilization (Section 15) without delivery-team hypercare support.</w:t>
      </w:r>
    </w:p>
    <w:p>
      <w:pPr>
        <w:spacing w:after="160"/>
      </w:pPr>
      <w:r>
        <w:t xml:space="preserve">Where hypercare exit criteria are not met, hypercare is extended rather than allowed to lapse silently; an extension is itself a governance decision recorded in the Production Transition Repository.</w:t>
      </w:r>
    </w:p>
    <w:p>
      <w:pPr>
        <w:pStyle w:val="Heading1"/>
        <w:spacing w:after="200" w:before="400"/>
      </w:pPr>
      <w:r>
        <w:t xml:space="preserve">15. Stabilization Governance</w:t>
      </w:r>
    </w:p>
    <w:p>
      <w:pPr>
        <w:spacing w:after="160"/>
      </w:pPr>
      <w:r>
        <w:t xml:space="preserve">Stabilization follows hypercare and precedes Production Service. It confirms that a Work Package continues to perform within acceptable operational parameters once hypercare's elevated support posture has tapered off. Stabilization exit criteria are distinct from, and typically more relaxed than, hypercare exit criteria, reflecting a lower but still elevated level of scrutiny relative to steady-state operations.</w:t>
      </w:r>
    </w:p>
    <w:p>
      <w:pPr>
        <w:spacing w:after="160"/>
      </w:pPr>
      <w:r>
        <w:t xml:space="preserve">Stabilization exit requires evidence that:</w:t>
      </w:r>
    </w:p>
    <w:p>
      <w:pPr>
        <w:pStyle w:val="ListParagraph"/>
        <w:numPr>
          <w:ilvl w:val="0"/>
          <w:numId w:val="1"/>
        </w:numPr>
        <w:spacing w:after="100"/>
      </w:pPr>
      <w:r>
        <w:t xml:space="preserve">Service-level indicators have remained within the targets defined for the Work Package's service tier for the full stabilization period.</w:t>
      </w:r>
    </w:p>
    <w:p>
      <w:pPr>
        <w:pStyle w:val="ListParagraph"/>
        <w:numPr>
          <w:ilvl w:val="0"/>
          <w:numId w:val="1"/>
        </w:numPr>
        <w:spacing w:after="100"/>
      </w:pPr>
      <w:r>
        <w:t xml:space="preserve">No Action Point or Variance opened during hypercare or stabilization remains open without a disposition.</w:t>
      </w:r>
    </w:p>
    <w:p>
      <w:pPr>
        <w:pStyle w:val="ListParagraph"/>
        <w:numPr>
          <w:ilvl w:val="0"/>
          <w:numId w:val="1"/>
        </w:numPr>
        <w:spacing w:after="100"/>
      </w:pPr>
      <w:r>
        <w:t xml:space="preserve">The Production Verification checks defined in Section 16 have been re-run and continue to pass at the end of the stabilization period.</w:t>
      </w:r>
    </w:p>
    <w:p>
      <w:pPr>
        <w:spacing w:after="160"/>
      </w:pPr>
      <w:r>
        <w:t xml:space="preserve">A Work Package that exits Stabilization successfully is recorded as having entered Production Service. Steady-State Operations governance, applied thereafter, is reserved for a future realization phase and is not defined by this document.</w:t>
      </w:r>
    </w:p>
    <w:p>
      <w:pPr>
        <w:pStyle w:val="Heading1"/>
        <w:spacing w:after="200" w:before="400"/>
      </w:pPr>
      <w:r>
        <w:t xml:space="preserve">16. Production Verification</w:t>
      </w:r>
    </w:p>
    <w:p>
      <w:pPr>
        <w:spacing w:after="160"/>
      </w:pPr>
      <w:r>
        <w:t xml:space="preserve">Production Verification confirms that live production behavior matches the architectural intent of ERP-01 and the release scope approved under ERP-02 Phase F. Verification is evidence-based and re-run at three points: immediately after cutover, at hypercare exit, and at stabilization exit.</w:t>
      </w:r>
    </w:p>
    <w:p>
      <w:pPr>
        <w:spacing w:after="160"/>
      </w:pPr>
      <w:r>
        <w:t xml:space="preserve">Verification evidence includes, where applicable to the Work Package:</w:t>
      </w:r>
    </w:p>
    <w:p>
      <w:pPr>
        <w:pStyle w:val="ListParagraph"/>
        <w:numPr>
          <w:ilvl w:val="0"/>
          <w:numId w:val="1"/>
        </w:numPr>
        <w:spacing w:after="100"/>
      </w:pPr>
      <w:r>
        <w:t xml:space="preserve">Functional verification against the release's approved scope</w:t>
      </w:r>
    </w:p>
    <w:p>
      <w:pPr>
        <w:pStyle w:val="ListParagraph"/>
        <w:numPr>
          <w:ilvl w:val="0"/>
          <w:numId w:val="1"/>
        </w:numPr>
        <w:spacing w:after="100"/>
      </w:pPr>
      <w:r>
        <w:t xml:space="preserve">Data integrity verification, including reconciliation against pre-cutover baselines where data migration occurred</w:t>
      </w:r>
    </w:p>
    <w:p>
      <w:pPr>
        <w:pStyle w:val="ListParagraph"/>
        <w:numPr>
          <w:ilvl w:val="0"/>
          <w:numId w:val="1"/>
        </w:numPr>
        <w:spacing w:after="100"/>
      </w:pPr>
      <w:r>
        <w:t xml:space="preserve">Performance verification against capacity and latency targets established under ERP-02 Phase G</w:t>
      </w:r>
    </w:p>
    <w:p>
      <w:pPr>
        <w:pStyle w:val="ListParagraph"/>
        <w:numPr>
          <w:ilvl w:val="0"/>
          <w:numId w:val="1"/>
        </w:numPr>
        <w:spacing w:after="100"/>
      </w:pPr>
      <w:r>
        <w:t xml:space="preserve">Security control verification in coordination with WP-SEC-01 outputs</w:t>
      </w:r>
    </w:p>
    <w:p>
      <w:pPr>
        <w:pStyle w:val="ListParagraph"/>
        <w:numPr>
          <w:ilvl w:val="0"/>
          <w:numId w:val="1"/>
        </w:numPr>
        <w:spacing w:after="100"/>
      </w:pPr>
      <w:r>
        <w:t xml:space="preserve">Integration verification against dependent services</w:t>
      </w:r>
    </w:p>
    <w:p>
      <w:pPr>
        <w:spacing w:after="160"/>
      </w:pPr>
      <w:r>
        <w:t xml:space="preserve">A verification failure at any checkpoint triggers the Production Rollback Governance process (Section 17) or, where rollback is not warranted, an Action Point tracked to closure before the Work Package may proceed to the next lifecycle stage.</w:t>
      </w:r>
    </w:p>
    <w:p>
      <w:pPr>
        <w:pStyle w:val="Heading1"/>
        <w:spacing w:after="200" w:before="400"/>
      </w:pPr>
      <w:r>
        <w:t xml:space="preserve">17. Production Rollback Governance</w:t>
      </w:r>
    </w:p>
    <w:p>
      <w:pPr>
        <w:spacing w:after="160"/>
      </w:pPr>
      <w:r>
        <w:t xml:space="preserve">Rollback is a governed, expected outcome of production transition, not an exceptional failure to be minimized in reporting. Every Work Package subject to cutover under this document must have a tested rollback plan approved prior to cutover, specifying the rollback trigger conditions, rollback steps, maximum execution time, and the data-consistency approach for any rollback occurring after data has been written in production.</w:t>
      </w:r>
    </w:p>
    <w:p>
      <w:pPr>
        <w:spacing w:after="160"/>
      </w:pPr>
      <w:r>
        <w:t xml:space="preserve">Rollback may be invoked during cutover, hypercare, or stabilization. Invocation requires:</w:t>
      </w:r>
    </w:p>
    <w:p>
      <w:pPr>
        <w:pStyle w:val="ListParagraph"/>
        <w:numPr>
          <w:ilvl w:val="0"/>
          <w:numId w:val="1"/>
        </w:numPr>
        <w:spacing w:after="100"/>
      </w:pPr>
      <w:r>
        <w:t xml:space="preserve">Identification of the trigger condition against the pre-approved rollback trigger list.</w:t>
      </w:r>
    </w:p>
    <w:p>
      <w:pPr>
        <w:pStyle w:val="ListParagraph"/>
        <w:numPr>
          <w:ilvl w:val="0"/>
          <w:numId w:val="1"/>
        </w:numPr>
        <w:spacing w:after="100"/>
      </w:pPr>
      <w:r>
        <w:t xml:space="preserve">Notification to the governance bodies established under ERP-02 Phase A within a defined notification window.</w:t>
      </w:r>
    </w:p>
    <w:p>
      <w:pPr>
        <w:pStyle w:val="ListParagraph"/>
        <w:numPr>
          <w:ilvl w:val="0"/>
          <w:numId w:val="1"/>
        </w:numPr>
        <w:spacing w:after="100"/>
      </w:pPr>
      <w:r>
        <w:t xml:space="preserve">Execution of the tested rollback procedure within its stated maximum execution time.</w:t>
      </w:r>
    </w:p>
    <w:p>
      <w:pPr>
        <w:pStyle w:val="ListParagraph"/>
        <w:numPr>
          <w:ilvl w:val="0"/>
          <w:numId w:val="1"/>
        </w:numPr>
        <w:spacing w:after="100"/>
      </w:pPr>
      <w:r>
        <w:t xml:space="preserve">A post-rollback verification pass confirming the pre-cutover state has been restored.</w:t>
      </w:r>
    </w:p>
    <w:p>
      <w:pPr>
        <w:pStyle w:val="ListParagraph"/>
        <w:numPr>
          <w:ilvl w:val="0"/>
          <w:numId w:val="1"/>
        </w:numPr>
        <w:spacing w:after="100"/>
      </w:pPr>
      <w:r>
        <w:t xml:space="preserve">A retrospective review producing an Action Point or Variance addressing the root cause before a subsequent cutover attempt is scheduled.</w:t>
      </w:r>
    </w:p>
    <w:p>
      <w:pPr>
        <w:pStyle w:val="Heading1"/>
        <w:spacing w:after="200" w:before="400"/>
      </w:pPr>
      <w:r>
        <w:t xml:space="preserve">18. Production Support Handover</w:t>
      </w:r>
    </w:p>
    <w:p>
      <w:pPr>
        <w:spacing w:after="160"/>
      </w:pPr>
      <w:r>
        <w:t xml:space="preserve">Production Support Handover formally transfers day-to-day support responsibility to Service Management and the accepting operating team at the conclusion of Stabilization. Handover requires confirmation that production support tiers, escalation paths, and runbooks established under ERP-02 Phase G remain current, and that any changes made during hypercare or stabilization have been reflected back into operational documentation.</w:t>
      </w:r>
    </w:p>
    <w:p>
      <w:pPr>
        <w:spacing w:after="160"/>
      </w:pPr>
      <w:r>
        <w:t xml:space="preserve">Handover is recorded in the Production Transition Repository with a named accepting support function and an effective date, consistent with the ownership transfer recorded under Section 12.</w:t>
      </w:r>
    </w:p>
    <w:p>
      <w:pPr>
        <w:pStyle w:val="Heading1"/>
        <w:spacing w:after="200" w:before="400"/>
      </w:pPr>
      <w:r>
        <w:t xml:space="preserve">19. Transition Documentation</w:t>
      </w:r>
    </w:p>
    <w:p>
      <w:pPr>
        <w:spacing w:after="160"/>
      </w:pPr>
      <w:r>
        <w:t xml:space="preserve">Every Work Package's transition record includes:</w:t>
      </w:r>
    </w:p>
    <w:p>
      <w:pPr>
        <w:pStyle w:val="ListParagraph"/>
        <w:numPr>
          <w:ilvl w:val="0"/>
          <w:numId w:val="1"/>
        </w:numPr>
        <w:spacing w:after="100"/>
      </w:pPr>
      <w:r>
        <w:t xml:space="preserve">The Service Transition Plan (Section 11)</w:t>
      </w:r>
    </w:p>
    <w:p>
      <w:pPr>
        <w:pStyle w:val="ListParagraph"/>
        <w:numPr>
          <w:ilvl w:val="0"/>
          <w:numId w:val="1"/>
        </w:numPr>
        <w:spacing w:after="100"/>
      </w:pPr>
      <w:r>
        <w:t xml:space="preserve">The Cutover Plan and rollback plan (Sections 13, 17)</w:t>
      </w:r>
    </w:p>
    <w:p>
      <w:pPr>
        <w:pStyle w:val="ListParagraph"/>
        <w:numPr>
          <w:ilvl w:val="0"/>
          <w:numId w:val="1"/>
        </w:numPr>
        <w:spacing w:after="100"/>
      </w:pPr>
      <w:r>
        <w:t xml:space="preserve">The Production Acceptance record (Section 10)</w:t>
      </w:r>
    </w:p>
    <w:p>
      <w:pPr>
        <w:pStyle w:val="ListParagraph"/>
        <w:numPr>
          <w:ilvl w:val="0"/>
          <w:numId w:val="1"/>
        </w:numPr>
        <w:spacing w:after="100"/>
      </w:pPr>
      <w:r>
        <w:t xml:space="preserve">The Ownership Transfer record (Section 12)</w:t>
      </w:r>
    </w:p>
    <w:p>
      <w:pPr>
        <w:pStyle w:val="ListParagraph"/>
        <w:numPr>
          <w:ilvl w:val="0"/>
          <w:numId w:val="1"/>
        </w:numPr>
        <w:spacing w:after="100"/>
      </w:pPr>
      <w:r>
        <w:t xml:space="preserve">Hypercare and Stabilization reports (Sections 14, 15)</w:t>
      </w:r>
    </w:p>
    <w:p>
      <w:pPr>
        <w:pStyle w:val="ListParagraph"/>
        <w:numPr>
          <w:ilvl w:val="0"/>
          <w:numId w:val="1"/>
        </w:numPr>
        <w:spacing w:after="100"/>
      </w:pPr>
      <w:r>
        <w:t xml:space="preserve">Production Verification results at each checkpoint (Section 16)</w:t>
      </w:r>
    </w:p>
    <w:p>
      <w:pPr>
        <w:pStyle w:val="ListParagraph"/>
        <w:numPr>
          <w:ilvl w:val="0"/>
          <w:numId w:val="1"/>
        </w:numPr>
        <w:spacing w:after="100"/>
      </w:pPr>
      <w:r>
        <w:t xml:space="preserve">The Production Support Handover record (Section 18)</w:t>
      </w:r>
    </w:p>
    <w:p>
      <w:pPr>
        <w:spacing w:after="160"/>
      </w:pPr>
      <w:r>
        <w:t xml:space="preserve">Transition documentation is version-controlled and auditable, consistent with the repository philosophy established across ERP-01 and ERP-02.</w:t>
      </w:r>
    </w:p>
    <w:p>
      <w:pPr>
        <w:pStyle w:val="Heading1"/>
        <w:spacing w:after="200" w:before="400"/>
      </w:pPr>
      <w:r>
        <w:t xml:space="preserve">20. Transition Evidence Requirements</w:t>
      </w:r>
    </w:p>
    <w:p>
      <w:pPr>
        <w:spacing w:after="160"/>
      </w:pPr>
      <w:r>
        <w:t xml:space="preserve">The following evidence types are required, where applicable, before a Work Package's transition status may be advanced in the Production Transition Repository:</w:t>
      </w:r>
    </w:p>
    <w:p>
      <w:pPr>
        <w:pStyle w:val="ListParagraph"/>
        <w:numPr>
          <w:ilvl w:val="0"/>
          <w:numId w:val="1"/>
        </w:numPr>
        <w:spacing w:after="100"/>
      </w:pPr>
      <w:r>
        <w:t xml:space="preserve">Operational acceptance evidence — the Phase G Operational Acceptance record</w:t>
      </w:r>
    </w:p>
    <w:p>
      <w:pPr>
        <w:pStyle w:val="ListParagraph"/>
        <w:numPr>
          <w:ilvl w:val="0"/>
          <w:numId w:val="1"/>
        </w:numPr>
        <w:spacing w:after="100"/>
      </w:pPr>
      <w:r>
        <w:t xml:space="preserve">Production verification evidence — verification results at cutover, hypercare exit, and stabilization exit</w:t>
      </w:r>
    </w:p>
    <w:p>
      <w:pPr>
        <w:pStyle w:val="ListParagraph"/>
        <w:numPr>
          <w:ilvl w:val="0"/>
          <w:numId w:val="1"/>
        </w:numPr>
        <w:spacing w:after="100"/>
      </w:pPr>
      <w:r>
        <w:t xml:space="preserve">Ownership transfer evidence — the signed ownership transfer acknowledgement</w:t>
      </w:r>
    </w:p>
    <w:p>
      <w:pPr>
        <w:pStyle w:val="ListParagraph"/>
        <w:numPr>
          <w:ilvl w:val="0"/>
          <w:numId w:val="1"/>
        </w:numPr>
        <w:spacing w:after="100"/>
      </w:pPr>
      <w:r>
        <w:t xml:space="preserve">Cutover evidence — the executed cutover log against the approved Cutover Plan</w:t>
      </w:r>
    </w:p>
    <w:p>
      <w:pPr>
        <w:pStyle w:val="ListParagraph"/>
        <w:numPr>
          <w:ilvl w:val="0"/>
          <w:numId w:val="1"/>
        </w:numPr>
        <w:spacing w:after="100"/>
      </w:pPr>
      <w:r>
        <w:t xml:space="preserve">Hypercare evidence — the hypercare exit report</w:t>
      </w:r>
    </w:p>
    <w:p>
      <w:pPr>
        <w:pStyle w:val="ListParagraph"/>
        <w:numPr>
          <w:ilvl w:val="0"/>
          <w:numId w:val="1"/>
        </w:numPr>
        <w:spacing w:after="100"/>
      </w:pPr>
      <w:r>
        <w:t xml:space="preserve">Stabilization evidence — the stabilization exit report</w:t>
      </w:r>
    </w:p>
    <w:p>
      <w:pPr>
        <w:pStyle w:val="ListParagraph"/>
        <w:numPr>
          <w:ilvl w:val="0"/>
          <w:numId w:val="1"/>
        </w:numPr>
        <w:spacing w:after="100"/>
      </w:pPr>
      <w:r>
        <w:t xml:space="preserve">Production approval evidence — the recorded go/no-go decision and, where applicable, rollback invocation records</w:t>
      </w:r>
    </w:p>
    <w:p>
      <w:pPr>
        <w:spacing w:after="160"/>
      </w:pPr>
      <w:r>
        <w:t xml:space="preserve">Evidence shall remain fully traceable to ERP-01 through the traceability chain defined in Section 21. No item in this list may be marked satisfied without a specific, named artifact reference in the Production Transition Repository.</w:t>
      </w:r>
    </w:p>
    <w:p>
      <w:pPr>
        <w:pStyle w:val="Heading1"/>
        <w:spacing w:after="200" w:before="400"/>
      </w:pPr>
      <w:r>
        <w:t xml:space="preserve">21. Production Transition Reviews</w:t>
      </w:r>
    </w:p>
    <w:p>
      <w:pPr>
        <w:spacing w:after="160"/>
      </w:pPr>
      <w:r>
        <w:t xml:space="preserve">Three formal reviews govern each Work Package's passage through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b/>
                <w:bCs/>
              </w:rPr>
              <w:t xml:space="preserve">Review</w:t>
            </w:r>
          </w:p>
        </w:tc>
        <w:tc>
          <w:tcPr>
            <w:tcW w:type="dxa" w:w="3000"/>
            <w:shd w:fill="D9E2F3" w:val="clear"/>
          </w:tcPr>
          <w:p>
            <w:r>
              <w:rPr>
                <w:b/>
                <w:bCs/>
              </w:rPr>
              <w:t xml:space="preserve">Timing</w:t>
            </w:r>
          </w:p>
        </w:tc>
        <w:tc>
          <w:tcPr>
            <w:tcW w:type="dxa" w:w="3000"/>
            <w:shd w:fill="D9E2F3" w:val="clear"/>
          </w:tcPr>
          <w:p>
            <w:r>
              <w:rPr>
                <w:b/>
                <w:bCs/>
              </w:rPr>
              <w:t xml:space="preserve">Disposition Outcomes</w:t>
            </w:r>
          </w:p>
        </w:tc>
      </w:tr>
      <w:tr>
        <w:tc>
          <w:tcPr>
            <w:tcW w:type="dxa" w:w="3000"/>
          </w:tcPr>
          <w:p>
            <w:r>
              <w:rPr>
                <w:b w:val="false"/>
                <w:bCs w:val="false"/>
              </w:rPr>
              <w:t xml:space="preserve">Production Transition Review</w:t>
            </w:r>
          </w:p>
        </w:tc>
        <w:tc>
          <w:tcPr>
            <w:tcW w:type="dxa" w:w="3000"/>
          </w:tcPr>
          <w:p>
            <w:r>
              <w:rPr>
                <w:b w:val="false"/>
                <w:bCs w:val="false"/>
              </w:rPr>
              <w:t xml:space="preserve">Prior to cutover</w:t>
            </w:r>
          </w:p>
        </w:tc>
        <w:tc>
          <w:tcPr>
            <w:tcW w:type="dxa" w:w="3000"/>
          </w:tcPr>
          <w:p>
            <w:r>
              <w:rPr>
                <w:b w:val="false"/>
                <w:bCs w:val="false"/>
              </w:rPr>
              <w:t xml:space="preserve">Approved / Approved with Conditions / Not Approved</w:t>
            </w:r>
          </w:p>
        </w:tc>
      </w:tr>
      <w:tr>
        <w:tc>
          <w:tcPr>
            <w:tcW w:type="dxa" w:w="3000"/>
          </w:tcPr>
          <w:p>
            <w:r>
              <w:rPr>
                <w:b w:val="false"/>
                <w:bCs w:val="false"/>
              </w:rPr>
              <w:t xml:space="preserve">Hypercare Exit Review</w:t>
            </w:r>
          </w:p>
        </w:tc>
        <w:tc>
          <w:tcPr>
            <w:tcW w:type="dxa" w:w="3000"/>
          </w:tcPr>
          <w:p>
            <w:r>
              <w:rPr>
                <w:b w:val="false"/>
                <w:bCs w:val="false"/>
              </w:rPr>
              <w:t xml:space="preserve">At end of hypercare period</w:t>
            </w:r>
          </w:p>
        </w:tc>
        <w:tc>
          <w:tcPr>
            <w:tcW w:type="dxa" w:w="3000"/>
          </w:tcPr>
          <w:p>
            <w:r>
              <w:rPr>
                <w:b w:val="false"/>
                <w:bCs w:val="false"/>
              </w:rPr>
              <w:t xml:space="preserve">Exit Approved / Hypercare Extended</w:t>
            </w:r>
          </w:p>
        </w:tc>
      </w:tr>
      <w:tr>
        <w:tc>
          <w:tcPr>
            <w:tcW w:type="dxa" w:w="3000"/>
          </w:tcPr>
          <w:p>
            <w:r>
              <w:rPr>
                <w:b w:val="false"/>
                <w:bCs w:val="false"/>
              </w:rPr>
              <w:t xml:space="preserve">Stabilization Exit Review</w:t>
            </w:r>
          </w:p>
        </w:tc>
        <w:tc>
          <w:tcPr>
            <w:tcW w:type="dxa" w:w="3000"/>
          </w:tcPr>
          <w:p>
            <w:r>
              <w:rPr>
                <w:b w:val="false"/>
                <w:bCs w:val="false"/>
              </w:rPr>
              <w:t xml:space="preserve">At end of stabilization period</w:t>
            </w:r>
          </w:p>
        </w:tc>
        <w:tc>
          <w:tcPr>
            <w:tcW w:type="dxa" w:w="3000"/>
          </w:tcPr>
          <w:p>
            <w:r>
              <w:rPr>
                <w:b w:val="false"/>
                <w:bCs w:val="false"/>
              </w:rPr>
              <w:t xml:space="preserve">Production Service Confirmed / Stabilization Extended</w:t>
            </w:r>
          </w:p>
        </w:tc>
      </w:tr>
    </w:tbl>
    <w:p>
      <w:pPr>
        <w:spacing w:after="160"/>
      </w:pPr>
      <w:r>
        <w:t xml:space="preserve">Conditions attached to an "Approved with Conditions" disposition are tracked as Action Points and must be closed within the timeframe recorded at the review; unclosed Conditions block progression to the next lifecycle stage.</w:t>
      </w:r>
    </w:p>
    <w:p>
      <w:pPr>
        <w:pStyle w:val="Heading1"/>
        <w:spacing w:after="200" w:before="400"/>
      </w:pPr>
      <w:r>
        <w:t xml:space="preserve">22. Production Risk Management</w:t>
      </w:r>
    </w:p>
    <w:p>
      <w:pPr>
        <w:spacing w:after="160"/>
      </w:pPr>
      <w:r>
        <w:t xml:space="preserve">Production transition risk is logged, classified, and tracked using the same risk taxonomy established under ERP-02 Phase A. No Work Package proceeds through a Production Transition Review, cutover go/no-go decision, or hypercare/stabilization exit review while an open Critical or High risk specific to that Work Package's transition remains undispositioned.</w:t>
      </w:r>
    </w:p>
    <w:p>
      <w:pPr>
        <w:pStyle w:val="Heading1"/>
        <w:spacing w:after="200" w:before="400"/>
      </w:pPr>
      <w:r>
        <w:t xml:space="preserve">23. Transition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D9E2F3" w:val="clear"/>
          </w:tcPr>
          <w:p>
            <w:r>
              <w:rPr>
                <w:b/>
                <w:bCs/>
              </w:rPr>
              <w:t xml:space="preserve">KPI</w:t>
            </w:r>
          </w:p>
        </w:tc>
        <w:tc>
          <w:tcPr>
            <w:tcW w:type="dxa" w:w="4000"/>
            <w:shd w:fill="D9E2F3" w:val="clear"/>
          </w:tcPr>
          <w:p>
            <w:r>
              <w:rPr>
                <w:b/>
                <w:bCs/>
              </w:rPr>
              <w:t xml:space="preserve">Definition</w:t>
            </w:r>
          </w:p>
        </w:tc>
        <w:tc>
          <w:tcPr>
            <w:tcW w:type="dxa" w:w="2400"/>
            <w:shd w:fill="D9E2F3" w:val="clear"/>
          </w:tcPr>
          <w:p>
            <w:r>
              <w:rPr>
                <w:b/>
                <w:bCs/>
              </w:rPr>
              <w:t xml:space="preserve">Target</w:t>
            </w:r>
          </w:p>
        </w:tc>
      </w:tr>
      <w:tr>
        <w:tc>
          <w:tcPr>
            <w:tcW w:type="dxa" w:w="2600"/>
          </w:tcPr>
          <w:p>
            <w:r>
              <w:rPr>
                <w:b w:val="false"/>
                <w:bCs w:val="false"/>
              </w:rPr>
              <w:t xml:space="preserve">Production Transition Coverage</w:t>
            </w:r>
          </w:p>
        </w:tc>
        <w:tc>
          <w:tcPr>
            <w:tcW w:type="dxa" w:w="4000"/>
          </w:tcPr>
          <w:p>
            <w:r>
              <w:rPr>
                <w:b w:val="false"/>
                <w:bCs w:val="false"/>
              </w:rPr>
              <w:t xml:space="preserve">Percentage of operationally accepted Work Packages with a completed Production Acceptance determination</w:t>
            </w:r>
          </w:p>
        </w:tc>
        <w:tc>
          <w:tcPr>
            <w:tcW w:type="dxa" w:w="2400"/>
          </w:tcPr>
          <w:p>
            <w:r>
              <w:rPr>
                <w:b w:val="false"/>
                <w:bCs w:val="false"/>
              </w:rPr>
              <w:t xml:space="preserve">Target defined at Portfolio level per ERP-02 Phase B</w:t>
            </w:r>
          </w:p>
        </w:tc>
      </w:tr>
      <w:tr>
        <w:tc>
          <w:tcPr>
            <w:tcW w:type="dxa" w:w="2600"/>
          </w:tcPr>
          <w:p>
            <w:r>
              <w:rPr>
                <w:b w:val="false"/>
                <w:bCs w:val="false"/>
              </w:rPr>
              <w:t xml:space="preserve">Cutover Success Rate</w:t>
            </w:r>
          </w:p>
        </w:tc>
        <w:tc>
          <w:tcPr>
            <w:tcW w:type="dxa" w:w="4000"/>
          </w:tcPr>
          <w:p>
            <w:r>
              <w:rPr>
                <w:b w:val="false"/>
                <w:bCs w:val="false"/>
              </w:rPr>
              <w:t xml:space="preserve">Percentage of cutovers completed without rollback invocation</w:t>
            </w:r>
          </w:p>
        </w:tc>
        <w:tc>
          <w:tcPr>
            <w:tcW w:type="dxa" w:w="2400"/>
          </w:tcPr>
          <w:p>
            <w:r>
              <w:rPr>
                <w:b w:val="false"/>
                <w:bCs w:val="false"/>
              </w:rPr>
              <w:t xml:space="preserve">Per service-tier target, once transition history exists</w:t>
            </w:r>
          </w:p>
        </w:tc>
      </w:tr>
      <w:tr>
        <w:tc>
          <w:tcPr>
            <w:tcW w:type="dxa" w:w="2600"/>
          </w:tcPr>
          <w:p>
            <w:r>
              <w:rPr>
                <w:b w:val="false"/>
                <w:bCs w:val="false"/>
              </w:rPr>
              <w:t xml:space="preserve">Rollback Execution Time</w:t>
            </w:r>
          </w:p>
        </w:tc>
        <w:tc>
          <w:tcPr>
            <w:tcW w:type="dxa" w:w="4000"/>
          </w:tcPr>
          <w:p>
            <w:r>
              <w:rPr>
                <w:b w:val="false"/>
                <w:bCs w:val="false"/>
              </w:rPr>
              <w:t xml:space="preserve">Actual time to complete an invoked rollback against its stated maximum</w:t>
            </w:r>
          </w:p>
        </w:tc>
        <w:tc>
          <w:tcPr>
            <w:tcW w:type="dxa" w:w="2400"/>
          </w:tcPr>
          <w:p>
            <w:r>
              <w:rPr>
                <w:b w:val="false"/>
                <w:bCs w:val="false"/>
              </w:rPr>
              <w:t xml:space="preserve">100% within stated maximum for business-critical services</w:t>
            </w:r>
          </w:p>
        </w:tc>
      </w:tr>
      <w:tr>
        <w:tc>
          <w:tcPr>
            <w:tcW w:type="dxa" w:w="2600"/>
          </w:tcPr>
          <w:p>
            <w:r>
              <w:rPr>
                <w:b w:val="false"/>
                <w:bCs w:val="false"/>
              </w:rPr>
              <w:t xml:space="preserve">Hypercare Incident Rate</w:t>
            </w:r>
          </w:p>
        </w:tc>
        <w:tc>
          <w:tcPr>
            <w:tcW w:type="dxa" w:w="4000"/>
          </w:tcPr>
          <w:p>
            <w:r>
              <w:rPr>
                <w:b w:val="false"/>
                <w:bCs w:val="false"/>
              </w:rPr>
              <w:t xml:space="preserve">Count of Critical/High incidents attributable to a transitioned Work Package during hypercare</w:t>
            </w:r>
          </w:p>
        </w:tc>
        <w:tc>
          <w:tcPr>
            <w:tcW w:type="dxa" w:w="2400"/>
          </w:tcPr>
          <w:p>
            <w:r>
              <w:rPr>
                <w:b w:val="false"/>
                <w:bCs w:val="false"/>
              </w:rPr>
              <w:t xml:space="preserve">Tracked for continuous improvement, no fixed target at this phase</w:t>
            </w:r>
          </w:p>
        </w:tc>
      </w:tr>
      <w:tr>
        <w:tc>
          <w:tcPr>
            <w:tcW w:type="dxa" w:w="2600"/>
          </w:tcPr>
          <w:p>
            <w:r>
              <w:rPr>
                <w:b w:val="false"/>
                <w:bCs w:val="false"/>
              </w:rPr>
              <w:t xml:space="preserve">Stabilization Extension Rate</w:t>
            </w:r>
          </w:p>
        </w:tc>
        <w:tc>
          <w:tcPr>
            <w:tcW w:type="dxa" w:w="4000"/>
          </w:tcPr>
          <w:p>
            <w:r>
              <w:rPr>
                <w:b w:val="false"/>
                <w:bCs w:val="false"/>
              </w:rPr>
              <w:t xml:space="preserve">Percentage of Work Packages requiring stabilization extension beyond planned duration</w:t>
            </w:r>
          </w:p>
        </w:tc>
        <w:tc>
          <w:tcPr>
            <w:tcW w:type="dxa" w:w="2400"/>
          </w:tcPr>
          <w:p>
            <w:r>
              <w:rPr>
                <w:b w:val="false"/>
                <w:bCs w:val="false"/>
              </w:rPr>
              <w:t xml:space="preserve">Tracked for continuous improvement, no fixed target at this phase</w:t>
            </w:r>
          </w:p>
        </w:tc>
      </w:tr>
      <w:tr>
        <w:tc>
          <w:tcPr>
            <w:tcW w:type="dxa" w:w="2600"/>
          </w:tcPr>
          <w:p>
            <w:r>
              <w:rPr>
                <w:b w:val="false"/>
                <w:bCs w:val="false"/>
              </w:rPr>
              <w:t xml:space="preserve">Production Acceptance Cycle Time</w:t>
            </w:r>
          </w:p>
        </w:tc>
        <w:tc>
          <w:tcPr>
            <w:tcW w:type="dxa" w:w="4000"/>
          </w:tcPr>
          <w:p>
            <w:r>
              <w:rPr>
                <w:b w:val="false"/>
                <w:bCs w:val="false"/>
              </w:rPr>
              <w:t xml:space="preserve">Average time from Operational Acceptance to Production Acceptance</w:t>
            </w:r>
          </w:p>
        </w:tc>
        <w:tc>
          <w:tcPr>
            <w:tcW w:type="dxa" w:w="2400"/>
          </w:tcPr>
          <w:p>
            <w:r>
              <w:rPr>
                <w:b w:val="false"/>
                <w:bCs w:val="false"/>
              </w:rPr>
              <w:t xml:space="preserve">Tracked for continuous improvement, no fixed target at this phase</w:t>
            </w:r>
          </w:p>
        </w:tc>
      </w:tr>
    </w:tbl>
    <w:p>
      <w:pPr>
        <w:spacing w:after="160"/>
      </w:pPr>
      <w:r>
        <w:t xml:space="preserve">Baseline KPI values are Production Transition Not Yet Assessable pending the first cycle of Production Transition Reviews under this framework.</w:t>
      </w:r>
    </w:p>
    <w:p>
      <w:pPr>
        <w:pStyle w:val="Heading1"/>
        <w:spacing w:after="200" w:before="400"/>
      </w:pPr>
      <w:r>
        <w:t xml:space="preserve">24. Transition Dashboard Inputs</w:t>
      </w:r>
    </w:p>
    <w:p>
      <w:pPr>
        <w:spacing w:after="160"/>
      </w:pPr>
      <w:r>
        <w:t xml:space="preserve">The Production Transition Repository (Section 26) feeds the Executive dashboards established under ERP-02 Phase A and Phase C, contributing: transition status by Work Package, cutover readiness by upcoming Wave, ownership transfer status, hypercare and stabilization status, open production risks, and transition evidence completeness. No dashboard input under this document asserts a status beyond what is recorded in Section 26.1.</w:t>
      </w:r>
    </w:p>
    <w:p>
      <w:pPr>
        <w:pStyle w:val="Heading1"/>
        <w:spacing w:after="200" w:before="400"/>
      </w:pPr>
      <w:r>
        <w:t xml:space="preserve">25. Transition Traceability</w:t>
      </w:r>
    </w:p>
    <w:p>
      <w:pPr>
        <w:spacing w:after="160"/>
      </w:pPr>
      <w:r>
        <w:t xml:space="preserve">Complete traceability is maintained across the full realization chain:</w:t>
      </w:r>
    </w:p>
    <w:p>
      <w:pPr>
        <w:pStyle w:val="ListParagraph"/>
        <w:numPr>
          <w:ilvl w:val="0"/>
          <w:numId w:val="1"/>
        </w:numPr>
        <w:spacing w:after="100"/>
      </w:pPr>
      <w:r>
        <w:t xml:space="preserve">1. Architecture Requirement</w:t>
      </w:r>
    </w:p>
    <w:p>
      <w:pPr>
        <w:pStyle w:val="ListParagraph"/>
        <w:numPr>
          <w:ilvl w:val="0"/>
          <w:numId w:val="1"/>
        </w:numPr>
        <w:spacing w:after="100"/>
      </w:pPr>
      <w:r>
        <w:t xml:space="preserve">2. Enterprise Governance Decision</w:t>
      </w:r>
    </w:p>
    <w:p>
      <w:pPr>
        <w:pStyle w:val="ListParagraph"/>
        <w:numPr>
          <w:ilvl w:val="0"/>
          <w:numId w:val="1"/>
        </w:numPr>
        <w:spacing w:after="100"/>
      </w:pPr>
      <w:r>
        <w:t xml:space="preserve">3. Work Package</w:t>
      </w:r>
    </w:p>
    <w:p>
      <w:pPr>
        <w:pStyle w:val="ListParagraph"/>
        <w:numPr>
          <w:ilvl w:val="0"/>
          <w:numId w:val="1"/>
        </w:numPr>
        <w:spacing w:after="100"/>
      </w:pPr>
      <w:r>
        <w:t xml:space="preserve">4. Engineering Execution</w:t>
      </w:r>
    </w:p>
    <w:p>
      <w:pPr>
        <w:pStyle w:val="ListParagraph"/>
        <w:numPr>
          <w:ilvl w:val="0"/>
          <w:numId w:val="1"/>
        </w:numPr>
        <w:spacing w:after="100"/>
      </w:pPr>
      <w:r>
        <w:t xml:space="preserve">5. Realization</w:t>
      </w:r>
    </w:p>
    <w:p>
      <w:pPr>
        <w:pStyle w:val="ListParagraph"/>
        <w:numPr>
          <w:ilvl w:val="0"/>
          <w:numId w:val="1"/>
        </w:numPr>
        <w:spacing w:after="100"/>
      </w:pPr>
      <w:r>
        <w:t xml:space="preserve">6. Compliance</w:t>
      </w:r>
    </w:p>
    <w:p>
      <w:pPr>
        <w:pStyle w:val="ListParagraph"/>
        <w:numPr>
          <w:ilvl w:val="0"/>
          <w:numId w:val="1"/>
        </w:numPr>
        <w:spacing w:after="100"/>
      </w:pPr>
      <w:r>
        <w:t xml:space="preserve">7. Release</w:t>
      </w:r>
    </w:p>
    <w:p>
      <w:pPr>
        <w:pStyle w:val="ListParagraph"/>
        <w:numPr>
          <w:ilvl w:val="0"/>
          <w:numId w:val="1"/>
        </w:numPr>
        <w:spacing w:after="100"/>
      </w:pPr>
      <w:r>
        <w:t xml:space="preserve">8. Deployment</w:t>
      </w:r>
    </w:p>
    <w:p>
      <w:pPr>
        <w:pStyle w:val="ListParagraph"/>
        <w:numPr>
          <w:ilvl w:val="0"/>
          <w:numId w:val="1"/>
        </w:numPr>
        <w:spacing w:after="100"/>
      </w:pPr>
      <w:r>
        <w:t xml:space="preserve">9. Operational Readiness</w:t>
      </w:r>
    </w:p>
    <w:p>
      <w:pPr>
        <w:pStyle w:val="ListParagraph"/>
        <w:numPr>
          <w:ilvl w:val="0"/>
          <w:numId w:val="1"/>
        </w:numPr>
        <w:spacing w:after="100"/>
      </w:pPr>
      <w:r>
        <w:t xml:space="preserve">10. Production Transition</w:t>
      </w:r>
    </w:p>
    <w:p>
      <w:pPr>
        <w:pStyle w:val="ListParagraph"/>
        <w:numPr>
          <w:ilvl w:val="0"/>
          <w:numId w:val="1"/>
        </w:numPr>
        <w:spacing w:after="100"/>
      </w:pPr>
      <w:r>
        <w:t xml:space="preserve">11. Production Service</w:t>
      </w:r>
    </w:p>
    <w:p>
      <w:pPr>
        <w:pStyle w:val="ListParagraph"/>
        <w:numPr>
          <w:ilvl w:val="0"/>
          <w:numId w:val="1"/>
        </w:numPr>
        <w:spacing w:after="100"/>
      </w:pPr>
      <w:r>
        <w:t xml:space="preserve">12. Steady-State Operations</w:t>
      </w:r>
    </w:p>
    <w:p>
      <w:pPr>
        <w:spacing w:after="160"/>
      </w:pPr>
      <w:r>
        <w:t xml:space="preserve">No traceability link in this chain shall be broken. Where a Work Package's Production Transition record cannot be traced back to a specific Architecture Requirement and Enterprise Governance Decision, that gap is logged as a Variance rather than silently bridged.</w:t>
      </w:r>
    </w:p>
    <w:p>
      <w:pPr>
        <w:pStyle w:val="Heading1"/>
        <w:spacing w:after="200" w:before="400"/>
      </w:pPr>
      <w:r>
        <w:t xml:space="preserve">26. Production Transition Repository</w:t>
      </w:r>
    </w:p>
    <w:p>
      <w:pPr>
        <w:spacing w:after="160"/>
      </w:pPr>
      <w:r>
        <w:t xml:space="preserve">The Production Transition Repository is the designated system of record for all production transition evidence referenced in this document. It is a target-state repository capability; where the physical repository has not yet been implemented, this section reserves its structure for future realization without asserting that the repository currently exists in operation.</w:t>
      </w:r>
    </w:p>
    <w:p>
      <w:pPr>
        <w:pStyle w:val="ListParagraph"/>
        <w:numPr>
          <w:ilvl w:val="0"/>
          <w:numId w:val="1"/>
        </w:numPr>
        <w:spacing w:after="100"/>
      </w:pPr>
      <w:r>
        <w:t xml:space="preserve">Each Work Package has a single Production Transition record containing its current status, evidence links, open risks, and review history.</w:t>
      </w:r>
    </w:p>
    <w:p>
      <w:pPr>
        <w:pStyle w:val="ListParagraph"/>
        <w:numPr>
          <w:ilvl w:val="0"/>
          <w:numId w:val="1"/>
        </w:numPr>
        <w:spacing w:after="100"/>
      </w:pPr>
      <w:r>
        <w:t xml:space="preserve">The Production Transition Repository is version-controlled and auditable, consistent with the repository philosophy established across ERP-01 and ERP-02.</w:t>
      </w:r>
    </w:p>
    <w:p>
      <w:pPr>
        <w:pStyle w:val="ListParagraph"/>
        <w:numPr>
          <w:ilvl w:val="0"/>
          <w:numId w:val="1"/>
        </w:numPr>
        <w:spacing w:after="100"/>
      </w:pPr>
      <w:r>
        <w:t xml:space="preserve">Access to the Production Transition Repository is governed by the same role model established under ERP-02 Phase A.</w:t>
      </w:r>
    </w:p>
    <w:p>
      <w:pPr>
        <w:spacing w:after="160"/>
      </w:pPr>
      <w:r>
        <w:rPr>
          <w:i/>
          <w:iCs/>
        </w:rPr>
        <w:t xml:space="preserve">Reserved for Future Realization Phases where the physical Production Transition Repository system has not yet been implemented.</w:t>
      </w:r>
    </w:p>
    <w:p>
      <w:pPr>
        <w:pStyle w:val="Heading2"/>
        <w:spacing w:after="150" w:before="300"/>
      </w:pPr>
      <w:r>
        <w:t xml:space="preserve">26.1 Work Package Production Transition Register</w:t>
      </w:r>
    </w:p>
    <w:p>
      <w:pPr>
        <w:spacing w:after="160"/>
      </w:pPr>
      <w:r>
        <w:t xml:space="preserve">The register below reuses Work Package identifiers exactly as they exist in the repository baseline and as carried forward unmodified from the ERP-02 Phase G Operational Readiness Register, without renumbering or reinterpretation. No Work Package identifier, Architecture Requirement, or Enterprise Governance Decision is altered by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00"/>
      </w:tblGrid>
      <w:tr>
        <w:trPr>
          <w:tblHeader/>
        </w:trPr>
        <w:tc>
          <w:tcPr>
            <w:tcW w:type="dxa" w:w="1600"/>
            <w:shd w:fill="D9E2F3" w:val="clear"/>
          </w:tcPr>
          <w:p>
            <w:r>
              <w:rPr>
                <w:b/>
                <w:bCs/>
              </w:rPr>
              <w:t xml:space="preserve">Work Package</w:t>
            </w:r>
          </w:p>
        </w:tc>
        <w:tc>
          <w:tcPr>
            <w:tcW w:type="dxa" w:w="5200"/>
            <w:shd w:fill="D9E2F3" w:val="clear"/>
          </w:tcPr>
          <w:p>
            <w:r>
              <w:rPr>
                <w:b/>
                <w:bCs/>
              </w:rPr>
              <w:t xml:space="preserve">Production Transition Prerequisite Category</w:t>
            </w:r>
          </w:p>
        </w:tc>
        <w:tc>
          <w:tcPr>
            <w:tcW w:type="dxa" w:w="2200"/>
            <w:shd w:fill="D9E2F3" w:val="clear"/>
          </w:tcPr>
          <w:p>
            <w:r>
              <w:rPr>
                <w:b/>
                <w:bCs/>
              </w:rPr>
              <w:t xml:space="preserve">Current Production Transition Status</w:t>
            </w:r>
          </w:p>
        </w:tc>
      </w:tr>
      <w:tr>
        <w:tc>
          <w:tcPr>
            <w:tcW w:type="dxa" w:w="1600"/>
          </w:tcPr>
          <w:p>
            <w:r>
              <w:rPr>
                <w:b w:val="false"/>
                <w:bCs w:val="false"/>
              </w:rPr>
              <w:t xml:space="preserve">WP-ARCH-01A</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WP-ARCH-01B</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WP-ARCH-01C</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WP-ARCH-01D</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WP-ARCH-01E</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WP-ARCH-01F</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WP-DB-01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WP-DB-01A</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WP-EXEC-01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WP-INTEGRATION-01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WP-INTEGRATION-02</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WP-KP-01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WP-KD-01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WP-KB-02</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WP-KB-03</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WP-KRA-01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WP-DIF-01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WP-AIC-01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WP-ENG-01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WP-ARB-01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WP-AUTH-03A</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WP-AUTH-03B</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WP-SEC-01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WP-IMP-02</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WP-IMP-03</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WP-IMP-04</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WP-IMP-04A</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WP-IMP-05</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WP-IMP-06</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WP-XAI2-01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WP-XAI2-02</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WP-XAI2-03</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WP-XAI2-04</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WP-XAI2-05</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WP-XAI2-06</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r>
        <w:tc>
          <w:tcPr>
            <w:tcW w:type="dxa" w:w="1600"/>
          </w:tcPr>
          <w:p>
            <w:r>
              <w:rPr>
                <w:b w:val="false"/>
                <w:bCs w:val="false"/>
              </w:rPr>
              <w:t xml:space="preserve">WP-P2-01</w:t>
            </w:r>
          </w:p>
        </w:tc>
        <w:tc>
          <w:tcPr>
            <w:tcW w:type="dxa" w:w="5200"/>
          </w:tcPr>
          <w:p>
            <w:r>
              <w:rPr>
                <w:b w:val="false"/>
                <w:bCs w:val="false"/>
              </w:rPr>
              <w:t xml:space="preserve">Acceptance, ownership transfer, cutover, hypercare, stabilization, verification, and rollback prerequisites as defined in Sections 10–17</w:t>
            </w:r>
          </w:p>
        </w:tc>
        <w:tc>
          <w:tcPr>
            <w:tcW w:type="dxa" w:w="2200"/>
          </w:tcPr>
          <w:p>
            <w:r>
              <w:rPr>
                <w:b w:val="false"/>
                <w:bCs w:val="false"/>
              </w:rPr>
              <w:t xml:space="preserve">Production Transition Not Yet Assessable</w:t>
            </w:r>
          </w:p>
        </w:tc>
      </w:tr>
    </w:tbl>
    <w:p>
      <w:pPr>
        <w:pStyle w:val="Heading1"/>
        <w:spacing w:after="200" w:before="400"/>
      </w:pPr>
      <w:r>
        <w:t xml:space="preserve">27. Phase Exit Criteria</w:t>
      </w:r>
    </w:p>
    <w:p>
      <w:pPr>
        <w:spacing w:after="160"/>
      </w:pPr>
      <w:r>
        <w:t xml:space="preserve">ERP-02 Phase H is considered complete for a given Work Package, and that Work Package becomes eligible to be recorded as being in Production Service, when all of the following are satisfied:</w:t>
      </w:r>
    </w:p>
    <w:p>
      <w:pPr>
        <w:pStyle w:val="ListParagraph"/>
        <w:numPr>
          <w:ilvl w:val="0"/>
          <w:numId w:val="1"/>
        </w:numPr>
        <w:spacing w:after="100"/>
      </w:pPr>
      <w:r>
        <w:t xml:space="preserve">The Work Package has achieved Operational Acceptance status under ERP-02 Phase G.</w:t>
      </w:r>
    </w:p>
    <w:p>
      <w:pPr>
        <w:pStyle w:val="ListParagraph"/>
        <w:numPr>
          <w:ilvl w:val="0"/>
          <w:numId w:val="1"/>
        </w:numPr>
        <w:spacing w:after="100"/>
      </w:pPr>
      <w:r>
        <w:t xml:space="preserve">A Production Transition Review has recorded a disposition of Approved or Approved with Conditions, with all Conditions subsequently closed.</w:t>
      </w:r>
    </w:p>
    <w:p>
      <w:pPr>
        <w:pStyle w:val="ListParagraph"/>
        <w:numPr>
          <w:ilvl w:val="0"/>
          <w:numId w:val="1"/>
        </w:numPr>
        <w:spacing w:after="100"/>
      </w:pPr>
      <w:r>
        <w:t xml:space="preserve">Cutover has been executed against an approved Cutover Plan, with Production Verification passing immediately post-cutover.</w:t>
      </w:r>
    </w:p>
    <w:p>
      <w:pPr>
        <w:pStyle w:val="ListParagraph"/>
        <w:numPr>
          <w:ilvl w:val="0"/>
          <w:numId w:val="1"/>
        </w:numPr>
        <w:spacing w:after="100"/>
      </w:pPr>
      <w:r>
        <w:t xml:space="preserve">Hypercare has been exited per the criteria in Section 14.</w:t>
      </w:r>
    </w:p>
    <w:p>
      <w:pPr>
        <w:pStyle w:val="ListParagraph"/>
        <w:numPr>
          <w:ilvl w:val="0"/>
          <w:numId w:val="1"/>
        </w:numPr>
        <w:spacing w:after="100"/>
      </w:pPr>
      <w:r>
        <w:t xml:space="preserve">Stabilization has been exited per the criteria in Section 15, with Production Verification passing at stabilization exit.</w:t>
      </w:r>
    </w:p>
    <w:p>
      <w:pPr>
        <w:pStyle w:val="ListParagraph"/>
        <w:numPr>
          <w:ilvl w:val="0"/>
          <w:numId w:val="1"/>
        </w:numPr>
        <w:spacing w:after="100"/>
      </w:pPr>
      <w:r>
        <w:t xml:space="preserve">Production Support Handover (Section 18) has been recorded with a named accepting support function.</w:t>
      </w:r>
    </w:p>
    <w:p>
      <w:pPr>
        <w:pStyle w:val="ListParagraph"/>
        <w:numPr>
          <w:ilvl w:val="0"/>
          <w:numId w:val="1"/>
        </w:numPr>
        <w:spacing w:after="100"/>
      </w:pPr>
      <w:r>
        <w:t xml:space="preserve">No unresolved Critical or High production risk remains open.</w:t>
      </w:r>
    </w:p>
    <w:p>
      <w:pPr>
        <w:pStyle w:val="ListParagraph"/>
        <w:numPr>
          <w:ilvl w:val="0"/>
          <w:numId w:val="1"/>
        </w:numPr>
        <w:spacing w:after="100"/>
      </w:pPr>
      <w:r>
        <w:t xml:space="preserve">Traceability from Architecture Requirement through Production Transition is confirmed unbroken.</w:t>
      </w:r>
    </w:p>
    <w:p>
      <w:pPr>
        <w:spacing w:after="160"/>
      </w:pPr>
      <w:r>
        <w:t xml:space="preserve">Phase H itself, as a governance framework, is considered established upon publication and adoption of this document by the Enterprise Architecture Board; individual Work Packages progress through Phase H independently and asynchronously thereafter.</w:t>
      </w:r>
    </w:p>
    <w:p>
      <w:pPr>
        <w:pStyle w:val="Heading1"/>
        <w:spacing w:after="200" w:before="400"/>
      </w:pPr>
      <w:r>
        <w:t xml:space="preserve">28. References to ERP-01</w:t>
      </w:r>
    </w:p>
    <w:p>
      <w:pPr>
        <w:spacing w:after="160"/>
      </w:pPr>
      <w:r>
        <w:t xml:space="preserve">This document is fully consistent with, and subordinate to, the following ERP-01, ERP-01A, and ERP-02 artifacts, which it does not restate, modify, or reinterpret:</w:t>
      </w:r>
    </w:p>
    <w:p>
      <w:pPr>
        <w:pStyle w:val="ListParagraph"/>
        <w:numPr>
          <w:ilvl w:val="0"/>
          <w:numId w:val="1"/>
        </w:numPr>
        <w:spacing w:after="100"/>
      </w:pPr>
      <w:r>
        <w:t xml:space="preserve">ERP-01 Phase A1 — Physical Data Model Realization Assessment</w:t>
      </w:r>
    </w:p>
    <w:p>
      <w:pPr>
        <w:pStyle w:val="ListParagraph"/>
        <w:numPr>
          <w:ilvl w:val="0"/>
          <w:numId w:val="1"/>
        </w:numPr>
        <w:spacing w:after="100"/>
      </w:pPr>
      <w:r>
        <w:t xml:space="preserve">ERP-01 Phase A2 — Governance Disposition Assessment</w:t>
      </w:r>
    </w:p>
    <w:p>
      <w:pPr>
        <w:pStyle w:val="ListParagraph"/>
        <w:numPr>
          <w:ilvl w:val="0"/>
          <w:numId w:val="1"/>
        </w:numPr>
        <w:spacing w:after="100"/>
      </w:pPr>
      <w:r>
        <w:t xml:space="preserve">ERP-01 Phase A3 — Enterprise Architecture Baseline</w:t>
      </w:r>
    </w:p>
    <w:p>
      <w:pPr>
        <w:pStyle w:val="ListParagraph"/>
        <w:numPr>
          <w:ilvl w:val="0"/>
          <w:numId w:val="1"/>
        </w:numPr>
        <w:spacing w:after="100"/>
      </w:pPr>
      <w:r>
        <w:t xml:space="preserve">ERP-01 Phase B — Enterprise Realization Roadmap</w:t>
      </w:r>
    </w:p>
    <w:p>
      <w:pPr>
        <w:pStyle w:val="ListParagraph"/>
        <w:numPr>
          <w:ilvl w:val="0"/>
          <w:numId w:val="1"/>
        </w:numPr>
        <w:spacing w:after="100"/>
      </w:pPr>
      <w:r>
        <w:t xml:space="preserve">ERP-01A — Baseline Validation Report</w:t>
      </w:r>
    </w:p>
    <w:p>
      <w:pPr>
        <w:pStyle w:val="ListParagraph"/>
        <w:numPr>
          <w:ilvl w:val="0"/>
          <w:numId w:val="1"/>
        </w:numPr>
        <w:spacing w:after="100"/>
      </w:pPr>
      <w:r>
        <w:t xml:space="preserve">ERP-01 Phase C, Sections 1–10 — Enterprise Work Package Execution Strategy through Executive Engineering Dashboard</w:t>
      </w:r>
    </w:p>
    <w:p>
      <w:pPr>
        <w:pStyle w:val="ListParagraph"/>
        <w:numPr>
          <w:ilvl w:val="0"/>
          <w:numId w:val="1"/>
        </w:numPr>
        <w:spacing w:after="100"/>
      </w:pPr>
      <w:r>
        <w:t xml:space="preserve">ERP-02 Phase A — Enterprise Execution Governance Framework</w:t>
      </w:r>
    </w:p>
    <w:p>
      <w:pPr>
        <w:pStyle w:val="ListParagraph"/>
        <w:numPr>
          <w:ilvl w:val="0"/>
          <w:numId w:val="1"/>
        </w:numPr>
        <w:spacing w:after="100"/>
      </w:pPr>
      <w:r>
        <w:t xml:space="preserve">ERP-02 Phase F — Enterprise Release &amp; Deployment Governance</w:t>
      </w:r>
    </w:p>
    <w:p>
      <w:pPr>
        <w:pStyle w:val="ListParagraph"/>
        <w:numPr>
          <w:ilvl w:val="0"/>
          <w:numId w:val="1"/>
        </w:numPr>
        <w:spacing w:after="100"/>
      </w:pPr>
      <w:r>
        <w:t xml:space="preserve">ERP-02 Phase G — Enterprise Operational Readiness</w:t>
      </w:r>
    </w:p>
    <w:p>
      <w:pPr>
        <w:pStyle w:val="Heading1"/>
        <w:spacing w:after="200" w:before="400"/>
      </w:pPr>
      <w:r>
        <w:t xml:space="preserve">29. Conclusion</w:t>
      </w:r>
    </w:p>
    <w:p>
      <w:pPr>
        <w:spacing w:after="160"/>
      </w:pPr>
      <w:r>
        <w:t xml:space="preserve">ERP-02 Phase H completes the production-transition governance layer of the Enterprise Realization Program, providing the HireRise Career Intelligence Platform with a single, evidence-based framework for governing the controlled movement of operationally accepted capabilities into live production service. It preserves the repository's target-state integrity by refusing to assert production maturity that has not been independently evidenced, while providing the enterprise with a clear, auditable, and reversible path from Operational Acceptance to Production Service.</w:t>
      </w:r>
    </w:p>
    <w:p>
      <w:pPr>
        <w:spacing w:after="160"/>
      </w:pPr>
      <w:r>
        <w:t xml:space="preserve">Upon adoption, ERP-02 Phase H becomes the canonical Enterprise Production Transition Governance specification governing all subsequent Production Transition Reviews, cutover decisions, hypercare and stabilization exits, and Production Acceptance decisions for the HireRise platform, until superseded by a subsequent revision approved through the ERP-02 Phase A governance framework.</w:t>
      </w:r>
    </w:p>
    <w:p>
      <w:pPr>
        <w:spacing w:before="400"/>
      </w:pPr>
      <w:r>
        <w:rPr>
          <w:i/>
          <w:iCs/>
        </w:rPr>
        <w:t xml:space="preserve">End of ERP-02 Phase H — Enterprise Production Transition Governance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2026-07-10T06:48:06.931Z</dcterms:created>
  <dcterms:modified xsi:type="dcterms:W3CDTF">2026-07-10T06:48:06.943Z</dcterms:modified>
</cp:coreProperties>
</file>

<file path=docProps/custom.xml><?xml version="1.0" encoding="utf-8"?>
<Properties xmlns="http://schemas.openxmlformats.org/officeDocument/2006/custom-properties" xmlns:vt="http://schemas.openxmlformats.org/officeDocument/2006/docPropsVTypes"/>
</file>