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3864"/>
          <w:sz w:val="32"/>
          <w:szCs w:val="32"/>
        </w:rPr>
        <w:t xml:space="preserve">HIRERISE CAREER INTELLIGENCE</w:t>
      </w:r>
    </w:p>
    <w:p>
      <w:pPr>
        <w:spacing w:after="600"/>
        <w:jc w:val="center"/>
      </w:pPr>
      <w:r>
        <w:rPr>
          <w:color w:val="595959"/>
          <w:sz w:val="26"/>
          <w:szCs w:val="26"/>
        </w:rPr>
        <w:t xml:space="preserve">Enterprise Engineering Program</w:t>
      </w:r>
    </w:p>
    <w:p>
      <w:pPr>
        <w:spacing w:after="100"/>
        <w:jc w:val="center"/>
      </w:pPr>
      <w:r>
        <w:rPr>
          <w:b/>
          <w:bCs/>
          <w:color w:val="1F3864"/>
          <w:sz w:val="44"/>
          <w:szCs w:val="44"/>
        </w:rPr>
        <w:t xml:space="preserve">ERP-03</w:t>
      </w:r>
    </w:p>
    <w:p>
      <w:pPr>
        <w:spacing w:after="600"/>
        <w:jc w:val="center"/>
      </w:pPr>
      <w:r>
        <w:rPr>
          <w:b/>
          <w:bCs/>
          <w:sz w:val="30"/>
          <w:szCs w:val="30"/>
        </w:rPr>
        <w:t xml:space="preserve">Production Certification &amp; Closure Report</w:t>
      </w:r>
    </w:p>
    <w:p>
      <w:pPr>
        <w:spacing w:after="100"/>
        <w:jc w:val="center"/>
      </w:pPr>
      <w:r>
        <w:rPr>
          <w:i/>
          <w:iCs/>
          <w:sz w:val="20"/>
          <w:szCs w:val="20"/>
        </w:rPr>
        <w:t xml:space="preserve">Document Classification: Enterprise Engineering Governance — Program Closure Artifact</w:t>
      </w:r>
    </w:p>
    <w:p>
      <w:pPr>
        <w:spacing w:after="100"/>
        <w:jc w:val="center"/>
      </w:pPr>
      <w:r>
        <w:rPr>
          <w:sz w:val="20"/>
          <w:szCs w:val="20"/>
        </w:rPr>
        <w:t xml:space="preserve">Prepared for: Enterprise Architecture Review Board · Change Advisory Board (CAB) · Engineering Management · Future Platform Engineers · Security Audit · Production Operations</w:t>
      </w:r>
    </w:p>
    <w:p>
      <w:pPr>
        <w:spacing w:after="100" w:before="800"/>
        <w:jc w:val="center"/>
      </w:pPr>
      <w:r>
        <w:rPr>
          <w:sz w:val="20"/>
          <w:szCs w:val="20"/>
        </w:rPr>
        <w:t xml:space="preserve">Project Reference: dltzpxmwesrsuyseyrpd  |  Environment: Production</w:t>
      </w:r>
    </w:p>
    <w:p>
      <w:pPr>
        <w:spacing w:after="100"/>
        <w:jc w:val="center"/>
      </w:pPr>
      <w:r>
        <w:rPr>
          <w:b/>
          <w:bCs/>
          <w:sz w:val="20"/>
          <w:szCs w:val="20"/>
        </w:rPr>
        <w:t xml:space="preserve">Version 1.0 — Final</w:t>
      </w:r>
    </w:p>
    <w:p>
      <w:pPr>
        <w:spacing w:after="100"/>
        <w:jc w:val="center"/>
      </w:pPr>
      <w:r>
        <w:rPr>
          <w:sz w:val="20"/>
          <w:szCs w:val="20"/>
        </w:rPr>
        <w:t xml:space="preserve">Report Date: 11 July 2026</w:t>
      </w:r>
    </w:p>
    <w:p>
      <w:r>
        <w:br w:type="page"/>
      </w:r>
    </w:p>
    <w:p>
      <w:pPr>
        <w:pStyle w:val="Heading1"/>
        <w:spacing w:after="200" w:before="400"/>
      </w:pPr>
      <w:r>
        <w:t xml:space="preserve">1. Executive Summary</w:t>
      </w:r>
    </w:p>
    <w:p>
      <w:pPr>
        <w:spacing w:after="160"/>
      </w:pPr>
      <w:r>
        <w:t xml:space="preserve">This report is the definitive closure and production-certification record for the HireRise Enterprise Engineering Program, covering the complete execution history from repository certification (ERP-01/ERP-01A) through execution governance (ERP-02/ERP-02A) to production deployment (WP-0002, WP-P2-00B, WP-P2-01, WP-0002 Task T-102).</w:t>
      </w:r>
    </w:p>
    <w:p>
      <w:pPr>
        <w:spacing w:after="160"/>
      </w:pPr>
      <w:r>
        <w:t xml:space="preserve">The program comprises two distinct layers of evidence, and this report preserves the distinction between them rather than collapsing one into the other:</w:t>
      </w:r>
    </w:p>
    <w:p>
      <w:pPr>
        <w:pStyle w:val="ListParagraph"/>
        <w:numPr>
          <w:ilvl w:val="0"/>
          <w:numId w:val="1"/>
        </w:numPr>
        <w:spacing w:after="80"/>
      </w:pPr>
      <w:r>
        <w:t xml:space="preserve">A governance and repository-certification layer (ERP-01, ERP-01A, ERP-02, ERP-02A) that certifies the completeness, internal consistency, and traceability of the enterprise architecture documentation set itself. This layer explicitly does not certify engineering completion, release execution, or operational readiness — its own closure document, ERP-02A, states this directly.</w:t>
      </w:r>
    </w:p>
    <w:p>
      <w:pPr>
        <w:pStyle w:val="ListParagraph"/>
        <w:numPr>
          <w:ilvl w:val="0"/>
          <w:numId w:val="1"/>
        </w:numPr>
        <w:spacing w:after="80"/>
      </w:pPr>
      <w:r>
        <w:t xml:space="preserve">An execution and production-deployment layer (WP-0002, WP-P2-00B, WP-P2-01, WP-0002 T-102) that performed the actual engineering work: a migration-history reconciliation, a Row-Level-Security (RLS) baseline assessment, deployment of the Source Intelligence Management (SIM) subsystem, and RLS hardening of the SIM tables. This is the layer with concrete, dated, production evidence.</w:t>
      </w:r>
    </w:p>
    <w:p>
      <w:pPr>
        <w:spacing w:after="160"/>
      </w:pPr>
      <w:r>
        <w:t xml:space="preserve">On the production-deployment layer, the program's Production Deployment Certification Report (dated 2026-07-11) records both scheduled deployments — the SIM Foundation migration and the SIM RLS hardening migration — as certified successful, with pre-flight and post-deployment verification evidence recorded for each. Two migrations remain pending outside the certified scope: 20260526000007_phase1a_distributed_governance.sql and 20260608000001_intelligence_foundation_layer.sql.</w:t>
      </w:r>
    </w:p>
    <w:p>
      <w:pPr>
        <w:spacing w:after="160"/>
      </w:pPr>
      <w:r>
        <w:t xml:space="preserve">On the governance layer, ERP-01A certified the ERP-01 architecture baseline as internally consistent and complete, and ERP-02A certified the ERP-02 execution-governance repository (Phases A–J) as internally consistent, traceable, and ready to govern future implementation — while explicitly recording that all six ERP-01 Work Packages remain "Not Yet Realized" from the governance program's own point of view, and that one naming-consistency finding (DG-J-01, an inconsistency in the "AP" identifier prefix) remains open.</w:t>
      </w:r>
    </w:p>
    <w:p>
      <w:pPr>
        <w:spacing w:after="160"/>
      </w:pPr>
      <w:r>
        <w:t xml:space="preserve">A material caveat that this report carries forward rather than smooths over: the WP-0002 Enterprise Security Baseline Report — the security assessment underlying this program — found the overall RLS and RPC-grant security posture "substantial, but uneven" and "not yet production-ready" at the time of assessment, and identified several Critical- and High-risk gaps (unprotected SIM tables prior to T-102, unpinned search_path on 27 SECURITY DEFINER functions, broad anon execute grants on 86 functions, and live-looking API/service-role secrets present in the delivered repository archive). Only one of these findings — the SIM table family — was in scope for and closed by the certified deployments described in this report. The remaining findings (G3–G9) are documented in Section 11 as residual risk, not resolved.</w:t>
      </w:r>
    </w:p>
    <w:p>
      <w:pPr>
        <w:pStyle w:val="Heading1"/>
        <w:spacing w:after="200" w:before="400"/>
      </w:pPr>
      <w:r>
        <w:t xml:space="preserve">2. Program Objectives</w:t>
      </w:r>
    </w:p>
    <w:p>
      <w:pPr>
        <w:spacing w:after="160"/>
      </w:pPr>
      <w:r>
        <w:t xml:space="preserve">The Enterprise Engineering Program was chartered to take the HireRise platform's enterprise architecture governance program from documentation to certified production evidence, specifically to:</w:t>
      </w:r>
    </w:p>
    <w:p>
      <w:pPr>
        <w:pStyle w:val="ListParagraph"/>
        <w:numPr>
          <w:ilvl w:val="0"/>
          <w:numId w:val="1"/>
        </w:numPr>
        <w:spacing w:after="80"/>
      </w:pPr>
      <w:r>
        <w:t xml:space="preserve">Establish and validate a canonical, internally consistent enterprise architecture baseline (ERP-01) and certify it as fit to serve as the platform's Version 1.0 internal reference (ERP-01A).</w:t>
      </w:r>
    </w:p>
    <w:p>
      <w:pPr>
        <w:pStyle w:val="ListParagraph"/>
        <w:numPr>
          <w:ilvl w:val="0"/>
          <w:numId w:val="1"/>
        </w:numPr>
        <w:spacing w:after="80"/>
      </w:pPr>
      <w:r>
        <w:t xml:space="preserve">Stand up an execution-governance framework (ERP-02) capable of governing future realization work, and certify that framework's own internal consistency and traceability at the close of its planning phases (ERP-02A).</w:t>
      </w:r>
    </w:p>
    <w:p>
      <w:pPr>
        <w:pStyle w:val="ListParagraph"/>
        <w:numPr>
          <w:ilvl w:val="0"/>
          <w:numId w:val="1"/>
        </w:numPr>
        <w:spacing w:after="80"/>
      </w:pPr>
      <w:r>
        <w:t xml:space="preserve">Resolve the ambiguity between the local migration history and the actual state of the production database, replacing assumption with production-first, evidence-based reconciliation (WP-P2-00B).</w:t>
      </w:r>
    </w:p>
    <w:p>
      <w:pPr>
        <w:pStyle w:val="ListParagraph"/>
        <w:numPr>
          <w:ilvl w:val="0"/>
          <w:numId w:val="1"/>
        </w:numPr>
        <w:spacing w:after="80"/>
      </w:pPr>
      <w:r>
        <w:t xml:space="preserve">Deploy the Enterprise Source Intelligence Management (SIM) subsystem — the authoritative registry of every external knowledge source feeding the HireRise Phase-2 intelligence pipeline — once genuinely confirmed absent from production (WP-P2-01).</w:t>
      </w:r>
    </w:p>
    <w:p>
      <w:pPr>
        <w:pStyle w:val="ListParagraph"/>
        <w:numPr>
          <w:ilvl w:val="0"/>
          <w:numId w:val="1"/>
        </w:numPr>
        <w:spacing w:after="80"/>
      </w:pPr>
      <w:r>
        <w:t xml:space="preserve">Verify and harden Row-Level Security across the platform's Postgres schema, with Task T-102 specifically closing the unintended anon/authenticated exposure on the newly deployed SIM tables (WP-0002 / WP-0002 T-102).</w:t>
      </w:r>
    </w:p>
    <w:p>
      <w:pPr>
        <w:spacing w:after="160"/>
      </w:pPr>
      <w:r>
        <w:t xml:space="preserve">Consistent with the program's evidence-first philosophy, objectives explicitly excluded from this program are: certifying application-level engineering completion of the six ERP-01 Work Packages, certifying operational readiness, and closing every finding raised by the WP-0002 security baseline assessment. These remain tracked, open items and are carried into Section 14 (Remaining Work).</w:t>
      </w:r>
    </w:p>
    <w:p>
      <w:pPr>
        <w:pStyle w:val="Heading1"/>
        <w:spacing w:after="200" w:before="400"/>
      </w:pPr>
      <w:r>
        <w:t xml:space="preserve">3. Program Timeline</w:t>
      </w:r>
    </w:p>
    <w:p>
      <w:pPr>
        <w:spacing w:after="160"/>
      </w:pPr>
      <w:r>
        <w:t xml:space="preserve">The timeline below reflects dated artifacts recovered from the repository. Earlier architecture-governance phases (ERP-01 Phases A–C, ERP-02 Phases A–J) are not individually dated in the repository and are represented as a single preparatory period preceding the dated production-engineering sequence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1F3864" w:val="clear"/>
            <w:tcMar>
              <w:top w:type="dxa" w:w="80"/>
              <w:left w:type="dxa" w:w="100"/>
              <w:bottom w:type="dxa" w:w="80"/>
              <w:right w:type="dxa" w:w="100"/>
            </w:tcMar>
          </w:tcPr>
          <w:p>
            <w:r>
              <w:rPr>
                <w:b/>
                <w:bCs/>
                <w:color w:val="FFFFFF"/>
                <w:sz w:val="20"/>
                <w:szCs w:val="20"/>
              </w:rPr>
              <w:t xml:space="preserve">Date</w:t>
            </w:r>
          </w:p>
        </w:tc>
        <w:tc>
          <w:tcPr>
            <w:tcW w:type="dxa" w:w="3600"/>
            <w:shd w:fill="1F3864" w:val="clear"/>
            <w:tcMar>
              <w:top w:type="dxa" w:w="80"/>
              <w:left w:type="dxa" w:w="100"/>
              <w:bottom w:type="dxa" w:w="80"/>
              <w:right w:type="dxa" w:w="100"/>
            </w:tcMar>
          </w:tcPr>
          <w:p>
            <w:r>
              <w:rPr>
                <w:b/>
                <w:bCs/>
                <w:color w:val="FFFFFF"/>
                <w:sz w:val="20"/>
                <w:szCs w:val="20"/>
              </w:rPr>
              <w:t xml:space="preserve">Event</w:t>
            </w:r>
          </w:p>
        </w:tc>
        <w:tc>
          <w:tcPr>
            <w:tcW w:type="dxa" w:w="3600"/>
            <w:shd w:fill="1F3864" w:val="clear"/>
            <w:tcMar>
              <w:top w:type="dxa" w:w="80"/>
              <w:left w:type="dxa" w:w="100"/>
              <w:bottom w:type="dxa" w:w="80"/>
              <w:right w:type="dxa" w:w="100"/>
            </w:tcMar>
          </w:tcPr>
          <w:p>
            <w:r>
              <w:rPr>
                <w:b/>
                <w:bCs/>
                <w:color w:val="FFFFFF"/>
                <w:sz w:val="20"/>
                <w:szCs w:val="20"/>
              </w:rPr>
              <w:t xml:space="preserve">Evidence</w:t>
            </w:r>
          </w:p>
        </w:tc>
      </w:tr>
      <w:tr>
        <w:tc>
          <w:tcPr>
            <w:tcW w:type="dxa" w:w="1800"/>
            <w:tcMar>
              <w:top w:type="dxa" w:w="80"/>
              <w:left w:type="dxa" w:w="100"/>
              <w:bottom w:type="dxa" w:w="80"/>
              <w:right w:type="dxa" w:w="100"/>
            </w:tcMar>
          </w:tcPr>
          <w:p>
            <w:r>
              <w:rPr>
                <w:b w:val="false"/>
                <w:bCs w:val="false"/>
                <w:sz w:val="20"/>
                <w:szCs w:val="20"/>
              </w:rPr>
              <w:t xml:space="preserve">Undated (precedes 2026-06)</w:t>
            </w:r>
          </w:p>
        </w:tc>
        <w:tc>
          <w:tcPr>
            <w:tcW w:type="dxa" w:w="3600"/>
            <w:tcMar>
              <w:top w:type="dxa" w:w="80"/>
              <w:left w:type="dxa" w:w="100"/>
              <w:bottom w:type="dxa" w:w="80"/>
              <w:right w:type="dxa" w:w="100"/>
            </w:tcMar>
          </w:tcPr>
          <w:p>
            <w:r>
              <w:rPr>
                <w:b w:val="false"/>
                <w:bCs w:val="false"/>
                <w:sz w:val="20"/>
                <w:szCs w:val="20"/>
              </w:rPr>
              <w:t xml:space="preserve">ERP-01 baseline authored; ERP-01A validation performed</w:t>
            </w:r>
          </w:p>
        </w:tc>
        <w:tc>
          <w:tcPr>
            <w:tcW w:type="dxa" w:w="3600"/>
            <w:tcMar>
              <w:top w:type="dxa" w:w="80"/>
              <w:left w:type="dxa" w:w="100"/>
              <w:bottom w:type="dxa" w:w="80"/>
              <w:right w:type="dxa" w:w="100"/>
            </w:tcMar>
          </w:tcPr>
          <w:p>
            <w:r>
              <w:rPr>
                <w:b w:val="false"/>
                <w:bCs w:val="false"/>
                <w:sz w:val="20"/>
                <w:szCs w:val="20"/>
              </w:rPr>
              <w:t xml:space="preserve">ERP-01A Baseline Validation Report</w:t>
            </w:r>
          </w:p>
        </w:tc>
      </w:tr>
      <w:tr>
        <w:tc>
          <w:tcPr>
            <w:tcW w:type="dxa" w:w="1800"/>
            <w:tcMar>
              <w:top w:type="dxa" w:w="80"/>
              <w:left w:type="dxa" w:w="100"/>
              <w:bottom w:type="dxa" w:w="80"/>
              <w:right w:type="dxa" w:w="100"/>
            </w:tcMar>
          </w:tcPr>
          <w:p>
            <w:r>
              <w:rPr>
                <w:b w:val="false"/>
                <w:bCs w:val="false"/>
                <w:sz w:val="20"/>
                <w:szCs w:val="20"/>
              </w:rPr>
              <w:t xml:space="preserve">Undated (precedes 2026-07)</w:t>
            </w:r>
          </w:p>
        </w:tc>
        <w:tc>
          <w:tcPr>
            <w:tcW w:type="dxa" w:w="3600"/>
            <w:tcMar>
              <w:top w:type="dxa" w:w="80"/>
              <w:left w:type="dxa" w:w="100"/>
              <w:bottom w:type="dxa" w:w="80"/>
              <w:right w:type="dxa" w:w="100"/>
            </w:tcMar>
          </w:tcPr>
          <w:p>
            <w:r>
              <w:rPr>
                <w:b w:val="false"/>
                <w:bCs w:val="false"/>
                <w:sz w:val="20"/>
                <w:szCs w:val="20"/>
              </w:rPr>
              <w:t xml:space="preserve">ERP-02 Phases A–J authored; ERP-02A closure review performed</w:t>
            </w:r>
          </w:p>
        </w:tc>
        <w:tc>
          <w:tcPr>
            <w:tcW w:type="dxa" w:w="3600"/>
            <w:tcMar>
              <w:top w:type="dxa" w:w="80"/>
              <w:left w:type="dxa" w:w="100"/>
              <w:bottom w:type="dxa" w:w="80"/>
              <w:right w:type="dxa" w:w="100"/>
            </w:tcMar>
          </w:tcPr>
          <w:p>
            <w:r>
              <w:rPr>
                <w:b w:val="false"/>
                <w:bCs w:val="false"/>
                <w:sz w:val="20"/>
                <w:szCs w:val="20"/>
              </w:rPr>
              <w:t xml:space="preserve">ERP-02A Closure Report</w:t>
            </w:r>
          </w:p>
        </w:tc>
      </w:tr>
      <w:tr>
        <w:tc>
          <w:tcPr>
            <w:tcW w:type="dxa" w:w="1800"/>
            <w:tcMar>
              <w:top w:type="dxa" w:w="80"/>
              <w:left w:type="dxa" w:w="100"/>
              <w:bottom w:type="dxa" w:w="80"/>
              <w:right w:type="dxa" w:w="100"/>
            </w:tcMar>
          </w:tcPr>
          <w:p>
            <w:r>
              <w:rPr>
                <w:b w:val="false"/>
                <w:bCs w:val="false"/>
                <w:sz w:val="20"/>
                <w:szCs w:val="20"/>
              </w:rPr>
              <w:t xml:space="preserve">2026-06-16 onward</w:t>
            </w:r>
          </w:p>
        </w:tc>
        <w:tc>
          <w:tcPr>
            <w:tcW w:type="dxa" w:w="3600"/>
            <w:tcMar>
              <w:top w:type="dxa" w:w="80"/>
              <w:left w:type="dxa" w:w="100"/>
              <w:bottom w:type="dxa" w:w="80"/>
              <w:right w:type="dxa" w:w="100"/>
            </w:tcMar>
          </w:tcPr>
          <w:p>
            <w:r>
              <w:rPr>
                <w:b w:val="false"/>
                <w:bCs w:val="false"/>
                <w:sz w:val="20"/>
                <w:szCs w:val="20"/>
              </w:rPr>
              <w:t xml:space="preserve">A10 governance migration series and rollback scripts introduced into the repository (paired _rollback.sql convention)</w:t>
            </w:r>
          </w:p>
        </w:tc>
        <w:tc>
          <w:tcPr>
            <w:tcW w:type="dxa" w:w="3600"/>
            <w:tcMar>
              <w:top w:type="dxa" w:w="80"/>
              <w:left w:type="dxa" w:w="100"/>
              <w:bottom w:type="dxa" w:w="80"/>
              <w:right w:type="dxa" w:w="100"/>
            </w:tcMar>
          </w:tcPr>
          <w:p>
            <w:r>
              <w:rPr>
                <w:b w:val="false"/>
                <w:bCs w:val="false"/>
                <w:sz w:val="20"/>
                <w:szCs w:val="20"/>
              </w:rPr>
              <w:t xml:space="preserve">core/supabase/rollback/</w:t>
            </w:r>
          </w:p>
        </w:tc>
      </w:tr>
      <w:tr>
        <w:tc>
          <w:tcPr>
            <w:tcW w:type="dxa" w:w="1800"/>
            <w:tcMar>
              <w:top w:type="dxa" w:w="80"/>
              <w:left w:type="dxa" w:w="100"/>
              <w:bottom w:type="dxa" w:w="80"/>
              <w:right w:type="dxa" w:w="100"/>
            </w:tcMar>
          </w:tcPr>
          <w:p>
            <w:r>
              <w:rPr>
                <w:b w:val="false"/>
                <w:bCs w:val="false"/>
                <w:sz w:val="20"/>
                <w:szCs w:val="20"/>
              </w:rPr>
              <w:t xml:space="preserve">2026-07 (pre-deployment)</w:t>
            </w:r>
          </w:p>
        </w:tc>
        <w:tc>
          <w:tcPr>
            <w:tcW w:type="dxa" w:w="3600"/>
            <w:tcMar>
              <w:top w:type="dxa" w:w="80"/>
              <w:left w:type="dxa" w:w="100"/>
              <w:bottom w:type="dxa" w:w="80"/>
              <w:right w:type="dxa" w:w="100"/>
            </w:tcMar>
          </w:tcPr>
          <w:p>
            <w:r>
              <w:rPr>
                <w:b w:val="false"/>
                <w:bCs w:val="false"/>
                <w:sz w:val="20"/>
                <w:szCs w:val="20"/>
              </w:rPr>
              <w:t xml:space="preserve">WP-0002 Enterprise Security Baseline assessment performed against the delivered repository</w:t>
            </w:r>
          </w:p>
        </w:tc>
        <w:tc>
          <w:tcPr>
            <w:tcW w:type="dxa" w:w="3600"/>
            <w:tcMar>
              <w:top w:type="dxa" w:w="80"/>
              <w:left w:type="dxa" w:w="100"/>
              <w:bottom w:type="dxa" w:w="80"/>
              <w:right w:type="dxa" w:w="100"/>
            </w:tcMar>
          </w:tcPr>
          <w:p>
            <w:r>
              <w:rPr>
                <w:b w:val="false"/>
                <w:bCs w:val="false"/>
                <w:sz w:val="20"/>
                <w:szCs w:val="20"/>
              </w:rPr>
              <w:t xml:space="preserve">WP-0002 Security Baseline Report</w:t>
            </w:r>
          </w:p>
        </w:tc>
      </w:tr>
      <w:tr>
        <w:tc>
          <w:tcPr>
            <w:tcW w:type="dxa" w:w="1800"/>
            <w:tcMar>
              <w:top w:type="dxa" w:w="80"/>
              <w:left w:type="dxa" w:w="100"/>
              <w:bottom w:type="dxa" w:w="80"/>
              <w:right w:type="dxa" w:w="100"/>
            </w:tcMar>
          </w:tcPr>
          <w:p>
            <w:r>
              <w:rPr>
                <w:b w:val="false"/>
                <w:bCs w:val="false"/>
                <w:sz w:val="20"/>
                <w:szCs w:val="20"/>
              </w:rPr>
              <w:t xml:space="preserve">2026-07 (pre-deployment)</w:t>
            </w:r>
          </w:p>
        </w:tc>
        <w:tc>
          <w:tcPr>
            <w:tcW w:type="dxa" w:w="3600"/>
            <w:tcMar>
              <w:top w:type="dxa" w:w="80"/>
              <w:left w:type="dxa" w:w="100"/>
              <w:bottom w:type="dxa" w:w="80"/>
              <w:right w:type="dxa" w:w="100"/>
            </w:tcMar>
          </w:tcPr>
          <w:p>
            <w:r>
              <w:rPr>
                <w:b w:val="false"/>
                <w:bCs w:val="false"/>
                <w:sz w:val="20"/>
                <w:szCs w:val="20"/>
              </w:rPr>
              <w:t xml:space="preserve">Migration history audit performed on 15 flagged pending migrations; production-first reconciliation methodology established</w:t>
            </w:r>
          </w:p>
        </w:tc>
        <w:tc>
          <w:tcPr>
            <w:tcW w:type="dxa" w:w="3600"/>
            <w:tcMar>
              <w:top w:type="dxa" w:w="80"/>
              <w:left w:type="dxa" w:w="100"/>
              <w:bottom w:type="dxa" w:w="80"/>
              <w:right w:type="dxa" w:w="100"/>
            </w:tcMar>
          </w:tcPr>
          <w:p>
            <w:r>
              <w:rPr>
                <w:b w:val="false"/>
                <w:bCs w:val="false"/>
                <w:sz w:val="20"/>
                <w:szCs w:val="20"/>
              </w:rPr>
              <w:t xml:space="preserve">Migration_Audit_15_Pending.md</w:t>
            </w:r>
          </w:p>
        </w:tc>
      </w:tr>
      <w:tr>
        <w:tc>
          <w:tcPr>
            <w:tcW w:type="dxa" w:w="1800"/>
            <w:tcMar>
              <w:top w:type="dxa" w:w="80"/>
              <w:left w:type="dxa" w:w="100"/>
              <w:bottom w:type="dxa" w:w="80"/>
              <w:right w:type="dxa" w:w="100"/>
            </w:tcMar>
          </w:tcPr>
          <w:p>
            <w:r>
              <w:rPr>
                <w:b w:val="false"/>
                <w:bCs w:val="false"/>
                <w:sz w:val="20"/>
                <w:szCs w:val="20"/>
              </w:rPr>
              <w:t xml:space="preserve">2026-07 (pre-deployment)</w:t>
            </w:r>
          </w:p>
        </w:tc>
        <w:tc>
          <w:tcPr>
            <w:tcW w:type="dxa" w:w="3600"/>
            <w:tcMar>
              <w:top w:type="dxa" w:w="80"/>
              <w:left w:type="dxa" w:w="100"/>
              <w:bottom w:type="dxa" w:w="80"/>
              <w:right w:type="dxa" w:w="100"/>
            </w:tcMar>
          </w:tcPr>
          <w:p>
            <w:r>
              <w:rPr>
                <w:b w:val="false"/>
                <w:bCs w:val="false"/>
                <w:sz w:val="20"/>
                <w:szCs w:val="20"/>
              </w:rPr>
              <w:t xml:space="preserve">WP-0002 Task T-102 migration authored (RLS on SIM table family); validation rows recorded as Not Tested pending live database access</w:t>
            </w:r>
          </w:p>
        </w:tc>
        <w:tc>
          <w:tcPr>
            <w:tcW w:type="dxa" w:w="3600"/>
            <w:tcMar>
              <w:top w:type="dxa" w:w="80"/>
              <w:left w:type="dxa" w:w="100"/>
              <w:bottom w:type="dxa" w:w="80"/>
              <w:right w:type="dxa" w:w="100"/>
            </w:tcMar>
          </w:tcPr>
          <w:p>
            <w:r>
              <w:rPr>
                <w:b w:val="false"/>
                <w:bCs w:val="false"/>
                <w:sz w:val="20"/>
                <w:szCs w:val="20"/>
              </w:rPr>
              <w:t xml:space="preserve">WP-0002 T-102 Implementation Record</w:t>
            </w:r>
          </w:p>
        </w:tc>
      </w:tr>
      <w:tr>
        <w:tc>
          <w:tcPr>
            <w:tcW w:type="dxa" w:w="1800"/>
            <w:tcMar>
              <w:top w:type="dxa" w:w="80"/>
              <w:left w:type="dxa" w:w="100"/>
              <w:bottom w:type="dxa" w:w="80"/>
              <w:right w:type="dxa" w:w="100"/>
            </w:tcMar>
          </w:tcPr>
          <w:p>
            <w:r>
              <w:rPr>
                <w:b w:val="false"/>
                <w:bCs w:val="false"/>
                <w:sz w:val="20"/>
                <w:szCs w:val="20"/>
              </w:rPr>
              <w:t xml:space="preserve">2026-07-06</w:t>
            </w:r>
          </w:p>
        </w:tc>
        <w:tc>
          <w:tcPr>
            <w:tcW w:type="dxa" w:w="3600"/>
            <w:tcMar>
              <w:top w:type="dxa" w:w="80"/>
              <w:left w:type="dxa" w:w="100"/>
              <w:bottom w:type="dxa" w:w="80"/>
              <w:right w:type="dxa" w:w="100"/>
            </w:tcMar>
          </w:tcPr>
          <w:p>
            <w:r>
              <w:rPr>
                <w:b w:val="false"/>
                <w:bCs w:val="false"/>
                <w:sz w:val="20"/>
                <w:szCs w:val="20"/>
              </w:rPr>
              <w:t xml:space="preserve">SIM Foundation migration authored: 20260706000001_wp_p2_01_sim_enterprise_foundation.sql</w:t>
            </w:r>
          </w:p>
        </w:tc>
        <w:tc>
          <w:tcPr>
            <w:tcW w:type="dxa" w:w="3600"/>
            <w:tcMar>
              <w:top w:type="dxa" w:w="80"/>
              <w:left w:type="dxa" w:w="100"/>
              <w:bottom w:type="dxa" w:w="80"/>
              <w:right w:type="dxa" w:w="100"/>
            </w:tcMar>
          </w:tcPr>
          <w:p>
            <w:r>
              <w:rPr>
                <w:b w:val="false"/>
                <w:bCs w:val="false"/>
                <w:sz w:val="20"/>
                <w:szCs w:val="20"/>
              </w:rPr>
              <w:t xml:space="preserve">core/supabase/migrations/</w:t>
            </w:r>
          </w:p>
        </w:tc>
      </w:tr>
      <w:tr>
        <w:tc>
          <w:tcPr>
            <w:tcW w:type="dxa" w:w="1800"/>
            <w:tcMar>
              <w:top w:type="dxa" w:w="80"/>
              <w:left w:type="dxa" w:w="100"/>
              <w:bottom w:type="dxa" w:w="80"/>
              <w:right w:type="dxa" w:w="100"/>
            </w:tcMar>
          </w:tcPr>
          <w:p>
            <w:r>
              <w:rPr>
                <w:b w:val="false"/>
                <w:bCs w:val="false"/>
                <w:sz w:val="20"/>
                <w:szCs w:val="20"/>
              </w:rPr>
              <w:t xml:space="preserve">2026-07-10</w:t>
            </w:r>
          </w:p>
        </w:tc>
        <w:tc>
          <w:tcPr>
            <w:tcW w:type="dxa" w:w="3600"/>
            <w:tcMar>
              <w:top w:type="dxa" w:w="80"/>
              <w:left w:type="dxa" w:w="100"/>
              <w:bottom w:type="dxa" w:w="80"/>
              <w:right w:type="dxa" w:w="100"/>
            </w:tcMar>
          </w:tcPr>
          <w:p>
            <w:r>
              <w:rPr>
                <w:b w:val="false"/>
                <w:bCs w:val="false"/>
                <w:sz w:val="20"/>
                <w:szCs w:val="20"/>
              </w:rPr>
              <w:t xml:space="preserve">SIM RLS hardening migration authored: 20260710000001_wp_0002_t102_sim_sources_rls.sql</w:t>
            </w:r>
          </w:p>
        </w:tc>
        <w:tc>
          <w:tcPr>
            <w:tcW w:type="dxa" w:w="3600"/>
            <w:tcMar>
              <w:top w:type="dxa" w:w="80"/>
              <w:left w:type="dxa" w:w="100"/>
              <w:bottom w:type="dxa" w:w="80"/>
              <w:right w:type="dxa" w:w="100"/>
            </w:tcMar>
          </w:tcPr>
          <w:p>
            <w:r>
              <w:rPr>
                <w:b w:val="false"/>
                <w:bCs w:val="false"/>
                <w:sz w:val="20"/>
                <w:szCs w:val="20"/>
              </w:rPr>
              <w:t xml:space="preserve">core/supabase/migrations/</w:t>
            </w:r>
          </w:p>
        </w:tc>
      </w:tr>
      <w:tr>
        <w:tc>
          <w:tcPr>
            <w:tcW w:type="dxa" w:w="1800"/>
            <w:tcMar>
              <w:top w:type="dxa" w:w="80"/>
              <w:left w:type="dxa" w:w="100"/>
              <w:bottom w:type="dxa" w:w="80"/>
              <w:right w:type="dxa" w:w="100"/>
            </w:tcMar>
          </w:tcPr>
          <w:p>
            <w:r>
              <w:rPr>
                <w:b w:val="false"/>
                <w:bCs w:val="false"/>
                <w:sz w:val="20"/>
                <w:szCs w:val="20"/>
              </w:rPr>
              <w:t xml:space="preserve">2026-07-11</w:t>
            </w:r>
          </w:p>
        </w:tc>
        <w:tc>
          <w:tcPr>
            <w:tcW w:type="dxa" w:w="3600"/>
            <w:tcMar>
              <w:top w:type="dxa" w:w="80"/>
              <w:left w:type="dxa" w:w="100"/>
              <w:bottom w:type="dxa" w:w="80"/>
              <w:right w:type="dxa" w:w="100"/>
            </w:tcMar>
          </w:tcPr>
          <w:p>
            <w:r>
              <w:rPr>
                <w:b w:val="false"/>
                <w:bCs w:val="false"/>
                <w:sz w:val="20"/>
                <w:szCs w:val="20"/>
              </w:rPr>
              <w:t xml:space="preserve">Both migrations deployed to production; pre-flight and post-deployment verification performed; deployments certified successful</w:t>
            </w:r>
          </w:p>
        </w:tc>
        <w:tc>
          <w:tcPr>
            <w:tcW w:type="dxa" w:w="3600"/>
            <w:tcMar>
              <w:top w:type="dxa" w:w="80"/>
              <w:left w:type="dxa" w:w="100"/>
              <w:bottom w:type="dxa" w:w="80"/>
              <w:right w:type="dxa" w:w="100"/>
            </w:tcMar>
          </w:tcPr>
          <w:p>
            <w:r>
              <w:rPr>
                <w:b w:val="false"/>
                <w:bCs w:val="false"/>
                <w:sz w:val="20"/>
                <w:szCs w:val="20"/>
              </w:rPr>
              <w:t xml:space="preserve">Production Deployment Certification Report</w:t>
            </w:r>
          </w:p>
        </w:tc>
      </w:tr>
    </w:tbl>
    <w:p>
      <w:r>
        <w:br w:type="page"/>
      </w:r>
    </w:p>
    <w:p>
      <w:pPr>
        <w:pStyle w:val="Heading1"/>
        <w:spacing w:after="200" w:before="400"/>
      </w:pPr>
      <w:r>
        <w:t xml:space="preserve">4. Repository Certification Summary (ERP-01 / ERP-01A)</w:t>
      </w:r>
    </w:p>
    <w:p>
      <w:pPr>
        <w:pStyle w:val="Heading2"/>
        <w:spacing w:after="150" w:before="300"/>
      </w:pPr>
      <w:r>
        <w:t xml:space="preserve">4.1 Repository Freeze and Engineering Baseline</w:t>
      </w:r>
    </w:p>
    <w:p>
      <w:pPr>
        <w:spacing w:after="160"/>
      </w:pPr>
      <w:r>
        <w:t xml:space="preserve">ERP-01 — the Enterprise Architecture Realization Program — established the platform's architecture baseline across three phases: Phase A (baseline assessment and disposition, comprising Phases A.1 Physical Data Model Realization Assessment, A.2 Governance Disposition Assessment, and A.3 Enterprise Architecture Baseline), Phase B (Enterprise Realization Roadmap), and Phase C (the engineering catalog and its 14-part executive dashboard suite, Sections 10.1–10.14).</w:t>
      </w:r>
    </w:p>
    <w:p>
      <w:pPr>
        <w:pStyle w:val="Heading2"/>
        <w:spacing w:after="150" w:before="300"/>
      </w:pPr>
      <w:r>
        <w:t xml:space="preserve">4.2 Quality Certification (ERP-01A)</w:t>
      </w:r>
    </w:p>
    <w:p>
      <w:pPr>
        <w:spacing w:after="160"/>
      </w:pPr>
      <w:r>
        <w:t xml:space="preserve">ERP-01A performed the internal quality assurance and baseline validation of the ERP-01 repository ahead of its designation as the canonical Version 1.0 internal architecture baseline. The validation covered 29 documents across Phases A–C and confirmed internally consistent identifier registries across all nine artifact classes tracked by the program: Architecture Requirements (AR), Enterprise Governance Decisions (EGD), Enterprise Resolutions (ER), Approved Variances (VAR), Enterprise Architecture Principles (AP), Work Packages (WP), Portfolios, Waves, and Key Performance Indicators (KPI).</w:t>
      </w:r>
    </w:p>
    <w:p>
      <w:pPr>
        <w:spacing w:after="160"/>
      </w:pPr>
      <w:r>
        <w:t xml:space="preserve">ERP-01A is explicit about its own limits: it states plainly that it is "not an external audit, an assurance engagement, an ISO certification, a compliance certification, or evidence of review by any third-party assurance firm." It validates only the internal consistency and completeness of the ERP-01 repository, not the correctness of the architecture decisions it contains or the state of any implementation.</w:t>
      </w:r>
    </w:p>
    <w:p>
      <w:pPr>
        <w:pStyle w:val="Heading2"/>
        <w:spacing w:after="150" w:before="300"/>
      </w:pPr>
      <w:r>
        <w:t xml:space="preserve">4.3 Acceptance Criteria and Findings</w:t>
      </w:r>
    </w:p>
    <w:p>
      <w:pPr>
        <w:spacing w:after="160"/>
      </w:pPr>
      <w:r>
        <w:t xml:space="preserve">Full evidentiary traceability was confirmed from Architecture Requirement through to Executive Scorecard for all six approved Work Packages (WP-0001–WP-0006). Four items were identified and logged as Improvement Opportunities rather than defects:</w:t>
      </w:r>
    </w:p>
    <w:p>
      <w:pPr>
        <w:pStyle w:val="ListParagraph"/>
        <w:numPr>
          <w:ilvl w:val="0"/>
          <w:numId w:val="1"/>
        </w:numPr>
        <w:spacing w:after="80"/>
      </w:pPr>
      <w:r>
        <w:t xml:space="preserve">A duplicate file location for the Section 10.1 Executive Overview document.</w:t>
      </w:r>
    </w:p>
    <w:p>
      <w:pPr>
        <w:pStyle w:val="ListParagraph"/>
        <w:numPr>
          <w:ilvl w:val="0"/>
          <w:numId w:val="1"/>
        </w:numPr>
        <w:spacing w:after="80"/>
      </w:pPr>
      <w:r>
        <w:t xml:space="preserve">A superseded, pre-split consolidated Executive Engineering Dashboard document retained alongside its replacement.</w:t>
      </w:r>
    </w:p>
    <w:p>
      <w:pPr>
        <w:pStyle w:val="ListParagraph"/>
        <w:numPr>
          <w:ilvl w:val="0"/>
          <w:numId w:val="1"/>
        </w:numPr>
        <w:spacing w:after="80"/>
      </w:pPr>
      <w:r>
        <w:t xml:space="preserve">A cross-phase naming overlap in the "WP" identifier token.</w:t>
      </w:r>
    </w:p>
    <w:p>
      <w:pPr>
        <w:pStyle w:val="ListParagraph"/>
        <w:numPr>
          <w:ilvl w:val="0"/>
          <w:numId w:val="1"/>
        </w:numPr>
        <w:spacing w:after="80"/>
      </w:pPr>
      <w:r>
        <w:t xml:space="preserve">An open governance item — unassigned accountable ownership across all nine Enterprise Governance Decisions (tracked under AP-009) — that pre-dates this validation and remains tracked, not newly discovered.</w:t>
      </w:r>
    </w:p>
    <w:p>
      <w:pPr>
        <w:spacing w:after="160"/>
      </w:pPr>
      <w:r>
        <w:t xml:space="preserve">None of these items was assessed as an architectural conflict or completeness gap, and none blocked baseline designation. On this basis, ERP-01A recommended the ERP-01 repository be designated the canonical internal enterprise architecture baseline, Version 1.0, subject to future controlled updates.</w:t>
      </w:r>
    </w:p>
    <w:p>
      <w:pPr>
        <w:pStyle w:val="Heading2"/>
        <w:spacing w:after="150" w:before="300"/>
      </w:pPr>
      <w:r>
        <w:t xml:space="preserve">4.4 Repository Integrity</w:t>
      </w:r>
    </w:p>
    <w:p>
      <w:pPr>
        <w:spacing w:after="160"/>
      </w:pPr>
      <w:r>
        <w:t xml:space="preserve">Repository integrity was assessed by confirming no duplicate reuse of any identifier within its own namespace and by tracing every registered artifact to a governing source document. This integrity check is a necessary precondition for everything built on top of ERP-01 in ERP-02, and it is the baseline against which ERP-02A later re-verified consistency (Section 5).</w:t>
      </w:r>
    </w:p>
    <w:p>
      <w:r>
        <w:br w:type="page"/>
      </w:r>
    </w:p>
    <w:p>
      <w:pPr>
        <w:pStyle w:val="Heading1"/>
        <w:spacing w:after="200" w:before="400"/>
      </w:pPr>
      <w:r>
        <w:t xml:space="preserve">5. Execution Program Summary (ERP-02 / ERP-02A)</w:t>
      </w:r>
    </w:p>
    <w:p>
      <w:pPr>
        <w:pStyle w:val="Heading2"/>
        <w:spacing w:after="150" w:before="300"/>
      </w:pPr>
      <w:r>
        <w:t xml:space="preserve">5.1 Engineering Methodology</w:t>
      </w:r>
    </w:p>
    <w:p>
      <w:pPr>
        <w:spacing w:after="160"/>
      </w:pPr>
      <w:r>
        <w:t xml:space="preserve">ERP-02 built a ten-phase execution-governance repository (Phases A through J) around the ERP-01 baseline: Enterprise Execution Governance Framework (A), Enterprise Portfolio Execution Planning (B), Enterprise Engineering Execution Control (C), Enterprise Work Package Realization Governance (D), Enterprise Architecture Compliance During Delivery (E), Enterprise Release &amp; Deployment Governance (F), Enterprise Operational Readiness (G), Enterprise Production Transition Governance (H), Enterprise Realization Verification &amp; Implementation Assurance (I), and the Executive Dashboard &amp; Portfolio Intelligence Suite (J), which consolidated Phases A–I into 27 dashboards.</w:t>
      </w:r>
    </w:p>
    <w:p>
      <w:pPr>
        <w:pStyle w:val="Heading2"/>
        <w:spacing w:after="150" w:before="300"/>
      </w:pPr>
      <w:r>
        <w:t xml:space="preserve">5.2 Production-First Philosophy</w:t>
      </w:r>
    </w:p>
    <w:p>
      <w:pPr>
        <w:spacing w:after="160"/>
      </w:pPr>
      <w:r>
        <w:t xml:space="preserve">The governing philosophy carried through every phase, and made explicit in ERP-02A, is that Current State and Target State are distinguished at all times: where implementation has not occurred, the repository states "Not Yet Realized" rather than inferring progress; where verification has not occurred, it states "Verification Not Yet Assessable"; where operational evidence has not been produced, it states "Operational Readiness Not Yet Assessable." This same discipline is what later made the production-first migration reconciliation in Section 6 possible: engineering evidence (an actual pulled schema, an actual deployed function) was treated as more authoritative than the local migration-history bookkeeping.</w:t>
      </w:r>
    </w:p>
    <w:p>
      <w:pPr>
        <w:pStyle w:val="Heading2"/>
        <w:spacing w:after="150" w:before="300"/>
      </w:pPr>
      <w:r>
        <w:t xml:space="preserve">5.3 Migration Governance</w:t>
      </w:r>
    </w:p>
    <w:p>
      <w:pPr>
        <w:spacing w:after="160"/>
      </w:pPr>
      <w:r>
        <w:t xml:space="preserve">ERP-02 Phase F (Release &amp; Deployment Governance) and Phase H (Production Transition Governance) define the release gates and transition criteria later exercised in Section 8 and Section 9's SIM deployments. As of ERP-02A's closure review, these gates were themselves "defined; unreached" — the governance framework existed, but no release had yet been executed under it at the time ERP-02A closed the planning phases.</w:t>
      </w:r>
    </w:p>
    <w:p>
      <w:pPr>
        <w:pStyle w:val="Heading2"/>
        <w:spacing w:after="150" w:before="300"/>
      </w:pPr>
      <w:r>
        <w:t xml:space="preserve">5.4 Verification Process and Risk Management</w:t>
      </w:r>
    </w:p>
    <w:p>
      <w:pPr>
        <w:spacing w:after="160"/>
      </w:pPr>
      <w:r>
        <w:t xml:space="preserve">ERP-02 Phase I established the verification framework later applied, in substance, to the SIM deployments described in Sections 8 through 10 of this report (pre-flight verification, post-deployment verification, evidence-based certification). ERP-02A records that, at the time of its own closure, "Verification Not Yet Assessable" applied to every Work Package — a status this report's production-deployment layer (Sections 8–10) subsequently supersedes for the SIM Foundation and SIM RLS deployments specifically, with dated, evidence-backed certification.</w:t>
      </w:r>
    </w:p>
    <w:p>
      <w:pPr>
        <w:pStyle w:val="Heading2"/>
        <w:spacing w:after="150" w:before="300"/>
      </w:pPr>
      <w:r>
        <w:t xml:space="preserve">5.5 ERP-02A: What Was and Was Not Certified</w:t>
      </w:r>
    </w:p>
    <w:p>
      <w:pPr>
        <w:spacing w:after="160"/>
      </w:pPr>
      <w:r>
        <w:t xml:space="preserve">ERP-02A is unambiguous that it certifies the ERP-02 repository — not the implementation the repository governs. It certifies:</w:t>
      </w:r>
    </w:p>
    <w:p>
      <w:pPr>
        <w:pStyle w:val="ListParagraph"/>
        <w:numPr>
          <w:ilvl w:val="0"/>
          <w:numId w:val="1"/>
        </w:numPr>
        <w:spacing w:after="80"/>
      </w:pPr>
      <w:r>
        <w:t xml:space="preserve">That ERP-02 Phases A–J each exist, are scoped as required, and reuse ERP-01 identifiers exactly without redefinition.</w:t>
      </w:r>
    </w:p>
    <w:p>
      <w:pPr>
        <w:pStyle w:val="ListParagraph"/>
        <w:numPr>
          <w:ilvl w:val="0"/>
          <w:numId w:val="1"/>
        </w:numPr>
        <w:spacing w:after="80"/>
      </w:pPr>
      <w:r>
        <w:t xml:space="preserve">That the repository is internally consistent, with all Architecture Requirements resolving through Enterprise Governance Decisions to an owning Work Package or an explicit deferral, and no orphaned identifiers.</w:t>
      </w:r>
    </w:p>
    <w:p>
      <w:pPr>
        <w:pStyle w:val="ListParagraph"/>
        <w:numPr>
          <w:ilvl w:val="0"/>
          <w:numId w:val="1"/>
        </w:numPr>
        <w:spacing w:after="80"/>
      </w:pPr>
      <w:r>
        <w:t xml:space="preserve">That KPI-01–KPI-10 baseline values are identical between ERP-01 Phase A.3 §12 and ERP-02 Phase J Section 23, with no unclaimed re-measurement.</w:t>
      </w:r>
    </w:p>
    <w:p>
      <w:pPr>
        <w:pStyle w:val="ListParagraph"/>
        <w:numPr>
          <w:ilvl w:val="0"/>
          <w:numId w:val="1"/>
        </w:numPr>
        <w:spacing w:after="80"/>
      </w:pPr>
      <w:r>
        <w:t xml:space="preserve">That Portfolio and Work Package status is consistent across Phases C through J, with Work Package counts cross-checked (e.g., Portfolio 1: 3 = 3, Portfolio 2: 2 = 2, Portfolio 8: 1 = 1).</w:t>
      </w:r>
    </w:p>
    <w:p>
      <w:pPr>
        <w:spacing w:after="160"/>
      </w:pPr>
      <w:r>
        <w:t xml:space="preserve">ERP-02A explicitly does not certify engineering completion (status remains "Not Yet Realized" for all six Work Packages from the governance program's perspective), release or production execution, operational readiness, or independent verification of any realization claim. One open governance finding, DG-J-01 — an identifier-naming inconsistency in the "AP" prefix, first surfaced in Phase J — remains unresolved and is carried forward in this report's Section 14.</w:t>
      </w:r>
    </w:p>
    <w:p>
      <w:r>
        <w:br w:type="page"/>
      </w:r>
    </w:p>
    <w:p>
      <w:pPr>
        <w:pStyle w:val="Heading1"/>
        <w:spacing w:after="200" w:before="400"/>
      </w:pPr>
      <w:r>
        <w:t xml:space="preserve">6. Migration History Investigation (WP-P2-00B)</w:t>
      </w:r>
    </w:p>
    <w:p>
      <w:pPr>
        <w:pStyle w:val="Heading2"/>
        <w:spacing w:after="150" w:before="300"/>
      </w:pPr>
      <w:r>
        <w:t xml:space="preserve">6.1 Discovery</w:t>
      </w:r>
    </w:p>
    <w:p>
      <w:pPr>
        <w:spacing w:after="160"/>
      </w:pPr>
      <w:r>
        <w:t xml:space="preserve">A pre-deployment audit of migrations flagged as pending by the Supabase CLI (`supabase db push --dry-run`) found that individually, most of the flagged files were well-written and idempotent — but the dry-run warning itself ("insert before the last migration on remote") pointed to a deeper problem: the remote production database appeared to already be running most of the schema these "pending" migrations were meant to create.</w:t>
      </w:r>
    </w:p>
    <w:p>
      <w:pPr>
        <w:pStyle w:val="Heading2"/>
        <w:spacing w:after="150" w:before="300"/>
      </w:pPr>
      <w:r>
        <w:t xml:space="preserve">6.2 Production Drift</w:t>
      </w:r>
    </w:p>
    <w:p>
      <w:pPr>
        <w:spacing w:after="160"/>
      </w:pPr>
      <w:r>
        <w:t xml:space="preserve">Direct evidence confirmed this: a repository snapshot of the live database (20260410162714_remote_schema.sql, a `supabase db pull` capture dated April 10) already contained the trigger and function created by 20260320000001_supabase_bootstrap_fix.sql — a migration dated three weeks earlier that the local CLI still considered unapplied. This is only possible if that SQL had been applied to production out-of-band (SQL Editor, a hotfix script, or manual `psql`) without a corresponding entry being written to the `supabase_migrations.schema_migrations` history table.</w:t>
      </w:r>
    </w:p>
    <w:p>
      <w:pPr>
        <w:pStyle w:val="Heading2"/>
        <w:spacing w:after="150" w:before="300"/>
      </w:pPr>
      <w:r>
        <w:t xml:space="preserve">6.3 Investigation Methodology</w:t>
      </w:r>
    </w:p>
    <w:p>
      <w:pPr>
        <w:spacing w:after="160"/>
      </w:pPr>
      <w:r>
        <w:t xml:space="preserve">The investigation methodology was production-first: rather than trusting the local migration-history table, each candidate "pending" migration was checked against the actual, evidenced state of the remote schema — the pulled schema snapshot, in-file cross-references, and each migration's own idempotency guards (CREATE TABLE IF NOT EXISTS, DROP POLICY IF EXISTS, CREATE OR REPLACE FUNCTION) — to determine whether the objects it claimed to create already existed.</w:t>
      </w:r>
    </w:p>
    <w:p>
      <w:pPr>
        <w:pStyle w:val="Heading2"/>
        <w:spacing w:after="150" w:before="300"/>
      </w:pPr>
      <w:r>
        <w:t xml:space="preserve">6.4 Evidence Collection and Root Cause Analysis</w:t>
      </w:r>
    </w:p>
    <w:p>
      <w:pPr>
        <w:spacing w:after="160"/>
      </w:pPr>
      <w:r>
        <w:t xml:space="preserve">Root cause: manual, undocumented production deployments during an earlier phase of the project bypassed the CLI's migration-history bookkeeping while still applying the underlying SQL. The chain of work was not missing — the bookkeeping recording that the work had happened was missing. This distinction directly shaped the reconciliation strategy: files whose target objects were confirmed present in the pulled remote schema were classified as already-implemented drift rather than genuine gaps; files whose target objects could not be confirmed present were escalated for pre-flight verification before deployment.</w:t>
      </w:r>
    </w:p>
    <w:p>
      <w:pPr>
        <w:pStyle w:val="Heading2"/>
        <w:spacing w:after="150" w:before="300"/>
      </w:pPr>
      <w:r>
        <w:t xml:space="preserve">6.5 Manual Deployment History</w:t>
      </w:r>
    </w:p>
    <w:p>
      <w:pPr>
        <w:spacing w:after="160"/>
      </w:pPr>
      <w:r>
        <w:t xml:space="preserve">The audit identified that at least two of the reviewed migrations (20260320000001_supabase_bootstrap_fix.sql and objects referenced by 20260520000002's own header) had already been substantively applied to production by hand. Four of the fifteen individually reviewed migrations in this audit (006_multi_agent_system.sql, 20260517_phase4b_ai_confidence_language.sql, 20260518000000_add_phase4b_governance_observability.sql, and 20260518000001_student_onboarding_foundation.sql) create policies or triggers without a preceding DROP ... IF EXISTS guard, which meant a blind `--include-all` push risked hard-aborting mid-batch if those specific objects already existed on remote.</w:t>
      </w:r>
    </w:p>
    <w:p>
      <w:pPr>
        <w:pStyle w:val="Heading2"/>
        <w:spacing w:after="150" w:before="300"/>
      </w:pPr>
      <w:r>
        <w:t xml:space="preserve">6.6 Migration Reconciliation Strategy</w:t>
      </w:r>
    </w:p>
    <w:p>
      <w:pPr>
        <w:spacing w:after="160"/>
      </w:pPr>
      <w:r>
        <w:t xml:space="preserve">The recommended and adopted strategy ("Option C" in the underlying audit) was a manual, staged deployment: run cheap, read-only pre-flight checks against pg_catalog (pg_policies, pg_trigger, pg_class.relrowsecurity) before deploying, deploy the low-risk idempotent files first, and deploy the guard-lacking files individually so that any failure is isolated and diagnosable. This was explicitly not a repository-correction exercise ("Option D") — no SQL required rewriting; the guards that were missing are a one-line pattern already used correctly elsewhere in the same migration set, and adding them was left out of scope for the audit.</w:t>
      </w:r>
    </w:p>
    <w:p>
      <w:pPr>
        <w:pStyle w:val="Heading2"/>
        <w:spacing w:after="150" w:before="300"/>
      </w:pPr>
      <w:r>
        <w:t xml:space="preserve">6.7 Lessons Learned</w:t>
      </w:r>
    </w:p>
    <w:p>
      <w:pPr>
        <w:spacing w:after="160"/>
      </w:pPr>
      <w:r>
        <w:t xml:space="preserve">The central lesson, carried into Section 15, is that a local migration-history table cannot be assumed to reflect the true state of a production database once any out-of-band manual deployment has occurred — and that the safe response to that discovery is not to distrust or discard the migration files, but to verify each one against production evidence before deciding whether it represents drift or a genuine gap.</w:t>
      </w:r>
    </w:p>
    <w:p>
      <w:pPr>
        <w:pStyle w:val="Heading1"/>
        <w:spacing w:after="200" w:before="400"/>
      </w:pPr>
      <w:r>
        <w:t xml:space="preserve">7. Migration Reconciliation Results</w:t>
      </w:r>
    </w:p>
    <w:p>
      <w:pPr>
        <w:spacing w:after="160"/>
      </w:pPr>
      <w:r>
        <w:t xml:space="preserve">The program's Production Deployment Certification Report records the outcome of the migration-history reconciliation exercise (WP-P2-00B) as follows:</w:t>
      </w:r>
    </w:p>
    <w:p>
      <w:pPr>
        <w:pStyle w:val="ListParagraph"/>
        <w:numPr>
          <w:ilvl w:val="0"/>
          <w:numId w:val="1"/>
        </w:numPr>
        <w:spacing w:after="80"/>
      </w:pPr>
      <w:r>
        <w:t xml:space="preserve">31 migrations were reconciled as production drift — confirmed, through the production-first methodology in Section 6, to already exist in production despite appearing "pending" in the local migration history.</w:t>
      </w:r>
    </w:p>
    <w:p>
      <w:pPr>
        <w:pStyle w:val="ListParagraph"/>
        <w:numPr>
          <w:ilvl w:val="0"/>
          <w:numId w:val="1"/>
        </w:numPr>
        <w:spacing w:after="80"/>
      </w:pPr>
      <w:r>
        <w:t xml:space="preserve">The SIM Foundation schema was confirmed genuinely absent from production, not drift — verified by an explicit pre-flight check (Section 8.1) before deployment.</w:t>
      </w:r>
    </w:p>
    <w:p>
      <w:pPr>
        <w:pStyle w:val="ListParagraph"/>
        <w:numPr>
          <w:ilvl w:val="0"/>
          <w:numId w:val="1"/>
        </w:numPr>
        <w:spacing w:after="80"/>
      </w:pPr>
      <w:r>
        <w:t xml:space="preserve">The SIM Row-Level-Security hardening migration was correctly identified as blocked on the SIM Foundation deployment completing first, since RLS cannot be enabled on tables that do not yet exist.</w:t>
      </w:r>
    </w:p>
    <w:p>
      <w:pPr>
        <w:spacing w:after="160"/>
      </w:pPr>
      <w:r>
        <w:t xml:space="preserve">This report's evidence base includes a detailed, file-by-file audit of a 15-migration subset (Migration_Audit_15_Pending.md) that demonstrates the classification methodology in full — each file's purpose, dependency chain, idempotency, and deployment readiness, with individual "Approved" or "Approved with Preconditions" dispositions. That subset is one component of the wider 31-migration reconciliation; this report summarizes the classification methodology rather than reproducing raw SQL or a line-by-line ledger of all 31, consistent with the program's documentation standard.</w:t>
      </w:r>
    </w:p>
    <w:p>
      <w:pPr>
        <w:pStyle w:val="Heading2"/>
        <w:spacing w:after="150" w:before="300"/>
      </w:pPr>
      <w:r>
        <w:t xml:space="preserve">7.1 Evidence-Based Classification</w:t>
      </w:r>
    </w:p>
    <w:p>
      <w:pPr>
        <w:spacing w:after="160"/>
      </w:pPr>
      <w:r>
        <w:t xml:space="preserve">Classification of a migration as "drift" (already applied) versus "genuine gap" (not yet applied) was never asserted without a corresponding piece of production evidence — most commonly a pulled remote-schema snapshot, a cross-referencing later migration that assumes the object already exists, or an explicit pre-flight pg_catalog query. Migrations for which no such evidence existed were treated as unconfirmed and required verification before deployment, not assumed to be either drift or gap.</w:t>
      </w:r>
    </w:p>
    <w:p>
      <w:r>
        <w:br w:type="page"/>
      </w:r>
    </w:p>
    <w:p>
      <w:pPr>
        <w:pStyle w:val="Heading1"/>
        <w:spacing w:after="200" w:before="400"/>
      </w:pPr>
      <w:r>
        <w:t xml:space="preserve">8. Enterprise SIM Deployment (WP-P2-01)</w:t>
      </w:r>
    </w:p>
    <w:p>
      <w:pPr>
        <w:spacing w:after="160"/>
      </w:pPr>
      <w:r>
        <w:t xml:space="preserve">Source Intelligence Management (SIM) is the authoritative registry of every external knowledge source used by HireRise. Per its architecture specification, SIM manages source metadata and governance only — it does not collect, transform, or publish knowledge; those responsibilities sit downstream (COM, EDF, the Data Feed App, and Canonical Knowledge Publishing) in the Phase-2 pipeline. SIM's function is to answer, for every source feeding the pipeline: what it is, who owns it, whether it is currently trustworthy, whether it is currently healthy, and whether it is currently allowed to be collected from.</w:t>
      </w:r>
    </w:p>
    <w:p>
      <w:pPr>
        <w:pStyle w:val="Heading2"/>
        <w:spacing w:after="150" w:before="300"/>
      </w:pPr>
      <w:r>
        <w:t xml:space="preserve">8.1 Pre-Flight Verification</w:t>
      </w:r>
    </w:p>
    <w:p>
      <w:pPr>
        <w:spacing w:after="160"/>
      </w:pPr>
      <w:r>
        <w:t xml:space="preserve">Before deployment of 20260706000001_wp_p2_01_sim_enterprise_foundation.sql, the following objects were explicitly verified absent from production:</w:t>
      </w:r>
    </w:p>
    <w:p>
      <w:pPr>
        <w:pStyle w:val="ListParagraph"/>
        <w:numPr>
          <w:ilvl w:val="0"/>
          <w:numId w:val="1"/>
        </w:numPr>
        <w:spacing w:after="80"/>
      </w:pPr>
      <w:r>
        <w:t xml:space="preserve">sim_sources</w:t>
      </w:r>
    </w:p>
    <w:p>
      <w:pPr>
        <w:pStyle w:val="ListParagraph"/>
        <w:numPr>
          <w:ilvl w:val="0"/>
          <w:numId w:val="1"/>
        </w:numPr>
        <w:spacing w:after="80"/>
      </w:pPr>
      <w:r>
        <w:t xml:space="preserve">sim_source_health_snapshots</w:t>
      </w:r>
    </w:p>
    <w:p>
      <w:pPr>
        <w:pStyle w:val="ListParagraph"/>
        <w:numPr>
          <w:ilvl w:val="0"/>
          <w:numId w:val="1"/>
        </w:numPr>
        <w:spacing w:after="80"/>
      </w:pPr>
      <w:r>
        <w:t xml:space="preserve">sim_source_audit_log</w:t>
      </w:r>
    </w:p>
    <w:p>
      <w:pPr>
        <w:pStyle w:val="ListParagraph"/>
        <w:numPr>
          <w:ilvl w:val="0"/>
          <w:numId w:val="1"/>
        </w:numPr>
        <w:spacing w:after="80"/>
      </w:pPr>
      <w:r>
        <w:t xml:space="preserve">sim_source_relationships</w:t>
      </w:r>
    </w:p>
    <w:p>
      <w:pPr>
        <w:pStyle w:val="ListParagraph"/>
        <w:numPr>
          <w:ilvl w:val="0"/>
          <w:numId w:val="1"/>
        </w:numPr>
        <w:spacing w:after="80"/>
      </w:pPr>
      <w:r>
        <w:t xml:space="preserve">sim_set_updated_at() (function)</w:t>
      </w:r>
    </w:p>
    <w:p>
      <w:pPr>
        <w:pStyle w:val="ListParagraph"/>
        <w:numPr>
          <w:ilvl w:val="0"/>
          <w:numId w:val="1"/>
        </w:numPr>
        <w:spacing w:after="80"/>
      </w:pPr>
      <w:r>
        <w:t xml:space="preserve">trg_sim_sources_set_updated_at (trigger)</w:t>
      </w:r>
    </w:p>
    <w:p>
      <w:pPr>
        <w:pStyle w:val="Heading2"/>
        <w:spacing w:after="150" w:before="300"/>
      </w:pPr>
      <w:r>
        <w:t xml:space="preserve">8.2 Engineering Review and Equivalence Assessment</w:t>
      </w:r>
    </w:p>
    <w:p>
      <w:pPr>
        <w:spacing w:after="160"/>
      </w:pPr>
      <w:r>
        <w:t xml:space="preserve">SIM was engineered following the platform's established layered convention already in use across other modules (routes → controllers → services → repositories → Supabase, with validators and models as supporting concerns). Repositories are persistence-only; all business logic (registration rules, trust scoring, governance-state transitions, health-derived status changes) lives in the service layer. Integration with downstream consumers such as COM is event-based only (via sim.events.js) — SIM does not call COM directly, and this work package did not touch, reference, or redesign anything below HKP in the Phase-2 pipeline (Knowledge Runtime, Recommendation Runtime, Decision Runtime, Explainability Runtime, Student Runtime, Knowledge Services).</w:t>
      </w:r>
    </w:p>
    <w:p>
      <w:pPr>
        <w:pStyle w:val="Heading2"/>
        <w:spacing w:after="150" w:before="300"/>
      </w:pPr>
      <w:r>
        <w:t xml:space="preserve">8.3 Deployment Execution</w:t>
      </w:r>
    </w:p>
    <w:p>
      <w:pPr>
        <w:spacing w:after="160"/>
      </w:pPr>
      <w:r>
        <w:t xml:space="preserve">The migration was executed via the Supabase SQL Editor. The recorded result was: "Success. No rows returned."</w:t>
      </w:r>
    </w:p>
    <w:p>
      <w:pPr>
        <w:pStyle w:val="Heading2"/>
        <w:spacing w:after="150" w:before="300"/>
      </w:pPr>
      <w:r>
        <w:t xml:space="preserve">8.4 Post-Deployment Verification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1F3864" w:val="clear"/>
            <w:tcMar>
              <w:top w:type="dxa" w:w="80"/>
              <w:left w:type="dxa" w:w="100"/>
              <w:bottom w:type="dxa" w:w="80"/>
              <w:right w:type="dxa" w:w="100"/>
            </w:tcMar>
          </w:tcPr>
          <w:p>
            <w:r>
              <w:rPr>
                <w:b/>
                <w:bCs/>
                <w:color w:val="FFFFFF"/>
                <w:sz w:val="20"/>
                <w:szCs w:val="20"/>
              </w:rPr>
              <w:t xml:space="preserve">Category</w:t>
            </w:r>
          </w:p>
        </w:tc>
        <w:tc>
          <w:tcPr>
            <w:tcW w:type="dxa" w:w="6500"/>
            <w:shd w:fill="1F3864" w:val="clear"/>
            <w:tcMar>
              <w:top w:type="dxa" w:w="80"/>
              <w:left w:type="dxa" w:w="100"/>
              <w:bottom w:type="dxa" w:w="80"/>
              <w:right w:type="dxa" w:w="100"/>
            </w:tcMar>
          </w:tcPr>
          <w:p>
            <w:r>
              <w:rPr>
                <w:b/>
                <w:bCs/>
                <w:color w:val="FFFFFF"/>
                <w:sz w:val="20"/>
                <w:szCs w:val="20"/>
              </w:rPr>
              <w:t xml:space="preserve">Verified Objects</w:t>
            </w:r>
          </w:p>
        </w:tc>
      </w:tr>
      <w:tr>
        <w:tc>
          <w:tcPr>
            <w:tcW w:type="dxa" w:w="2500"/>
            <w:tcMar>
              <w:top w:type="dxa" w:w="80"/>
              <w:left w:type="dxa" w:w="100"/>
              <w:bottom w:type="dxa" w:w="80"/>
              <w:right w:type="dxa" w:w="100"/>
            </w:tcMar>
          </w:tcPr>
          <w:p>
            <w:r>
              <w:rPr>
                <w:b w:val="false"/>
                <w:bCs w:val="false"/>
                <w:sz w:val="20"/>
                <w:szCs w:val="20"/>
              </w:rPr>
              <w:t xml:space="preserve">Tables</w:t>
            </w:r>
          </w:p>
        </w:tc>
        <w:tc>
          <w:tcPr>
            <w:tcW w:type="dxa" w:w="6500"/>
            <w:tcMar>
              <w:top w:type="dxa" w:w="80"/>
              <w:left w:type="dxa" w:w="100"/>
              <w:bottom w:type="dxa" w:w="80"/>
              <w:right w:type="dxa" w:w="100"/>
            </w:tcMar>
          </w:tcPr>
          <w:p>
            <w:r>
              <w:rPr>
                <w:b w:val="false"/>
                <w:bCs w:val="false"/>
                <w:sz w:val="20"/>
                <w:szCs w:val="20"/>
              </w:rPr>
              <w:t xml:space="preserve">sim_sources, sim_source_health_snapshots, sim_source_audit_log, sim_source_relationships</w:t>
            </w:r>
          </w:p>
        </w:tc>
      </w:tr>
      <w:tr>
        <w:tc>
          <w:tcPr>
            <w:tcW w:type="dxa" w:w="2500"/>
            <w:tcMar>
              <w:top w:type="dxa" w:w="80"/>
              <w:left w:type="dxa" w:w="100"/>
              <w:bottom w:type="dxa" w:w="80"/>
              <w:right w:type="dxa" w:w="100"/>
            </w:tcMar>
          </w:tcPr>
          <w:p>
            <w:r>
              <w:rPr>
                <w:b w:val="false"/>
                <w:bCs w:val="false"/>
                <w:sz w:val="20"/>
                <w:szCs w:val="20"/>
              </w:rPr>
              <w:t xml:space="preserve">Function</w:t>
            </w:r>
          </w:p>
        </w:tc>
        <w:tc>
          <w:tcPr>
            <w:tcW w:type="dxa" w:w="6500"/>
            <w:tcMar>
              <w:top w:type="dxa" w:w="80"/>
              <w:left w:type="dxa" w:w="100"/>
              <w:bottom w:type="dxa" w:w="80"/>
              <w:right w:type="dxa" w:w="100"/>
            </w:tcMar>
          </w:tcPr>
          <w:p>
            <w:r>
              <w:rPr>
                <w:b w:val="false"/>
                <w:bCs w:val="false"/>
                <w:sz w:val="20"/>
                <w:szCs w:val="20"/>
              </w:rPr>
              <w:t xml:space="preserve">sim_set_updated_at()</w:t>
            </w:r>
          </w:p>
        </w:tc>
      </w:tr>
      <w:tr>
        <w:tc>
          <w:tcPr>
            <w:tcW w:type="dxa" w:w="2500"/>
            <w:tcMar>
              <w:top w:type="dxa" w:w="80"/>
              <w:left w:type="dxa" w:w="100"/>
              <w:bottom w:type="dxa" w:w="80"/>
              <w:right w:type="dxa" w:w="100"/>
            </w:tcMar>
          </w:tcPr>
          <w:p>
            <w:r>
              <w:rPr>
                <w:b w:val="false"/>
                <w:bCs w:val="false"/>
                <w:sz w:val="20"/>
                <w:szCs w:val="20"/>
              </w:rPr>
              <w:t xml:space="preserve">Trigger</w:t>
            </w:r>
          </w:p>
        </w:tc>
        <w:tc>
          <w:tcPr>
            <w:tcW w:type="dxa" w:w="6500"/>
            <w:tcMar>
              <w:top w:type="dxa" w:w="80"/>
              <w:left w:type="dxa" w:w="100"/>
              <w:bottom w:type="dxa" w:w="80"/>
              <w:right w:type="dxa" w:w="100"/>
            </w:tcMar>
          </w:tcPr>
          <w:p>
            <w:r>
              <w:rPr>
                <w:b w:val="false"/>
                <w:bCs w:val="false"/>
                <w:sz w:val="20"/>
                <w:szCs w:val="20"/>
              </w:rPr>
              <w:t xml:space="preserve">trg_sim_sources_set_updated_at</w:t>
            </w:r>
          </w:p>
        </w:tc>
      </w:tr>
      <w:tr>
        <w:tc>
          <w:tcPr>
            <w:tcW w:type="dxa" w:w="2500"/>
            <w:tcMar>
              <w:top w:type="dxa" w:w="80"/>
              <w:left w:type="dxa" w:w="100"/>
              <w:bottom w:type="dxa" w:w="80"/>
              <w:right w:type="dxa" w:w="100"/>
            </w:tcMar>
          </w:tcPr>
          <w:p>
            <w:r>
              <w:rPr>
                <w:b w:val="false"/>
                <w:bCs w:val="false"/>
                <w:sz w:val="20"/>
                <w:szCs w:val="20"/>
              </w:rPr>
              <w:t xml:space="preserve">Indexes</w:t>
            </w:r>
          </w:p>
        </w:tc>
        <w:tc>
          <w:tcPr>
            <w:tcW w:type="dxa" w:w="6500"/>
            <w:tcMar>
              <w:top w:type="dxa" w:w="80"/>
              <w:left w:type="dxa" w:w="100"/>
              <w:bottom w:type="dxa" w:w="80"/>
              <w:right w:type="dxa" w:w="100"/>
            </w:tcMar>
          </w:tcPr>
          <w:p>
            <w:r>
              <w:rPr>
                <w:b w:val="false"/>
                <w:bCs w:val="false"/>
                <w:sz w:val="20"/>
                <w:szCs w:val="20"/>
              </w:rPr>
              <w:t xml:space="preserve">Primary keys, composite indexes, relationship indexes, GIN indexes, partial unique indexes, lookup indexes — all verified present</w:t>
            </w:r>
          </w:p>
        </w:tc>
      </w:tr>
    </w:tbl>
    <w:p>
      <w:pPr>
        <w:pStyle w:val="Heading2"/>
        <w:spacing w:after="150" w:before="300"/>
      </w:pPr>
      <w:r>
        <w:t xml:space="preserve">8.5 Certification</w:t>
      </w:r>
    </w:p>
    <w:p>
      <w:pPr>
        <w:spacing w:after="160"/>
      </w:pPr>
      <w:r>
        <w:t xml:space="preserve">Deployment status: CERTIFIED SUCCESSFUL. This certification covers the SIM Foundation schema deployment only; it does not extend to the RLS hardening of the same tables, which is certified separately in Section 9 following Task T-102.</w:t>
      </w:r>
    </w:p>
    <w:p>
      <w:r>
        <w:br w:type="page"/>
      </w:r>
    </w:p>
    <w:p>
      <w:pPr>
        <w:pStyle w:val="Heading1"/>
        <w:spacing w:after="200" w:before="400"/>
      </w:pPr>
      <w:r>
        <w:t xml:space="preserve">9. Enterprise Security Hardening (WP-0002 / Task T-102)</w:t>
      </w:r>
    </w:p>
    <w:p>
      <w:pPr>
        <w:pStyle w:val="Heading2"/>
        <w:spacing w:after="150" w:before="300"/>
      </w:pPr>
      <w:r>
        <w:t xml:space="preserve">9.1 Scope</w:t>
      </w:r>
    </w:p>
    <w:p>
      <w:pPr>
        <w:spacing w:after="160"/>
      </w:pPr>
      <w:r>
        <w:t xml:space="preserve">This section covers Task T-102 only: enabling Row-Level Security on the sim_sources table family. WP-0002's broader RLS-verification-and-hardening scope produced additional findings (Section 9.5) that remain open and outside T-102's scope; no other WP-0002 task (T-103, T-104, T-201, T-301, T-401, and others referenced in the underlying task numbering) was touched by this deployment.</w:t>
      </w:r>
    </w:p>
    <w:p>
      <w:pPr>
        <w:pStyle w:val="Heading2"/>
        <w:spacing w:after="150" w:before="300"/>
      </w:pPr>
      <w:r>
        <w:t xml:space="preserve">9.2 RLS Deployment</w:t>
      </w:r>
    </w:p>
    <w:p>
      <w:pPr>
        <w:spacing w:after="160"/>
      </w:pPr>
      <w:r>
        <w:t xml:space="preserve">Repository evidence traced every legitimate access path to the four SIM tables and found a single, consistent pattern: the entire source-intelligence module is mounted behind authenticate + requireAdmin middleware at the API layer, and is exclusively backed by a Supabase client constructed from SUPABASE_SERVICE_ROLE_KEY — never the anon or authenticated keys. No frontend code, RPC function, or worker outside the source-intelligence module's own repositories was found referencing these tables. This matched the "internal system table" case in the governing task instructions, so the implementation granted service-role-only access: one CREATE POLICY ..._service_role_full_access per table, granted TO "service_role" USING (true) WITH CHECK (true), each preceded by DROP POLICY IF EXISTS for idempotency, plus REVOKE ALL ... FROM "anon", "authenticated" on all four tables to remove reliance on the schema-level default-privilege grant.</w:t>
      </w:r>
    </w:p>
    <w:p>
      <w:pPr>
        <w:pStyle w:val="Heading2"/>
        <w:spacing w:after="150" w:before="300"/>
      </w:pPr>
      <w:r>
        <w:t xml:space="preserve">9.3 Policy Verification</w:t>
      </w:r>
    </w:p>
    <w:p>
      <w:pPr>
        <w:spacing w:after="160"/>
      </w:pPr>
      <w:r>
        <w:t xml:space="preserve">Migration 20260710000001_wp_0002_t102_sim_sources_rls.sql was verified structurally against Postgres CREATE POLICY syntax and against the repository's own equivalent, already-deployed policy pattern (e.g. emp_employer_users_service_role_full_access in 000_initial_schema.sql) prior to deployment. At the time this migration was authored, no live database was available in the engineering environment, so Database validation, Policy validation, and both positive/negative Authorization validation rows were explicitly recorded as "Not Tested" — a stated limitation, not an oversight — and Task T-102 was rated Partially Completed pending live execution. The Production Deployment Certification Report subsequently records that this migration was executed against production on 2026-07-11 with Row Level Security confirmed enabled on all four tables and all four service-role policies confirmed present, superseding the "Not Tested" status recorded at authoring time.</w:t>
      </w:r>
    </w:p>
    <w:p>
      <w:pPr>
        <w:pStyle w:val="Heading2"/>
        <w:spacing w:after="150" w:before="300"/>
      </w:pPr>
      <w:r>
        <w:t xml:space="preserve">9.4 Grant Verification</w:t>
      </w:r>
    </w:p>
    <w:p>
      <w:pPr>
        <w:spacing w:after="160"/>
      </w:pPr>
      <w:r>
        <w:t xml:space="preserve">Post-deployment grant verification confirmed: postgres administrative privileges retained; service_role granted operational access; no unexpected anon/authenticated grants observed on the four SIM tables.</w:t>
      </w:r>
    </w:p>
    <w:p>
      <w:pPr>
        <w:pStyle w:val="Heading2"/>
        <w:spacing w:after="150" w:before="300"/>
      </w:pPr>
      <w:r>
        <w:t xml:space="preserve">9.5 Final Security Posture</w:t>
      </w:r>
    </w:p>
    <w:p>
      <w:pPr>
        <w:spacing w:after="160"/>
      </w:pPr>
      <w:r>
        <w:t xml:space="preserve">Task T-102 closes one specific, evidence-confirmed Critical-risk gap (unprotected SIM tables) out of the broader set identified by the WP-0002 Enterprise Security Baseline Report. That baseline assessment characterized the platform's overall RLS and RPC-grant posture, at the time of assessment, as "substantial, but uneven" and "not yet production-ready," and identified the following findings not addressed by this deployment and carried forward as residual risk (Section 11):</w:t>
      </w:r>
    </w:p>
    <w:p>
      <w:pPr>
        <w:pStyle w:val="ListParagraph"/>
        <w:numPr>
          <w:ilvl w:val="0"/>
          <w:numId w:val="1"/>
        </w:numPr>
        <w:spacing w:after="80"/>
      </w:pPr>
      <w:r>
        <w:t xml:space="preserve">G2 — signal_lineage and signal_registry_audit_log: migration comments assert no SELECT grant for authenticated, but no RLS enable or REVOKE statement was found to enforce that intent at the database level (Critical, unconfirmed against live database).</w:t>
      </w:r>
    </w:p>
    <w:p>
      <w:pPr>
        <w:pStyle w:val="ListParagraph"/>
        <w:numPr>
          <w:ilvl w:val="0"/>
          <w:numId w:val="1"/>
        </w:numPr>
        <w:spacing w:after="80"/>
      </w:pPr>
      <w:r>
        <w:t xml:space="preserve">G3 — academic_rpc_lifecycle and academic_rpc_schema_registry: explicit GRANT SELECT ... TO authenticated with no RLS enabled, allowing any authenticated user to read the full table with no row filter (High).</w:t>
      </w:r>
    </w:p>
    <w:p>
      <w:pPr>
        <w:pStyle w:val="ListParagraph"/>
        <w:numPr>
          <w:ilvl w:val="0"/>
          <w:numId w:val="1"/>
        </w:numPr>
        <w:spacing w:after="80"/>
      </w:pPr>
      <w:r>
        <w:t xml:space="preserve">G4 — 27 SECURITY DEFINER functions without a pinned search_path, a known Postgres privilege-escalation vector (High).</w:t>
      </w:r>
    </w:p>
    <w:p>
      <w:pPr>
        <w:pStyle w:val="ListParagraph"/>
        <w:numPr>
          <w:ilvl w:val="0"/>
          <w:numId w:val="1"/>
        </w:numPr>
        <w:spacing w:after="80"/>
      </w:pPr>
      <w:r>
        <w:t xml:space="preserve">G5 — 86 functions with broad, likely auto-generated anon execute grants, including subscription-activation and bulk-import functions (High).</w:t>
      </w:r>
    </w:p>
    <w:p>
      <w:pPr>
        <w:pStyle w:val="ListParagraph"/>
        <w:numPr>
          <w:ilvl w:val="0"/>
          <w:numId w:val="1"/>
        </w:numPr>
        <w:spacing w:after="80"/>
      </w:pPr>
      <w:r>
        <w:t xml:space="preserve">G6 — live-format API keys and a Supabase service-role key present in plaintext .env files within the delivered repository archive, including a server-only key mixed into a frontend-directory env file (Critical).</w:t>
      </w:r>
    </w:p>
    <w:p>
      <w:pPr>
        <w:pStyle w:val="ListParagraph"/>
        <w:numPr>
          <w:ilvl w:val="0"/>
          <w:numId w:val="1"/>
        </w:numPr>
        <w:spacing w:after="80"/>
      </w:pPr>
      <w:r>
        <w:t xml:space="preserve">G7 — a hardcoded fallback dev-admin password, mitigated by a production-environment guard at module load (Low).</w:t>
      </w:r>
    </w:p>
    <w:p>
      <w:pPr>
        <w:pStyle w:val="ListParagraph"/>
        <w:numPr>
          <w:ilvl w:val="0"/>
          <w:numId w:val="1"/>
        </w:numPr>
        <w:spacing w:after="80"/>
      </w:pPr>
      <w:r>
        <w:t xml:space="preserve">G8 — verbose debug logging in the authentication middleware path (Low).</w:t>
      </w:r>
    </w:p>
    <w:p>
      <w:pPr>
        <w:pStyle w:val="ListParagraph"/>
        <w:numPr>
          <w:ilvl w:val="0"/>
          <w:numId w:val="1"/>
        </w:numPr>
        <w:spacing w:after="80"/>
      </w:pPr>
      <w:r>
        <w:t xml:space="preserve">G9 — storage bucket / storage.objects RLS configuration not found anywhere in the SQL migration set, and therefore not verifiable from repository evidence (Unknown — evidence gap).</w:t>
      </w:r>
    </w:p>
    <w:p>
      <w:pPr>
        <w:spacing w:after="160"/>
      </w:pPr>
      <w:r>
        <w:t xml:space="preserve">None of these residual findings require a new Architecture Requirement or Work Package; the baseline assessment maps each directly to WP-0002's already-approved scope.</w:t>
      </w:r>
    </w:p>
    <w:p>
      <w:r>
        <w:br w:type="page"/>
      </w:r>
    </w:p>
    <w:p>
      <w:pPr>
        <w:pStyle w:val="Heading1"/>
        <w:spacing w:after="200" w:before="400"/>
      </w:pPr>
      <w:r>
        <w:t xml:space="preserve">10. Production Verification</w:t>
      </w:r>
    </w:p>
    <w:p>
      <w:pPr>
        <w:spacing w:after="160"/>
      </w:pPr>
      <w:r>
        <w:t xml:space="preserve">Verification methodology across both certified deployments followed a consistent pattern: (1) pre-flight confirmation that target objects were absent (for creation) or present (for alteration) before the change; (2) execution via the Supabase SQL Editor with the literal result recorded; (3) post-deployment confirmation of every object the migration claimed to create or alter, checked against the categories below; (4) an explicit CERTIFIED SUCCESSFUL determination recorded only once (3) was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1F3864" w:val="clear"/>
            <w:tcMar>
              <w:top w:type="dxa" w:w="80"/>
              <w:left w:type="dxa" w:w="100"/>
              <w:bottom w:type="dxa" w:w="80"/>
              <w:right w:type="dxa" w:w="100"/>
            </w:tcMar>
          </w:tcPr>
          <w:p>
            <w:r>
              <w:rPr>
                <w:b/>
                <w:bCs/>
                <w:color w:val="FFFFFF"/>
                <w:sz w:val="20"/>
                <w:szCs w:val="20"/>
              </w:rPr>
              <w:t xml:space="preserve">Category</w:t>
            </w:r>
          </w:p>
        </w:tc>
        <w:tc>
          <w:tcPr>
            <w:tcW w:type="dxa" w:w="3700"/>
            <w:shd w:fill="1F3864" w:val="clear"/>
            <w:tcMar>
              <w:top w:type="dxa" w:w="80"/>
              <w:left w:type="dxa" w:w="100"/>
              <w:bottom w:type="dxa" w:w="80"/>
              <w:right w:type="dxa" w:w="100"/>
            </w:tcMar>
          </w:tcPr>
          <w:p>
            <w:r>
              <w:rPr>
                <w:b/>
                <w:bCs/>
                <w:color w:val="FFFFFF"/>
                <w:sz w:val="20"/>
                <w:szCs w:val="20"/>
              </w:rPr>
              <w:t xml:space="preserve">SIM Foundation (Deployment 1)</w:t>
            </w:r>
          </w:p>
        </w:tc>
        <w:tc>
          <w:tcPr>
            <w:tcW w:type="dxa" w:w="3700"/>
            <w:shd w:fill="1F3864" w:val="clear"/>
            <w:tcMar>
              <w:top w:type="dxa" w:w="80"/>
              <w:left w:type="dxa" w:w="100"/>
              <w:bottom w:type="dxa" w:w="80"/>
              <w:right w:type="dxa" w:w="100"/>
            </w:tcMar>
          </w:tcPr>
          <w:p>
            <w:r>
              <w:rPr>
                <w:b/>
                <w:bCs/>
                <w:color w:val="FFFFFF"/>
                <w:sz w:val="20"/>
                <w:szCs w:val="20"/>
              </w:rPr>
              <w:t xml:space="preserve">SIM RLS Hardening (Deployment 2)</w:t>
            </w:r>
          </w:p>
        </w:tc>
      </w:tr>
      <w:tr>
        <w:tc>
          <w:tcPr>
            <w:tcW w:type="dxa" w:w="1800"/>
            <w:tcMar>
              <w:top w:type="dxa" w:w="80"/>
              <w:left w:type="dxa" w:w="100"/>
              <w:bottom w:type="dxa" w:w="80"/>
              <w:right w:type="dxa" w:w="100"/>
            </w:tcMar>
          </w:tcPr>
          <w:p>
            <w:r>
              <w:rPr>
                <w:b w:val="false"/>
                <w:bCs w:val="false"/>
                <w:sz w:val="20"/>
                <w:szCs w:val="20"/>
              </w:rPr>
              <w:t xml:space="preserve">Tables</w:t>
            </w:r>
          </w:p>
        </w:tc>
        <w:tc>
          <w:tcPr>
            <w:tcW w:type="dxa" w:w="3700"/>
            <w:tcMar>
              <w:top w:type="dxa" w:w="80"/>
              <w:left w:type="dxa" w:w="100"/>
              <w:bottom w:type="dxa" w:w="80"/>
              <w:right w:type="dxa" w:w="100"/>
            </w:tcMar>
          </w:tcPr>
          <w:p>
            <w:r>
              <w:rPr>
                <w:b w:val="false"/>
                <w:bCs w:val="false"/>
                <w:sz w:val="20"/>
                <w:szCs w:val="20"/>
              </w:rPr>
              <w:t xml:space="preserve">4 tables verified present (sim_sources, sim_source_health_snapshots, sim_source_audit_log, sim_source_relationships)</w:t>
            </w:r>
          </w:p>
        </w:tc>
        <w:tc>
          <w:tcPr>
            <w:tcW w:type="dxa" w:w="3700"/>
            <w:tcMar>
              <w:top w:type="dxa" w:w="80"/>
              <w:left w:type="dxa" w:w="100"/>
              <w:bottom w:type="dxa" w:w="80"/>
              <w:right w:type="dxa" w:w="100"/>
            </w:tcMar>
          </w:tcPr>
          <w:p>
            <w:r>
              <w:rPr>
                <w:b w:val="false"/>
                <w:bCs w:val="false"/>
                <w:sz w:val="20"/>
                <w:szCs w:val="20"/>
              </w:rPr>
              <w:t xml:space="preserve">Same 4 tables — RLS status verified, not re-created</w:t>
            </w:r>
          </w:p>
        </w:tc>
      </w:tr>
      <w:tr>
        <w:tc>
          <w:tcPr>
            <w:tcW w:type="dxa" w:w="1800"/>
            <w:tcMar>
              <w:top w:type="dxa" w:w="80"/>
              <w:left w:type="dxa" w:w="100"/>
              <w:bottom w:type="dxa" w:w="80"/>
              <w:right w:type="dxa" w:w="100"/>
            </w:tcMar>
          </w:tcPr>
          <w:p>
            <w:r>
              <w:rPr>
                <w:b w:val="false"/>
                <w:bCs w:val="false"/>
                <w:sz w:val="20"/>
                <w:szCs w:val="20"/>
              </w:rPr>
              <w:t xml:space="preserve">Functions</w:t>
            </w:r>
          </w:p>
        </w:tc>
        <w:tc>
          <w:tcPr>
            <w:tcW w:type="dxa" w:w="3700"/>
            <w:tcMar>
              <w:top w:type="dxa" w:w="80"/>
              <w:left w:type="dxa" w:w="100"/>
              <w:bottom w:type="dxa" w:w="80"/>
              <w:right w:type="dxa" w:w="100"/>
            </w:tcMar>
          </w:tcPr>
          <w:p>
            <w:r>
              <w:rPr>
                <w:b w:val="false"/>
                <w:bCs w:val="false"/>
                <w:sz w:val="20"/>
                <w:szCs w:val="20"/>
              </w:rPr>
              <w:t xml:space="preserve">sim_set_updated_at() verified present</w:t>
            </w:r>
          </w:p>
        </w:tc>
        <w:tc>
          <w:tcPr>
            <w:tcW w:type="dxa" w:w="3700"/>
            <w:tcMar>
              <w:top w:type="dxa" w:w="80"/>
              <w:left w:type="dxa" w:w="100"/>
              <w:bottom w:type="dxa" w:w="80"/>
              <w:right w:type="dxa" w:w="100"/>
            </w:tcMar>
          </w:tcPr>
          <w:p>
            <w:r>
              <w:rPr>
                <w:b w:val="false"/>
                <w:bCs w:val="false"/>
                <w:sz w:val="20"/>
                <w:szCs w:val="20"/>
              </w:rPr>
              <w:t xml:space="preserve">Not applicable to this migration</w:t>
            </w:r>
          </w:p>
        </w:tc>
      </w:tr>
      <w:tr>
        <w:tc>
          <w:tcPr>
            <w:tcW w:type="dxa" w:w="1800"/>
            <w:tcMar>
              <w:top w:type="dxa" w:w="80"/>
              <w:left w:type="dxa" w:w="100"/>
              <w:bottom w:type="dxa" w:w="80"/>
              <w:right w:type="dxa" w:w="100"/>
            </w:tcMar>
          </w:tcPr>
          <w:p>
            <w:r>
              <w:rPr>
                <w:b w:val="false"/>
                <w:bCs w:val="false"/>
                <w:sz w:val="20"/>
                <w:szCs w:val="20"/>
              </w:rPr>
              <w:t xml:space="preserve">Triggers</w:t>
            </w:r>
          </w:p>
        </w:tc>
        <w:tc>
          <w:tcPr>
            <w:tcW w:type="dxa" w:w="3700"/>
            <w:tcMar>
              <w:top w:type="dxa" w:w="80"/>
              <w:left w:type="dxa" w:w="100"/>
              <w:bottom w:type="dxa" w:w="80"/>
              <w:right w:type="dxa" w:w="100"/>
            </w:tcMar>
          </w:tcPr>
          <w:p>
            <w:r>
              <w:rPr>
                <w:b w:val="false"/>
                <w:bCs w:val="false"/>
                <w:sz w:val="20"/>
                <w:szCs w:val="20"/>
              </w:rPr>
              <w:t xml:space="preserve">trg_sim_sources_set_updated_at verified present</w:t>
            </w:r>
          </w:p>
        </w:tc>
        <w:tc>
          <w:tcPr>
            <w:tcW w:type="dxa" w:w="3700"/>
            <w:tcMar>
              <w:top w:type="dxa" w:w="80"/>
              <w:left w:type="dxa" w:w="100"/>
              <w:bottom w:type="dxa" w:w="80"/>
              <w:right w:type="dxa" w:w="100"/>
            </w:tcMar>
          </w:tcPr>
          <w:p>
            <w:r>
              <w:rPr>
                <w:b w:val="false"/>
                <w:bCs w:val="false"/>
                <w:sz w:val="20"/>
                <w:szCs w:val="20"/>
              </w:rPr>
              <w:t xml:space="preserve">Not applicable to this migration</w:t>
            </w:r>
          </w:p>
        </w:tc>
      </w:tr>
      <w:tr>
        <w:tc>
          <w:tcPr>
            <w:tcW w:type="dxa" w:w="1800"/>
            <w:tcMar>
              <w:top w:type="dxa" w:w="80"/>
              <w:left w:type="dxa" w:w="100"/>
              <w:bottom w:type="dxa" w:w="80"/>
              <w:right w:type="dxa" w:w="100"/>
            </w:tcMar>
          </w:tcPr>
          <w:p>
            <w:r>
              <w:rPr>
                <w:b w:val="false"/>
                <w:bCs w:val="false"/>
                <w:sz w:val="20"/>
                <w:szCs w:val="20"/>
              </w:rPr>
              <w:t xml:space="preserve">Indexes</w:t>
            </w:r>
          </w:p>
        </w:tc>
        <w:tc>
          <w:tcPr>
            <w:tcW w:type="dxa" w:w="3700"/>
            <w:tcMar>
              <w:top w:type="dxa" w:w="80"/>
              <w:left w:type="dxa" w:w="100"/>
              <w:bottom w:type="dxa" w:w="80"/>
              <w:right w:type="dxa" w:w="100"/>
            </w:tcMar>
          </w:tcPr>
          <w:p>
            <w:r>
              <w:rPr>
                <w:b w:val="false"/>
                <w:bCs w:val="false"/>
                <w:sz w:val="20"/>
                <w:szCs w:val="20"/>
              </w:rPr>
              <w:t xml:space="preserve">Primary keys, composite, relationship, GIN, partial unique, and lookup indexes verified</w:t>
            </w:r>
          </w:p>
        </w:tc>
        <w:tc>
          <w:tcPr>
            <w:tcW w:type="dxa" w:w="3700"/>
            <w:tcMar>
              <w:top w:type="dxa" w:w="80"/>
              <w:left w:type="dxa" w:w="100"/>
              <w:bottom w:type="dxa" w:w="80"/>
              <w:right w:type="dxa" w:w="100"/>
            </w:tcMar>
          </w:tcPr>
          <w:p>
            <w:r>
              <w:rPr>
                <w:b w:val="false"/>
                <w:bCs w:val="false"/>
                <w:sz w:val="20"/>
                <w:szCs w:val="20"/>
              </w:rPr>
              <w:t xml:space="preserve">Not applicable to this migration</w:t>
            </w:r>
          </w:p>
        </w:tc>
      </w:tr>
      <w:tr>
        <w:tc>
          <w:tcPr>
            <w:tcW w:type="dxa" w:w="1800"/>
            <w:tcMar>
              <w:top w:type="dxa" w:w="80"/>
              <w:left w:type="dxa" w:w="100"/>
              <w:bottom w:type="dxa" w:w="80"/>
              <w:right w:type="dxa" w:w="100"/>
            </w:tcMar>
          </w:tcPr>
          <w:p>
            <w:r>
              <w:rPr>
                <w:b w:val="false"/>
                <w:bCs w:val="false"/>
                <w:sz w:val="20"/>
                <w:szCs w:val="20"/>
              </w:rPr>
              <w:t xml:space="preserve">Constraints</w:t>
            </w:r>
          </w:p>
        </w:tc>
        <w:tc>
          <w:tcPr>
            <w:tcW w:type="dxa" w:w="3700"/>
            <w:tcMar>
              <w:top w:type="dxa" w:w="80"/>
              <w:left w:type="dxa" w:w="100"/>
              <w:bottom w:type="dxa" w:w="80"/>
              <w:right w:type="dxa" w:w="100"/>
            </w:tcMar>
          </w:tcPr>
          <w:p>
            <w:r>
              <w:rPr>
                <w:b w:val="false"/>
                <w:bCs w:val="false"/>
                <w:sz w:val="20"/>
                <w:szCs w:val="20"/>
              </w:rPr>
              <w:t xml:space="preserve">Implied by table creation; no separate constraint-specific check recorded</w:t>
            </w:r>
          </w:p>
        </w:tc>
        <w:tc>
          <w:tcPr>
            <w:tcW w:type="dxa" w:w="3700"/>
            <w:tcMar>
              <w:top w:type="dxa" w:w="80"/>
              <w:left w:type="dxa" w:w="100"/>
              <w:bottom w:type="dxa" w:w="80"/>
              <w:right w:type="dxa" w:w="100"/>
            </w:tcMar>
          </w:tcPr>
          <w:p>
            <w:r>
              <w:rPr>
                <w:b w:val="false"/>
                <w:bCs w:val="false"/>
                <w:sz w:val="20"/>
                <w:szCs w:val="20"/>
              </w:rPr>
              <w:t xml:space="preserve">Not applicable to this migration</w:t>
            </w:r>
          </w:p>
        </w:tc>
      </w:tr>
      <w:tr>
        <w:tc>
          <w:tcPr>
            <w:tcW w:type="dxa" w:w="1800"/>
            <w:tcMar>
              <w:top w:type="dxa" w:w="80"/>
              <w:left w:type="dxa" w:w="100"/>
              <w:bottom w:type="dxa" w:w="80"/>
              <w:right w:type="dxa" w:w="100"/>
            </w:tcMar>
          </w:tcPr>
          <w:p>
            <w:r>
              <w:rPr>
                <w:b w:val="false"/>
                <w:bCs w:val="false"/>
                <w:sz w:val="20"/>
                <w:szCs w:val="20"/>
              </w:rPr>
              <w:t xml:space="preserve">Policies</w:t>
            </w:r>
          </w:p>
        </w:tc>
        <w:tc>
          <w:tcPr>
            <w:tcW w:type="dxa" w:w="3700"/>
            <w:tcMar>
              <w:top w:type="dxa" w:w="80"/>
              <w:left w:type="dxa" w:w="100"/>
              <w:bottom w:type="dxa" w:w="80"/>
              <w:right w:type="dxa" w:w="100"/>
            </w:tcMar>
          </w:tcPr>
          <w:p>
            <w:r>
              <w:rPr>
                <w:b w:val="false"/>
                <w:bCs w:val="false"/>
                <w:sz w:val="20"/>
                <w:szCs w:val="20"/>
              </w:rPr>
              <w:t xml:space="preserve">Not applicable to this migration</w:t>
            </w:r>
          </w:p>
        </w:tc>
        <w:tc>
          <w:tcPr>
            <w:tcW w:type="dxa" w:w="3700"/>
            <w:tcMar>
              <w:top w:type="dxa" w:w="80"/>
              <w:left w:type="dxa" w:w="100"/>
              <w:bottom w:type="dxa" w:w="80"/>
              <w:right w:type="dxa" w:w="100"/>
            </w:tcMar>
          </w:tcPr>
          <w:p>
            <w:r>
              <w:rPr>
                <w:b w:val="false"/>
                <w:bCs w:val="false"/>
                <w:sz w:val="20"/>
                <w:szCs w:val="20"/>
              </w:rPr>
              <w:t xml:space="preserve">4 service-role-only policies verified present</w:t>
            </w:r>
          </w:p>
        </w:tc>
      </w:tr>
      <w:tr>
        <w:tc>
          <w:tcPr>
            <w:tcW w:type="dxa" w:w="1800"/>
            <w:tcMar>
              <w:top w:type="dxa" w:w="80"/>
              <w:left w:type="dxa" w:w="100"/>
              <w:bottom w:type="dxa" w:w="80"/>
              <w:right w:type="dxa" w:w="100"/>
            </w:tcMar>
          </w:tcPr>
          <w:p>
            <w:r>
              <w:rPr>
                <w:b w:val="false"/>
                <w:bCs w:val="false"/>
                <w:sz w:val="20"/>
                <w:szCs w:val="20"/>
              </w:rPr>
              <w:t xml:space="preserve">Row Level Security</w:t>
            </w:r>
          </w:p>
        </w:tc>
        <w:tc>
          <w:tcPr>
            <w:tcW w:type="dxa" w:w="3700"/>
            <w:tcMar>
              <w:top w:type="dxa" w:w="80"/>
              <w:left w:type="dxa" w:w="100"/>
              <w:bottom w:type="dxa" w:w="80"/>
              <w:right w:type="dxa" w:w="100"/>
            </w:tcMar>
          </w:tcPr>
          <w:p>
            <w:r>
              <w:rPr>
                <w:b w:val="false"/>
                <w:bCs w:val="false"/>
                <w:sz w:val="20"/>
                <w:szCs w:val="20"/>
              </w:rPr>
              <w:t xml:space="preserve">Not enabled at this stage (by design — deferred to Deployment 2)</w:t>
            </w:r>
          </w:p>
        </w:tc>
        <w:tc>
          <w:tcPr>
            <w:tcW w:type="dxa" w:w="3700"/>
            <w:tcMar>
              <w:top w:type="dxa" w:w="80"/>
              <w:left w:type="dxa" w:w="100"/>
              <w:bottom w:type="dxa" w:w="80"/>
              <w:right w:type="dxa" w:w="100"/>
            </w:tcMar>
          </w:tcPr>
          <w:p>
            <w:r>
              <w:rPr>
                <w:b w:val="false"/>
                <w:bCs w:val="false"/>
                <w:sz w:val="20"/>
                <w:szCs w:val="20"/>
              </w:rPr>
              <w:t xml:space="preserve">Enabled and verified on all 4 tables</w:t>
            </w:r>
          </w:p>
        </w:tc>
      </w:tr>
    </w:tbl>
    <w:p>
      <w:pPr>
        <w:spacing w:after="160"/>
      </w:pPr>
      <w:r>
        <w:t xml:space="preserve">Evidence for both deployments is drawn from the Production Deployment Certification Report dated 2026-07-11, which records the SQL Editor result for each migration as "Success. No rows returned," followed by the checklist-style verification recorded above.</w:t>
      </w:r>
    </w:p>
    <w:p>
      <w:r>
        <w:br w:type="page"/>
      </w:r>
    </w:p>
    <w:p>
      <w:pPr>
        <w:pStyle w:val="Heading1"/>
        <w:spacing w:after="200" w:before="400"/>
      </w:pPr>
      <w:r>
        <w:t xml:space="preserve">11. Risk Assessment</w:t>
      </w:r>
    </w:p>
    <w:p>
      <w:pPr>
        <w:pStyle w:val="Heading2"/>
        <w:spacing w:after="150" w:before="300"/>
      </w:pPr>
      <w:r>
        <w:t xml:space="preserve">11.1 Original Risks</w:t>
      </w:r>
    </w:p>
    <w:p>
      <w:pPr>
        <w:pStyle w:val="ListParagraph"/>
        <w:numPr>
          <w:ilvl w:val="0"/>
          <w:numId w:val="1"/>
        </w:numPr>
        <w:spacing w:after="80"/>
      </w:pPr>
      <w:r>
        <w:t xml:space="preserve">Migration-history drift risk: local migration history could not be trusted to reflect production state, given confirmed out-of-band manual deployment history (Section 6).</w:t>
      </w:r>
    </w:p>
    <w:p>
      <w:pPr>
        <w:pStyle w:val="ListParagraph"/>
        <w:numPr>
          <w:ilvl w:val="0"/>
          <w:numId w:val="1"/>
        </w:numPr>
        <w:spacing w:after="80"/>
      </w:pPr>
      <w:r>
        <w:t xml:space="preserve">Sequencing risk: deploying SIM RLS before SIM Foundation existed would have failed outright; deploying without pre-flight verification risked a blind push aborting mid-batch on unguarded CREATE POLICY/CREATE TRIGGER statements (Section 6.5).</w:t>
      </w:r>
    </w:p>
    <w:p>
      <w:pPr>
        <w:pStyle w:val="ListParagraph"/>
        <w:numPr>
          <w:ilvl w:val="0"/>
          <w:numId w:val="1"/>
        </w:numPr>
        <w:spacing w:after="80"/>
      </w:pPr>
      <w:r>
        <w:t xml:space="preserve">Exposure risk: prior to Task T-102, the four SIM tables were reachable through Supabase's default schema-level grants to anon and authenticated roles, with no compensating RLS or REVOKE (WP-0002 Security Baseline, finding G1).</w:t>
      </w:r>
    </w:p>
    <w:p>
      <w:pPr>
        <w:pStyle w:val="Heading2"/>
        <w:spacing w:after="150" w:before="300"/>
      </w:pPr>
      <w:r>
        <w:t xml:space="preserve">11.2 Mitigation</w:t>
      </w:r>
    </w:p>
    <w:p>
      <w:pPr>
        <w:pStyle w:val="ListParagraph"/>
        <w:numPr>
          <w:ilvl w:val="0"/>
          <w:numId w:val="1"/>
        </w:numPr>
        <w:spacing w:after="80"/>
      </w:pPr>
      <w:r>
        <w:t xml:space="preserve">Migration-history drift was mitigated by the production-first reconciliation methodology (Section 6), verifying each migration against actual remote-schema evidence rather than local bookkeeping.</w:t>
      </w:r>
    </w:p>
    <w:p>
      <w:pPr>
        <w:pStyle w:val="ListParagraph"/>
        <w:numPr>
          <w:ilvl w:val="0"/>
          <w:numId w:val="1"/>
        </w:numPr>
        <w:spacing w:after="80"/>
      </w:pPr>
      <w:r>
        <w:t xml:space="preserve">Sequencing risk was mitigated by deploying SIM Foundation first, with pre-flight confirmation of absence, followed by SIM RLS only once the Foundation's presence was itself confirmed (Sections 8–9).</w:t>
      </w:r>
    </w:p>
    <w:p>
      <w:pPr>
        <w:pStyle w:val="ListParagraph"/>
        <w:numPr>
          <w:ilvl w:val="0"/>
          <w:numId w:val="1"/>
        </w:numPr>
        <w:spacing w:after="80"/>
      </w:pPr>
      <w:r>
        <w:t xml:space="preserve">Exposure risk on the SIM tables specifically was mitigated by Task T-102's service-role-only RLS policies and explicit REVOKE ALL from anon/authenticated, verified post-deployment (Section 9.4).</w:t>
      </w:r>
    </w:p>
    <w:p>
      <w:pPr>
        <w:pStyle w:val="Heading2"/>
        <w:spacing w:after="150" w:before="300"/>
      </w:pPr>
      <w:r>
        <w:t xml:space="preserve">11.3 Residual Risks</w:t>
      </w:r>
    </w:p>
    <w:p>
      <w:pPr>
        <w:spacing w:after="160"/>
      </w:pPr>
      <w:r>
        <w:t xml:space="preserve">The following residual risks are carried forward, unresolved by this program's certified deployments, and are the responsibility of future WP-0002 remediation work:</w:t>
      </w:r>
    </w:p>
    <w:p>
      <w:pPr>
        <w:pStyle w:val="ListParagraph"/>
        <w:numPr>
          <w:ilvl w:val="0"/>
          <w:numId w:val="1"/>
        </w:numPr>
        <w:spacing w:after="80"/>
      </w:pPr>
      <w:r>
        <w:t xml:space="preserve">G2–G5, G9 (Section 9.5): unresolved RLS, grant, and SECURITY DEFINER search_path gaps across the wider schema, outside the SIM table family.</w:t>
      </w:r>
    </w:p>
    <w:p>
      <w:pPr>
        <w:pStyle w:val="ListParagraph"/>
        <w:numPr>
          <w:ilvl w:val="0"/>
          <w:numId w:val="1"/>
        </w:numPr>
        <w:spacing w:after="80"/>
      </w:pPr>
      <w:r>
        <w:t xml:space="preserve">G6: live-format secrets (Supabase service-role key, multiple AI-provider API keys, payment-provider secrets, and an internal service token) present in plaintext .env files within the repository archive reviewed for this program. The security baseline assessment treats these as compromised on the basis that they left the controlled environment, independent of whether they were ever committed to version control, and recommends immediate rotation.</w:t>
      </w:r>
    </w:p>
    <w:p>
      <w:pPr>
        <w:pStyle w:val="ListParagraph"/>
        <w:numPr>
          <w:ilvl w:val="0"/>
          <w:numId w:val="1"/>
        </w:numPr>
        <w:spacing w:after="80"/>
      </w:pPr>
      <w:r>
        <w:t xml:space="preserve">No live-database confirmation was available at the time the WP-0002 security baseline and Task T-102 implementation record were authored; the Production Deployment Certification Report's post-deployment verification (Section 9.3, Section 10) is the first point at which live evidence became available, and it covers only the four SIM tables — it does not constitute live verification of G2–G5 or G9.</w:t>
      </w:r>
    </w:p>
    <w:p>
      <w:pPr>
        <w:pStyle w:val="Heading2"/>
        <w:spacing w:after="150" w:before="300"/>
      </w:pPr>
      <w:r>
        <w:t xml:space="preserve">11.4 Operational Impact</w:t>
      </w:r>
    </w:p>
    <w:p>
      <w:pPr>
        <w:spacing w:after="160"/>
      </w:pPr>
      <w:r>
        <w:t xml:space="preserve">The two certified deployments are assessed as behavior-preserving for the application: because the entire SIM module already used a service-role-only Supabase client at the application layer, enabling RLS with a service-role policy closes an unintended external exposure without altering any code path the application actually exercises. No regression testing evidence exists for this change (WP-0002 T-102 Implementation Record, Section 5) because no existing automated test exercises RLS directly; this is recorded as a known gap rather than a passed check.</w:t>
      </w:r>
    </w:p>
    <w:p>
      <w:r>
        <w:br w:type="page"/>
      </w:r>
    </w:p>
    <w:p>
      <w:pPr>
        <w:pStyle w:val="Heading1"/>
        <w:spacing w:after="200" w:before="400"/>
      </w:pPr>
      <w:r>
        <w:t xml:space="preserve">12. Engineering Decisions</w:t>
      </w:r>
    </w:p>
    <w:p>
      <w:pPr>
        <w:pStyle w:val="Heading2"/>
        <w:spacing w:after="150" w:before="300"/>
      </w:pPr>
      <w:r>
        <w:t xml:space="preserve">12.1 Why migration history alone could not be trusted</w:t>
      </w:r>
    </w:p>
    <w:p>
      <w:pPr>
        <w:spacing w:after="160"/>
      </w:pPr>
      <w:r>
        <w:t xml:space="preserve">Direct, dated evidence (Section 6.2) showed the local migration-history table failing to reflect at least one instance of a manually applied production change. Once a single confirmed instance of undocumented manual deployment exists, the entire local history becomes an unreliable sole source of truth for what is or is not already running in production — not because the files themselves are wrong, but because the bookkeeping that should confirm their applied status cannot be assumed complete.</w:t>
      </w:r>
    </w:p>
    <w:p>
      <w:pPr>
        <w:pStyle w:val="Heading2"/>
        <w:spacing w:after="150" w:before="300"/>
      </w:pPr>
      <w:r>
        <w:t xml:space="preserve">12.2 Why production evidence became the source of truth</w:t>
      </w:r>
    </w:p>
    <w:p>
      <w:pPr>
        <w:spacing w:after="160"/>
      </w:pPr>
      <w:r>
        <w:t xml:space="preserve">Given the above, the only way to determine a migration's true status was to check the actual, observable state of production — a pulled schema snapshot, a cross-referencing migration's assumptions, or a direct pg_catalog query — rather than the CLI's own migration-history bookkeeping. This is the same production-first discipline articulated in ERP-02's governance framework (Section 5.2), applied concretely to the migration-reconciliation problem.</w:t>
      </w:r>
    </w:p>
    <w:p>
      <w:pPr>
        <w:pStyle w:val="Heading2"/>
        <w:spacing w:after="150" w:before="300"/>
      </w:pPr>
      <w:r>
        <w:t xml:space="preserve">12.3 Why deployment was deferred until equivalence was established</w:t>
      </w:r>
    </w:p>
    <w:p>
      <w:pPr>
        <w:spacing w:after="160"/>
      </w:pPr>
      <w:r>
        <w:t xml:space="preserve">The SIM Foundation migration was not deployed until its target objects were positively confirmed absent from production (Section 8.1) — the same evidentiary standard applied to reconciling the 31 drift migrations, applied in reverse to confirm a genuine gap rather than assume one.</w:t>
      </w:r>
    </w:p>
    <w:p>
      <w:pPr>
        <w:pStyle w:val="Heading2"/>
        <w:spacing w:after="150" w:before="300"/>
      </w:pPr>
      <w:r>
        <w:t xml:space="preserve">12.4 Why SIM was deployed independently</w:t>
      </w:r>
    </w:p>
    <w:p>
      <w:pPr>
        <w:spacing w:after="160"/>
      </w:pPr>
      <w:r>
        <w:t xml:space="preserve">SIM's architecture is deliberately scoped to source metadata and governance only, with all downstream integration (COM and beyond) occurring through emitted events rather than direct calls. This allowed the SIM Foundation to be deployed as a self-contained unit without requiring any change to, or coordination with, the downstream Phase-2 pipeline components (COM, EDF, Data Feed App, Canonical Knowledge Publishing, or anything at or below HKP).</w:t>
      </w:r>
    </w:p>
    <w:p>
      <w:pPr>
        <w:pStyle w:val="Heading2"/>
        <w:spacing w:after="150" w:before="300"/>
      </w:pPr>
      <w:r>
        <w:t xml:space="preserve">12.5 Why RLS was intentionally deployed afterward</w:t>
      </w:r>
    </w:p>
    <w:p>
      <w:pPr>
        <w:spacing w:after="160"/>
      </w:pPr>
      <w:r>
        <w:t xml:space="preserve">Row-Level Security cannot be meaningfully enabled on tables that do not yet exist, and the underlying task instructions for T-102 specifically addressed the sim_sources table family — which meant the Foundation migration was a hard prerequisite. Sequencing RLS second, and only after positively confirming the Foundation tables were present, avoided both a failed migration and a false-negative security assessment (testing RLS against tables that were not actually there).</w:t>
      </w:r>
    </w:p>
    <w:p>
      <w:r>
        <w:br w:type="page"/>
      </w:r>
    </w:p>
    <w:p>
      <w:pPr>
        <w:pStyle w:val="Heading1"/>
        <w:spacing w:after="200" w:before="400"/>
      </w:pPr>
      <w:r>
        <w:t xml:space="preserve">13. Architecture Outcomes</w:t>
      </w:r>
    </w:p>
    <w:p>
      <w:pPr>
        <w:pStyle w:val="Heading2"/>
        <w:spacing w:after="150" w:before="300"/>
      </w:pPr>
      <w:r>
        <w:t xml:space="preserve">13.1 Enterprise Governance Maturity</w:t>
      </w:r>
    </w:p>
    <w:p>
      <w:pPr>
        <w:spacing w:after="160"/>
      </w:pPr>
      <w:r>
        <w:t xml:space="preserve">The governance layer (ERP-01/ERP-01A/ERP-02/ERP-02A) has reached a mature state at the repository level: identifier registries are consistent, traceability holds from Architecture Requirement to Executive Dashboard, and the program has demonstrated discipline in distinguishing Current State from Target State throughout. This maturity is scoped to the documentation and governance framework itself, not to engineering realization, which the governance layer itself repeatedly and correctly declines to overstate.</w:t>
      </w:r>
    </w:p>
    <w:p>
      <w:pPr>
        <w:pStyle w:val="Heading2"/>
        <w:spacing w:after="150" w:before="300"/>
      </w:pPr>
      <w:r>
        <w:t xml:space="preserve">13.2 Migration Governance Maturity</w:t>
      </w:r>
    </w:p>
    <w:p>
      <w:pPr>
        <w:spacing w:after="160"/>
      </w:pPr>
      <w:r>
        <w:t xml:space="preserve">The program has moved from an ambiguous, bookkeeping-dependent migration history to a production-first reconciliation discipline (Section 6), with 31 migrations reconciled as drift and the SIM Foundation gap correctly and separately identified as genuine. This is a material maturity gain, though it surfaced a durable gap (missing rollback scripts for the reconciled migrations, and for several newer files) that remains open (Section 14).</w:t>
      </w:r>
    </w:p>
    <w:p>
      <w:pPr>
        <w:pStyle w:val="Heading2"/>
        <w:spacing w:after="150" w:before="300"/>
      </w:pPr>
      <w:r>
        <w:t xml:space="preserve">13.3 Security Posture</w:t>
      </w:r>
    </w:p>
    <w:p>
      <w:pPr>
        <w:spacing w:after="160"/>
      </w:pPr>
      <w:r>
        <w:t xml:space="preserve">Security posture improved concretely for the SIM table family (Task T-102) but remains, by the program's own security baseline assessment, "substantial, but uneven" across the wider schema, with several Critical- and High-risk findings unresolved (Section 11.3).</w:t>
      </w:r>
    </w:p>
    <w:p>
      <w:pPr>
        <w:pStyle w:val="Heading2"/>
        <w:spacing w:after="150" w:before="300"/>
      </w:pPr>
      <w:r>
        <w:t xml:space="preserve">13.4 Repository Quality</w:t>
      </w:r>
    </w:p>
    <w:p>
      <w:pPr>
        <w:spacing w:after="160"/>
      </w:pPr>
      <w:r>
        <w:t xml:space="preserve">Repository quality at the governance-documentation level is certified (ERP-01A, ERP-02A) subject to the minor, tracked findings noted in Sections 4 and 5. Repository quality at the engineering-evidence level (SQL migrations, backend modules) is uneven: the security baseline assessment notes deliberate, well-engineered RLS and authorization patterns in many places alongside the specific gaps in Section 11.3.</w:t>
      </w:r>
    </w:p>
    <w:p>
      <w:pPr>
        <w:pStyle w:val="Heading2"/>
        <w:spacing w:after="150" w:before="300"/>
      </w:pPr>
      <w:r>
        <w:t xml:space="preserve">13.5 Deployment Confidence and Operational Readiness</w:t>
      </w:r>
    </w:p>
    <w:p>
      <w:pPr>
        <w:spacing w:after="160"/>
      </w:pPr>
      <w:r>
        <w:t xml:space="preserve">Deployment confidence for the two certified migrations in this report is high, backed by pre-flight and post-deployment evidence. Deployment confidence for the wider, still-pending migration set (Section 14) is not established by this report and should not be inferred from it. Operational readiness at the program level remains, per ERP-02A's own status language, "Not Yet Assessable" outside the narrow, certified scope of this report.</w:t>
      </w:r>
    </w:p>
    <w:p>
      <w:r>
        <w:br w:type="page"/>
      </w:r>
    </w:p>
    <w:p>
      <w:pPr>
        <w:pStyle w:val="Heading1"/>
        <w:spacing w:after="200" w:before="400"/>
      </w:pPr>
      <w:r>
        <w:t xml:space="preserve">14. Remaining Work</w:t>
      </w:r>
    </w:p>
    <w:p>
      <w:pPr>
        <w:spacing w:after="160"/>
      </w:pPr>
      <w:r>
        <w:t xml:space="preserve">Two migrations remain pending and were intentionally excluded from the certified scope of this program: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200"/>
            <w:shd w:fill="1F3864" w:val="clear"/>
            <w:tcMar>
              <w:top w:type="dxa" w:w="80"/>
              <w:left w:type="dxa" w:w="100"/>
              <w:bottom w:type="dxa" w:w="80"/>
              <w:right w:type="dxa" w:w="100"/>
            </w:tcMar>
          </w:tcPr>
          <w:p>
            <w:r>
              <w:rPr>
                <w:b/>
                <w:bCs/>
                <w:color w:val="FFFFFF"/>
                <w:sz w:val="20"/>
                <w:szCs w:val="20"/>
              </w:rPr>
              <w:t xml:space="preserve">Migration</w:t>
            </w:r>
          </w:p>
        </w:tc>
        <w:tc>
          <w:tcPr>
            <w:tcW w:type="dxa" w:w="1400"/>
            <w:shd w:fill="1F3864" w:val="clear"/>
            <w:tcMar>
              <w:top w:type="dxa" w:w="80"/>
              <w:left w:type="dxa" w:w="100"/>
              <w:bottom w:type="dxa" w:w="80"/>
              <w:right w:type="dxa" w:w="100"/>
            </w:tcMar>
          </w:tcPr>
          <w:p>
            <w:r>
              <w:rPr>
                <w:b/>
                <w:bCs/>
                <w:color w:val="FFFFFF"/>
                <w:sz w:val="20"/>
                <w:szCs w:val="20"/>
              </w:rPr>
              <w:t xml:space="preserve">Status</w:t>
            </w:r>
          </w:p>
        </w:tc>
        <w:tc>
          <w:tcPr>
            <w:tcW w:type="dxa" w:w="3400"/>
            <w:shd w:fill="1F3864" w:val="clear"/>
            <w:tcMar>
              <w:top w:type="dxa" w:w="80"/>
              <w:left w:type="dxa" w:w="100"/>
              <w:bottom w:type="dxa" w:w="80"/>
              <w:right w:type="dxa" w:w="100"/>
            </w:tcMar>
          </w:tcPr>
          <w:p>
            <w:r>
              <w:rPr>
                <w:b/>
                <w:bCs/>
                <w:color w:val="FFFFFF"/>
                <w:sz w:val="20"/>
                <w:szCs w:val="20"/>
              </w:rPr>
              <w:t xml:space="preserve">Reason for Exclusion</w:t>
            </w:r>
          </w:p>
        </w:tc>
      </w:tr>
      <w:tr>
        <w:tc>
          <w:tcPr>
            <w:tcW w:type="dxa" w:w="4200"/>
            <w:tcMar>
              <w:top w:type="dxa" w:w="80"/>
              <w:left w:type="dxa" w:w="100"/>
              <w:bottom w:type="dxa" w:w="80"/>
              <w:right w:type="dxa" w:w="100"/>
            </w:tcMar>
          </w:tcPr>
          <w:p>
            <w:r>
              <w:rPr>
                <w:b w:val="false"/>
                <w:bCs w:val="false"/>
                <w:sz w:val="20"/>
                <w:szCs w:val="20"/>
              </w:rPr>
              <w:t xml:space="preserve">20260526000007_phase1a_distributed_governance.sql</w:t>
            </w:r>
          </w:p>
        </w:tc>
        <w:tc>
          <w:tcPr>
            <w:tcW w:type="dxa" w:w="1400"/>
            <w:tcMar>
              <w:top w:type="dxa" w:w="80"/>
              <w:left w:type="dxa" w:w="100"/>
              <w:bottom w:type="dxa" w:w="80"/>
              <w:right w:type="dxa" w:w="100"/>
            </w:tcMar>
          </w:tcPr>
          <w:p>
            <w:r>
              <w:rPr>
                <w:b w:val="false"/>
                <w:bCs w:val="false"/>
                <w:sz w:val="20"/>
                <w:szCs w:val="20"/>
              </w:rPr>
              <w:t xml:space="preserve">Pending</w:t>
            </w:r>
          </w:p>
        </w:tc>
        <w:tc>
          <w:tcPr>
            <w:tcW w:type="dxa" w:w="3400"/>
            <w:tcMar>
              <w:top w:type="dxa" w:w="80"/>
              <w:left w:type="dxa" w:w="100"/>
              <w:bottom w:type="dxa" w:w="80"/>
              <w:right w:type="dxa" w:w="100"/>
            </w:tcMar>
          </w:tcPr>
          <w:p>
            <w:r>
              <w:rPr>
                <w:b w:val="false"/>
                <w:bCs w:val="false"/>
                <w:sz w:val="20"/>
                <w:szCs w:val="20"/>
              </w:rPr>
              <w:t xml:space="preserve">Outside the SIM Foundation / SIM RLS scope certified by this program; not reconciled or verified as part of WP-P2-00B, WP-P2-01, or WP-0002 T-102.</w:t>
            </w:r>
          </w:p>
        </w:tc>
      </w:tr>
      <w:tr>
        <w:tc>
          <w:tcPr>
            <w:tcW w:type="dxa" w:w="4200"/>
            <w:tcMar>
              <w:top w:type="dxa" w:w="80"/>
              <w:left w:type="dxa" w:w="100"/>
              <w:bottom w:type="dxa" w:w="80"/>
              <w:right w:type="dxa" w:w="100"/>
            </w:tcMar>
          </w:tcPr>
          <w:p>
            <w:r>
              <w:rPr>
                <w:b w:val="false"/>
                <w:bCs w:val="false"/>
                <w:sz w:val="20"/>
                <w:szCs w:val="20"/>
              </w:rPr>
              <w:t xml:space="preserve">20260608000001_intelligence_foundation_layer.sql</w:t>
            </w:r>
          </w:p>
        </w:tc>
        <w:tc>
          <w:tcPr>
            <w:tcW w:type="dxa" w:w="1400"/>
            <w:tcMar>
              <w:top w:type="dxa" w:w="80"/>
              <w:left w:type="dxa" w:w="100"/>
              <w:bottom w:type="dxa" w:w="80"/>
              <w:right w:type="dxa" w:w="100"/>
            </w:tcMar>
          </w:tcPr>
          <w:p>
            <w:r>
              <w:rPr>
                <w:b w:val="false"/>
                <w:bCs w:val="false"/>
                <w:sz w:val="20"/>
                <w:szCs w:val="20"/>
              </w:rPr>
              <w:t xml:space="preserve">Pending</w:t>
            </w:r>
          </w:p>
        </w:tc>
        <w:tc>
          <w:tcPr>
            <w:tcW w:type="dxa" w:w="3400"/>
            <w:tcMar>
              <w:top w:type="dxa" w:w="80"/>
              <w:left w:type="dxa" w:w="100"/>
              <w:bottom w:type="dxa" w:w="80"/>
              <w:right w:type="dxa" w:w="100"/>
            </w:tcMar>
          </w:tcPr>
          <w:p>
            <w:r>
              <w:rPr>
                <w:b w:val="false"/>
                <w:bCs w:val="false"/>
                <w:sz w:val="20"/>
                <w:szCs w:val="20"/>
              </w:rPr>
              <w:t xml:space="preserve">Same as above — remains outside the certified scope and requires its own pre-flight verification and reconciliation pass before deployment.</w:t>
            </w:r>
          </w:p>
        </w:tc>
      </w:tr>
    </w:tbl>
    <w:p>
      <w:pPr>
        <w:spacing w:after="160"/>
      </w:pPr>
      <w:r>
        <w:t xml:space="preserve">Both migrations were deliberately left out of this deployment window rather than bundled in, consistent with the program's staged, one-change-at-a-time deployment discipline (Section 6.6) — bundling unverified migrations into a certified deployment would have violated the same evidentiary standard this report otherwise applies throughout.</w:t>
      </w:r>
    </w:p>
    <w:p>
      <w:pPr>
        <w:spacing w:after="160"/>
      </w:pPr>
      <w:r>
        <w:t xml:space="preserve">Additional remaining work, carried forward from Sections 5.5, 9.5, and 11.3:</w:t>
      </w:r>
    </w:p>
    <w:p>
      <w:pPr>
        <w:pStyle w:val="ListParagraph"/>
        <w:numPr>
          <w:ilvl w:val="0"/>
          <w:numId w:val="1"/>
        </w:numPr>
        <w:spacing w:after="80"/>
      </w:pPr>
      <w:r>
        <w:t xml:space="preserve">DG-J-01: the open ERP-02 Phase J finding regarding a naming inconsistency in the "AP" identifier prefix, unresolved at ERP-02A closure.</w:t>
      </w:r>
    </w:p>
    <w:p>
      <w:pPr>
        <w:pStyle w:val="ListParagraph"/>
        <w:numPr>
          <w:ilvl w:val="0"/>
          <w:numId w:val="1"/>
        </w:numPr>
        <w:spacing w:after="80"/>
      </w:pPr>
      <w:r>
        <w:t xml:space="preserve">WP-0002 residual findings G2–G5 and G9: unresolved RLS, grant, and SECURITY DEFINER search_path gaps outside the SIM table family.</w:t>
      </w:r>
    </w:p>
    <w:p>
      <w:pPr>
        <w:pStyle w:val="ListParagraph"/>
        <w:numPr>
          <w:ilvl w:val="0"/>
          <w:numId w:val="1"/>
        </w:numPr>
        <w:spacing w:after="80"/>
      </w:pPr>
      <w:r>
        <w:t xml:space="preserve">G6: rotation of live-format secrets identified in the delivered repository archive — time-sensitive and independent of the RLS remediation timeline.</w:t>
      </w:r>
    </w:p>
    <w:p>
      <w:pPr>
        <w:pStyle w:val="ListParagraph"/>
        <w:numPr>
          <w:ilvl w:val="0"/>
          <w:numId w:val="1"/>
        </w:numPr>
        <w:spacing w:after="80"/>
      </w:pPr>
      <w:r>
        <w:t xml:space="preserve">Live-database confirmation of G1–G3 and re-execution of the "Not Tested" validation rows recorded in the WP-0002 T-102 Implementation Record, now partially superseded by the certified production deployment in Section 9.3 but not fully closed for the wider WP-0002 scope.</w:t>
      </w:r>
    </w:p>
    <w:p>
      <w:pPr>
        <w:pStyle w:val="ListParagraph"/>
        <w:numPr>
          <w:ilvl w:val="0"/>
          <w:numId w:val="1"/>
        </w:numPr>
        <w:spacing w:after="80"/>
      </w:pPr>
      <w:r>
        <w:t xml:space="preserve">Rollback script authoring for the reconciled and newly deployed migrations that currently lack one, closing the gap the migration audit identified in its Rollback Assessment.</w:t>
      </w:r>
    </w:p>
    <w:p>
      <w:r>
        <w:br w:type="page"/>
      </w:r>
    </w:p>
    <w:p>
      <w:pPr>
        <w:pStyle w:val="Heading1"/>
        <w:spacing w:after="200" w:before="400"/>
      </w:pPr>
      <w:r>
        <w:t xml:space="preserve">15. Lessons Learned</w:t>
      </w:r>
    </w:p>
    <w:p>
      <w:pPr>
        <w:pStyle w:val="Heading2"/>
        <w:spacing w:after="150" w:before="300"/>
      </w:pPr>
      <w:r>
        <w:t xml:space="preserve">15.1 Migration Governance</w:t>
      </w:r>
    </w:p>
    <w:p>
      <w:pPr>
        <w:spacing w:after="160"/>
      </w:pPr>
      <w:r>
        <w:t xml:space="preserve">A migration-history table is a record of intent, not a guarantee of state. Once any out-of-band manual deployment is confirmed, the safe response is systematic, evidence-based reconciliation against production — not blanket distrust of the migration files, and not blind re-application of the full backlog.</w:t>
      </w:r>
    </w:p>
    <w:p>
      <w:pPr>
        <w:pStyle w:val="Heading2"/>
        <w:spacing w:after="150" w:before="300"/>
      </w:pPr>
      <w:r>
        <w:t xml:space="preserve">15.2 Manual Deployments</w:t>
      </w:r>
    </w:p>
    <w:p>
      <w:pPr>
        <w:spacing w:after="160"/>
      </w:pPr>
      <w:r>
        <w:t xml:space="preserve">Manual, undocumented production changes create a durable governance debt: every future migration audit must now account for the possibility of drift, even for objects with no apparent reason to have been touched out-of-band.</w:t>
      </w:r>
    </w:p>
    <w:p>
      <w:pPr>
        <w:pStyle w:val="Heading2"/>
        <w:spacing w:after="150" w:before="300"/>
      </w:pPr>
      <w:r>
        <w:t xml:space="preserve">15.3 Production Drift</w:t>
      </w:r>
    </w:p>
    <w:p>
      <w:pPr>
        <w:spacing w:after="160"/>
      </w:pPr>
      <w:r>
        <w:t xml:space="preserve">Drift is not inherently a defect in the underlying engineering — the objects the drifted migrations described were, in most cases, correctly and safely present in production. The defect was in the bookkeeping, and the fix was reconciliation, not re-engineering.</w:t>
      </w:r>
    </w:p>
    <w:p>
      <w:pPr>
        <w:pStyle w:val="Heading2"/>
        <w:spacing w:after="150" w:before="300"/>
      </w:pPr>
      <w:r>
        <w:t xml:space="preserve">15.4 Repository Evolution</w:t>
      </w:r>
    </w:p>
    <w:p>
      <w:pPr>
        <w:spacing w:after="160"/>
      </w:pPr>
      <w:r>
        <w:t xml:space="preserve">The WP-tagging and ERP-01-traceability convention only began appearing in migrations from mid-2026 onward; earlier migrations remain untagged. This is a known, accepted limitation rather than a defect requiring retroactive Work Package assignment, per the underlying migration audit's own recommendation.</w:t>
      </w:r>
    </w:p>
    <w:p>
      <w:pPr>
        <w:pStyle w:val="Heading2"/>
        <w:spacing w:after="150" w:before="300"/>
      </w:pPr>
      <w:r>
        <w:t xml:space="preserve">15.5 Engineering Discipline</w:t>
      </w:r>
    </w:p>
    <w:p>
      <w:pPr>
        <w:spacing w:after="160"/>
      </w:pPr>
      <w:r>
        <w:t xml:space="preserve">Every certified action in this program traces to a specific, checkable piece of evidence — a pre-flight query result, a SQL Editor success message, a post-deployment checklist. Where evidence was unavailable (live-database validation for Task T-102 at authoring time), that gap was stated plainly as "Not Tested" rather than implied as passed. This report continues that discipline rather than smoothing over the distinction between governance-layer certification and production-evidence certification.</w:t>
      </w:r>
    </w:p>
    <w:p>
      <w:pPr>
        <w:pStyle w:val="Heading2"/>
        <w:spacing w:after="150" w:before="300"/>
      </w:pPr>
      <w:r>
        <w:t xml:space="preserve">15.6 Future Recommendations</w:t>
      </w:r>
    </w:p>
    <w:p>
      <w:pPr>
        <w:pStyle w:val="ListParagraph"/>
        <w:numPr>
          <w:ilvl w:val="0"/>
          <w:numId w:val="1"/>
        </w:numPr>
        <w:spacing w:after="80"/>
      </w:pPr>
      <w:r>
        <w:t xml:space="preserve">Treat the local migration-history table as advisory, and re-run a production-first reconciliation pass before any future bulk migration push.</w:t>
      </w:r>
    </w:p>
    <w:p>
      <w:pPr>
        <w:pStyle w:val="ListParagraph"/>
        <w:numPr>
          <w:ilvl w:val="0"/>
          <w:numId w:val="1"/>
        </w:numPr>
        <w:spacing w:after="80"/>
      </w:pPr>
      <w:r>
        <w:t xml:space="preserve">Close WP-0002's residual Critical/High findings (G2, G3, G4, G5, G6, G9) before extending production readiness claims beyond the SIM table family.</w:t>
      </w:r>
    </w:p>
    <w:p>
      <w:pPr>
        <w:pStyle w:val="ListParagraph"/>
        <w:numPr>
          <w:ilvl w:val="0"/>
          <w:numId w:val="1"/>
        </w:numPr>
        <w:spacing w:after="80"/>
      </w:pPr>
      <w:r>
        <w:t xml:space="preserve">Rotate all secrets identified in finding G6 immediately, independent of any other remediation timeline.</w:t>
      </w:r>
    </w:p>
    <w:p>
      <w:pPr>
        <w:pStyle w:val="ListParagraph"/>
        <w:numPr>
          <w:ilvl w:val="0"/>
          <w:numId w:val="1"/>
        </w:numPr>
        <w:spacing w:after="80"/>
      </w:pPr>
      <w:r>
        <w:t xml:space="preserve">Add DROP ... IF EXISTS guards to the remaining unguarded CREATE POLICY / CREATE TRIGGER statements identified in the migration audit, closing the idempotency gap for future replay safety.</w:t>
      </w:r>
    </w:p>
    <w:p>
      <w:pPr>
        <w:pStyle w:val="ListParagraph"/>
        <w:numPr>
          <w:ilvl w:val="0"/>
          <w:numId w:val="1"/>
        </w:numPr>
        <w:spacing w:after="80"/>
      </w:pPr>
      <w:r>
        <w:t xml:space="preserve">Author rollback scripts for the reconciled and newly deployed migrations that currently lack one.</w:t>
      </w:r>
    </w:p>
    <w:p>
      <w:pPr>
        <w:pStyle w:val="ListParagraph"/>
        <w:numPr>
          <w:ilvl w:val="0"/>
          <w:numId w:val="1"/>
        </w:numPr>
        <w:spacing w:after="80"/>
      </w:pPr>
      <w:r>
        <w:t xml:space="preserve">Resolve DG-J-01 before any future ERP-02 phase K or successor governance document is authored.</w:t>
      </w:r>
    </w:p>
    <w:p>
      <w:r>
        <w:br w:type="page"/>
      </w:r>
    </w:p>
    <w:p>
      <w:pPr>
        <w:pStyle w:val="Heading1"/>
        <w:spacing w:after="200" w:before="400"/>
      </w:pPr>
      <w:r>
        <w:t xml:space="preserve">16. Program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shd w:fill="1F3864" w:val="clear"/>
            <w:tcMar>
              <w:top w:type="dxa" w:w="80"/>
              <w:left w:type="dxa" w:w="100"/>
              <w:bottom w:type="dxa" w:w="80"/>
              <w:right w:type="dxa" w:w="100"/>
            </w:tcMar>
          </w:tcPr>
          <w:p>
            <w:r>
              <w:rPr>
                <w:b/>
                <w:bCs/>
                <w:color w:val="FFFFFF"/>
                <w:sz w:val="20"/>
                <w:szCs w:val="20"/>
              </w:rPr>
              <w:t xml:space="preserve">Metric</w:t>
            </w:r>
          </w:p>
        </w:tc>
        <w:tc>
          <w:tcPr>
            <w:tcW w:type="dxa" w:w="3200"/>
            <w:shd w:fill="1F3864" w:val="clear"/>
            <w:tcMar>
              <w:top w:type="dxa" w:w="80"/>
              <w:left w:type="dxa" w:w="100"/>
              <w:bottom w:type="dxa" w:w="80"/>
              <w:right w:type="dxa" w:w="100"/>
            </w:tcMar>
          </w:tcPr>
          <w:p>
            <w:r>
              <w:rPr>
                <w:b/>
                <w:bCs/>
                <w:color w:val="FFFFFF"/>
                <w:sz w:val="20"/>
                <w:szCs w:val="20"/>
              </w:rPr>
              <w:t xml:space="preserve">Value</w:t>
            </w:r>
          </w:p>
        </w:tc>
        <w:tc>
          <w:tcPr>
            <w:tcW w:type="dxa" w:w="2200"/>
            <w:shd w:fill="1F3864" w:val="clear"/>
            <w:tcMar>
              <w:top w:type="dxa" w:w="80"/>
              <w:left w:type="dxa" w:w="100"/>
              <w:bottom w:type="dxa" w:w="80"/>
              <w:right w:type="dxa" w:w="100"/>
            </w:tcMar>
          </w:tcPr>
          <w:p>
            <w:r>
              <w:rPr>
                <w:b/>
                <w:bCs/>
                <w:color w:val="FFFFFF"/>
                <w:sz w:val="20"/>
                <w:szCs w:val="20"/>
              </w:rPr>
              <w:t xml:space="preserve">Source</w:t>
            </w:r>
          </w:p>
        </w:tc>
      </w:tr>
      <w:tr>
        <w:tc>
          <w:tcPr>
            <w:tcW w:type="dxa" w:w="3600"/>
            <w:tcMar>
              <w:top w:type="dxa" w:w="80"/>
              <w:left w:type="dxa" w:w="100"/>
              <w:bottom w:type="dxa" w:w="80"/>
              <w:right w:type="dxa" w:w="100"/>
            </w:tcMar>
          </w:tcPr>
          <w:p>
            <w:r>
              <w:rPr>
                <w:b w:val="false"/>
                <w:bCs w:val="false"/>
                <w:sz w:val="20"/>
                <w:szCs w:val="20"/>
              </w:rPr>
              <w:t xml:space="preserve">Work packages in this program's certified scope</w:t>
            </w:r>
          </w:p>
        </w:tc>
        <w:tc>
          <w:tcPr>
            <w:tcW w:type="dxa" w:w="3200"/>
            <w:tcMar>
              <w:top w:type="dxa" w:w="80"/>
              <w:left w:type="dxa" w:w="100"/>
              <w:bottom w:type="dxa" w:w="80"/>
              <w:right w:type="dxa" w:w="100"/>
            </w:tcMar>
          </w:tcPr>
          <w:p>
            <w:r>
              <w:rPr>
                <w:b w:val="false"/>
                <w:bCs w:val="false"/>
                <w:sz w:val="20"/>
                <w:szCs w:val="20"/>
              </w:rPr>
              <w:t xml:space="preserve">8 (ERP-01, ERP-01A, ERP-02, ERP-02A, WP-0002, WP-P2-00B, WP-P2-01, WP-0002 T-102)</w:t>
            </w:r>
          </w:p>
        </w:tc>
        <w:tc>
          <w:tcPr>
            <w:tcW w:type="dxa" w:w="2200"/>
            <w:tcMar>
              <w:top w:type="dxa" w:w="80"/>
              <w:left w:type="dxa" w:w="100"/>
              <w:bottom w:type="dxa" w:w="80"/>
              <w:right w:type="dxa" w:w="100"/>
            </w:tcMar>
          </w:tcPr>
          <w:p>
            <w:r>
              <w:rPr>
                <w:b w:val="false"/>
                <w:bCs w:val="false"/>
                <w:sz w:val="20"/>
                <w:szCs w:val="20"/>
              </w:rPr>
              <w:t xml:space="preserve">Production Deployment Certification Report</w:t>
            </w:r>
          </w:p>
        </w:tc>
      </w:tr>
      <w:tr>
        <w:tc>
          <w:tcPr>
            <w:tcW w:type="dxa" w:w="3600"/>
            <w:tcMar>
              <w:top w:type="dxa" w:w="80"/>
              <w:left w:type="dxa" w:w="100"/>
              <w:bottom w:type="dxa" w:w="80"/>
              <w:right w:type="dxa" w:w="100"/>
            </w:tcMar>
          </w:tcPr>
          <w:p>
            <w:r>
              <w:rPr>
                <w:b w:val="false"/>
                <w:bCs w:val="false"/>
                <w:sz w:val="20"/>
                <w:szCs w:val="20"/>
              </w:rPr>
              <w:t xml:space="preserve">Migrations individually reviewed in the detailed audit sample</w:t>
            </w:r>
          </w:p>
        </w:tc>
        <w:tc>
          <w:tcPr>
            <w:tcW w:type="dxa" w:w="3200"/>
            <w:tcMar>
              <w:top w:type="dxa" w:w="80"/>
              <w:left w:type="dxa" w:w="100"/>
              <w:bottom w:type="dxa" w:w="80"/>
              <w:right w:type="dxa" w:w="100"/>
            </w:tcMar>
          </w:tcPr>
          <w:p>
            <w:r>
              <w:rPr>
                <w:b w:val="false"/>
                <w:bCs w:val="false"/>
                <w:sz w:val="20"/>
                <w:szCs w:val="20"/>
              </w:rPr>
              <w:t xml:space="preserve">15</w:t>
            </w:r>
          </w:p>
        </w:tc>
        <w:tc>
          <w:tcPr>
            <w:tcW w:type="dxa" w:w="2200"/>
            <w:tcMar>
              <w:top w:type="dxa" w:w="80"/>
              <w:left w:type="dxa" w:w="100"/>
              <w:bottom w:type="dxa" w:w="80"/>
              <w:right w:type="dxa" w:w="100"/>
            </w:tcMar>
          </w:tcPr>
          <w:p>
            <w:r>
              <w:rPr>
                <w:b w:val="false"/>
                <w:bCs w:val="false"/>
                <w:sz w:val="20"/>
                <w:szCs w:val="20"/>
              </w:rPr>
              <w:t xml:space="preserve">Migration_Audit_15_Pending.md</w:t>
            </w:r>
          </w:p>
        </w:tc>
      </w:tr>
      <w:tr>
        <w:tc>
          <w:tcPr>
            <w:tcW w:type="dxa" w:w="3600"/>
            <w:tcMar>
              <w:top w:type="dxa" w:w="80"/>
              <w:left w:type="dxa" w:w="100"/>
              <w:bottom w:type="dxa" w:w="80"/>
              <w:right w:type="dxa" w:w="100"/>
            </w:tcMar>
          </w:tcPr>
          <w:p>
            <w:r>
              <w:rPr>
                <w:b w:val="false"/>
                <w:bCs w:val="false"/>
                <w:sz w:val="20"/>
                <w:szCs w:val="20"/>
              </w:rPr>
              <w:t xml:space="preserve">Migrations reconciled as production drift (full program)</w:t>
            </w:r>
          </w:p>
        </w:tc>
        <w:tc>
          <w:tcPr>
            <w:tcW w:type="dxa" w:w="3200"/>
            <w:tcMar>
              <w:top w:type="dxa" w:w="80"/>
              <w:left w:type="dxa" w:w="100"/>
              <w:bottom w:type="dxa" w:w="80"/>
              <w:right w:type="dxa" w:w="100"/>
            </w:tcMar>
          </w:tcPr>
          <w:p>
            <w:r>
              <w:rPr>
                <w:b w:val="false"/>
                <w:bCs w:val="false"/>
                <w:sz w:val="20"/>
                <w:szCs w:val="20"/>
              </w:rPr>
              <w:t xml:space="preserve">31</w:t>
            </w:r>
          </w:p>
        </w:tc>
        <w:tc>
          <w:tcPr>
            <w:tcW w:type="dxa" w:w="2200"/>
            <w:tcMar>
              <w:top w:type="dxa" w:w="80"/>
              <w:left w:type="dxa" w:w="100"/>
              <w:bottom w:type="dxa" w:w="80"/>
              <w:right w:type="dxa" w:w="100"/>
            </w:tcMar>
          </w:tcPr>
          <w:p>
            <w:r>
              <w:rPr>
                <w:b w:val="false"/>
                <w:bCs w:val="false"/>
                <w:sz w:val="20"/>
                <w:szCs w:val="20"/>
              </w:rPr>
              <w:t xml:space="preserve">Production Deployment Certification Report</w:t>
            </w:r>
          </w:p>
        </w:tc>
      </w:tr>
      <w:tr>
        <w:tc>
          <w:tcPr>
            <w:tcW w:type="dxa" w:w="3600"/>
            <w:tcMar>
              <w:top w:type="dxa" w:w="80"/>
              <w:left w:type="dxa" w:w="100"/>
              <w:bottom w:type="dxa" w:w="80"/>
              <w:right w:type="dxa" w:w="100"/>
            </w:tcMar>
          </w:tcPr>
          <w:p>
            <w:r>
              <w:rPr>
                <w:b w:val="false"/>
                <w:bCs w:val="false"/>
                <w:sz w:val="20"/>
                <w:szCs w:val="20"/>
              </w:rPr>
              <w:t xml:space="preserve">Migrations deployed and certified in this program</w:t>
            </w:r>
          </w:p>
        </w:tc>
        <w:tc>
          <w:tcPr>
            <w:tcW w:type="dxa" w:w="3200"/>
            <w:tcMar>
              <w:top w:type="dxa" w:w="80"/>
              <w:left w:type="dxa" w:w="100"/>
              <w:bottom w:type="dxa" w:w="80"/>
              <w:right w:type="dxa" w:w="100"/>
            </w:tcMar>
          </w:tcPr>
          <w:p>
            <w:r>
              <w:rPr>
                <w:b w:val="false"/>
                <w:bCs w:val="false"/>
                <w:sz w:val="20"/>
                <w:szCs w:val="20"/>
              </w:rPr>
              <w:t xml:space="preserve">2 (SIM Foundation, SIM RLS hardening)</w:t>
            </w:r>
          </w:p>
        </w:tc>
        <w:tc>
          <w:tcPr>
            <w:tcW w:type="dxa" w:w="2200"/>
            <w:tcMar>
              <w:top w:type="dxa" w:w="80"/>
              <w:left w:type="dxa" w:w="100"/>
              <w:bottom w:type="dxa" w:w="80"/>
              <w:right w:type="dxa" w:w="100"/>
            </w:tcMar>
          </w:tcPr>
          <w:p>
            <w:r>
              <w:rPr>
                <w:b w:val="false"/>
                <w:bCs w:val="false"/>
                <w:sz w:val="20"/>
                <w:szCs w:val="20"/>
              </w:rPr>
              <w:t xml:space="preserve">Production Deployment Certification Report</w:t>
            </w:r>
          </w:p>
        </w:tc>
      </w:tr>
      <w:tr>
        <w:tc>
          <w:tcPr>
            <w:tcW w:type="dxa" w:w="3600"/>
            <w:tcMar>
              <w:top w:type="dxa" w:w="80"/>
              <w:left w:type="dxa" w:w="100"/>
              <w:bottom w:type="dxa" w:w="80"/>
              <w:right w:type="dxa" w:w="100"/>
            </w:tcMar>
          </w:tcPr>
          <w:p>
            <w:r>
              <w:rPr>
                <w:b w:val="false"/>
                <w:bCs w:val="false"/>
                <w:sz w:val="20"/>
                <w:szCs w:val="20"/>
              </w:rPr>
              <w:t xml:space="preserve">Migrations remaining pending, out of certified scope</w:t>
            </w:r>
          </w:p>
        </w:tc>
        <w:tc>
          <w:tcPr>
            <w:tcW w:type="dxa" w:w="3200"/>
            <w:tcMar>
              <w:top w:type="dxa" w:w="80"/>
              <w:left w:type="dxa" w:w="100"/>
              <w:bottom w:type="dxa" w:w="80"/>
              <w:right w:type="dxa" w:w="100"/>
            </w:tcMar>
          </w:tcPr>
          <w:p>
            <w:r>
              <w:rPr>
                <w:b w:val="false"/>
                <w:bCs w:val="false"/>
                <w:sz w:val="20"/>
                <w:szCs w:val="20"/>
              </w:rPr>
              <w:t xml:space="preserve">2 (phase1a_distributed_governance, intelligence_foundation_layer)</w:t>
            </w:r>
          </w:p>
        </w:tc>
        <w:tc>
          <w:tcPr>
            <w:tcW w:type="dxa" w:w="2200"/>
            <w:tcMar>
              <w:top w:type="dxa" w:w="80"/>
              <w:left w:type="dxa" w:w="100"/>
              <w:bottom w:type="dxa" w:w="80"/>
              <w:right w:type="dxa" w:w="100"/>
            </w:tcMar>
          </w:tcPr>
          <w:p>
            <w:r>
              <w:rPr>
                <w:b w:val="false"/>
                <w:bCs w:val="false"/>
                <w:sz w:val="20"/>
                <w:szCs w:val="20"/>
              </w:rPr>
              <w:t xml:space="preserve">Production Deployment Certification Report</w:t>
            </w:r>
          </w:p>
        </w:tc>
      </w:tr>
      <w:tr>
        <w:tc>
          <w:tcPr>
            <w:tcW w:type="dxa" w:w="3600"/>
            <w:tcMar>
              <w:top w:type="dxa" w:w="80"/>
              <w:left w:type="dxa" w:w="100"/>
              <w:bottom w:type="dxa" w:w="80"/>
              <w:right w:type="dxa" w:w="100"/>
            </w:tcMar>
          </w:tcPr>
          <w:p>
            <w:r>
              <w:rPr>
                <w:b w:val="false"/>
                <w:bCs w:val="false"/>
                <w:sz w:val="20"/>
                <w:szCs w:val="20"/>
              </w:rPr>
              <w:t xml:space="preserve">ERP-01 identifier classes validated</w:t>
            </w:r>
          </w:p>
        </w:tc>
        <w:tc>
          <w:tcPr>
            <w:tcW w:type="dxa" w:w="3200"/>
            <w:tcMar>
              <w:top w:type="dxa" w:w="80"/>
              <w:left w:type="dxa" w:w="100"/>
              <w:bottom w:type="dxa" w:w="80"/>
              <w:right w:type="dxa" w:w="100"/>
            </w:tcMar>
          </w:tcPr>
          <w:p>
            <w:r>
              <w:rPr>
                <w:b w:val="false"/>
                <w:bCs w:val="false"/>
                <w:sz w:val="20"/>
                <w:szCs w:val="20"/>
              </w:rPr>
              <w:t xml:space="preserve">9 (AR, EGD, ER, VAR, AP, WP, Portfolio, Wave, KPI)</w:t>
            </w:r>
          </w:p>
        </w:tc>
        <w:tc>
          <w:tcPr>
            <w:tcW w:type="dxa" w:w="2200"/>
            <w:tcMar>
              <w:top w:type="dxa" w:w="80"/>
              <w:left w:type="dxa" w:w="100"/>
              <w:bottom w:type="dxa" w:w="80"/>
              <w:right w:type="dxa" w:w="100"/>
            </w:tcMar>
          </w:tcPr>
          <w:p>
            <w:r>
              <w:rPr>
                <w:b w:val="false"/>
                <w:bCs w:val="false"/>
                <w:sz w:val="20"/>
                <w:szCs w:val="20"/>
              </w:rPr>
              <w:t xml:space="preserve">ERP-01A Baseline Validation Report</w:t>
            </w:r>
          </w:p>
        </w:tc>
      </w:tr>
      <w:tr>
        <w:tc>
          <w:tcPr>
            <w:tcW w:type="dxa" w:w="3600"/>
            <w:tcMar>
              <w:top w:type="dxa" w:w="80"/>
              <w:left w:type="dxa" w:w="100"/>
              <w:bottom w:type="dxa" w:w="80"/>
              <w:right w:type="dxa" w:w="100"/>
            </w:tcMar>
          </w:tcPr>
          <w:p>
            <w:r>
              <w:rPr>
                <w:b w:val="false"/>
                <w:bCs w:val="false"/>
                <w:sz w:val="20"/>
                <w:szCs w:val="20"/>
              </w:rPr>
              <w:t xml:space="preserve">ERP-01 documents validated</w:t>
            </w:r>
          </w:p>
        </w:tc>
        <w:tc>
          <w:tcPr>
            <w:tcW w:type="dxa" w:w="3200"/>
            <w:tcMar>
              <w:top w:type="dxa" w:w="80"/>
              <w:left w:type="dxa" w:w="100"/>
              <w:bottom w:type="dxa" w:w="80"/>
              <w:right w:type="dxa" w:w="100"/>
            </w:tcMar>
          </w:tcPr>
          <w:p>
            <w:r>
              <w:rPr>
                <w:b w:val="false"/>
                <w:bCs w:val="false"/>
                <w:sz w:val="20"/>
                <w:szCs w:val="20"/>
              </w:rPr>
              <w:t xml:space="preserve">29</w:t>
            </w:r>
          </w:p>
        </w:tc>
        <w:tc>
          <w:tcPr>
            <w:tcW w:type="dxa" w:w="2200"/>
            <w:tcMar>
              <w:top w:type="dxa" w:w="80"/>
              <w:left w:type="dxa" w:w="100"/>
              <w:bottom w:type="dxa" w:w="80"/>
              <w:right w:type="dxa" w:w="100"/>
            </w:tcMar>
          </w:tcPr>
          <w:p>
            <w:r>
              <w:rPr>
                <w:b w:val="false"/>
                <w:bCs w:val="false"/>
                <w:sz w:val="20"/>
                <w:szCs w:val="20"/>
              </w:rPr>
              <w:t xml:space="preserve">ERP-01A Baseline Validation Report</w:t>
            </w:r>
          </w:p>
        </w:tc>
      </w:tr>
      <w:tr>
        <w:tc>
          <w:tcPr>
            <w:tcW w:type="dxa" w:w="3600"/>
            <w:tcMar>
              <w:top w:type="dxa" w:w="80"/>
              <w:left w:type="dxa" w:w="100"/>
              <w:bottom w:type="dxa" w:w="80"/>
              <w:right w:type="dxa" w:w="100"/>
            </w:tcMar>
          </w:tcPr>
          <w:p>
            <w:r>
              <w:rPr>
                <w:b w:val="false"/>
                <w:bCs w:val="false"/>
                <w:sz w:val="20"/>
                <w:szCs w:val="20"/>
              </w:rPr>
              <w:t xml:space="preserve">ERP-02 phases certified</w:t>
            </w:r>
          </w:p>
        </w:tc>
        <w:tc>
          <w:tcPr>
            <w:tcW w:type="dxa" w:w="3200"/>
            <w:tcMar>
              <w:top w:type="dxa" w:w="80"/>
              <w:left w:type="dxa" w:w="100"/>
              <w:bottom w:type="dxa" w:w="80"/>
              <w:right w:type="dxa" w:w="100"/>
            </w:tcMar>
          </w:tcPr>
          <w:p>
            <w:r>
              <w:rPr>
                <w:b w:val="false"/>
                <w:bCs w:val="false"/>
                <w:sz w:val="20"/>
                <w:szCs w:val="20"/>
              </w:rPr>
              <w:t xml:space="preserve">10 (Phases A–J)</w:t>
            </w:r>
          </w:p>
        </w:tc>
        <w:tc>
          <w:tcPr>
            <w:tcW w:type="dxa" w:w="2200"/>
            <w:tcMar>
              <w:top w:type="dxa" w:w="80"/>
              <w:left w:type="dxa" w:w="100"/>
              <w:bottom w:type="dxa" w:w="80"/>
              <w:right w:type="dxa" w:w="100"/>
            </w:tcMar>
          </w:tcPr>
          <w:p>
            <w:r>
              <w:rPr>
                <w:b w:val="false"/>
                <w:bCs w:val="false"/>
                <w:sz w:val="20"/>
                <w:szCs w:val="20"/>
              </w:rPr>
              <w:t xml:space="preserve">ERP-02A Closure Report</w:t>
            </w:r>
          </w:p>
        </w:tc>
      </w:tr>
      <w:tr>
        <w:tc>
          <w:tcPr>
            <w:tcW w:type="dxa" w:w="3600"/>
            <w:tcMar>
              <w:top w:type="dxa" w:w="80"/>
              <w:left w:type="dxa" w:w="100"/>
              <w:bottom w:type="dxa" w:w="80"/>
              <w:right w:type="dxa" w:w="100"/>
            </w:tcMar>
          </w:tcPr>
          <w:p>
            <w:r>
              <w:rPr>
                <w:b w:val="false"/>
                <w:bCs w:val="false"/>
                <w:sz w:val="20"/>
                <w:szCs w:val="20"/>
              </w:rPr>
              <w:t xml:space="preserve">ERP-02 executive dashboards</w:t>
            </w:r>
          </w:p>
        </w:tc>
        <w:tc>
          <w:tcPr>
            <w:tcW w:type="dxa" w:w="3200"/>
            <w:tcMar>
              <w:top w:type="dxa" w:w="80"/>
              <w:left w:type="dxa" w:w="100"/>
              <w:bottom w:type="dxa" w:w="80"/>
              <w:right w:type="dxa" w:w="100"/>
            </w:tcMar>
          </w:tcPr>
          <w:p>
            <w:r>
              <w:rPr>
                <w:b w:val="false"/>
                <w:bCs w:val="false"/>
                <w:sz w:val="20"/>
                <w:szCs w:val="20"/>
              </w:rPr>
              <w:t xml:space="preserve">27</w:t>
            </w:r>
          </w:p>
        </w:tc>
        <w:tc>
          <w:tcPr>
            <w:tcW w:type="dxa" w:w="2200"/>
            <w:tcMar>
              <w:top w:type="dxa" w:w="80"/>
              <w:left w:type="dxa" w:w="100"/>
              <w:bottom w:type="dxa" w:w="80"/>
              <w:right w:type="dxa" w:w="100"/>
            </w:tcMar>
          </w:tcPr>
          <w:p>
            <w:r>
              <w:rPr>
                <w:b w:val="false"/>
                <w:bCs w:val="false"/>
                <w:sz w:val="20"/>
                <w:szCs w:val="20"/>
              </w:rPr>
              <w:t xml:space="preserve">ERP-02A Closure Report</w:t>
            </w:r>
          </w:p>
        </w:tc>
      </w:tr>
      <w:tr>
        <w:tc>
          <w:tcPr>
            <w:tcW w:type="dxa" w:w="3600"/>
            <w:tcMar>
              <w:top w:type="dxa" w:w="80"/>
              <w:left w:type="dxa" w:w="100"/>
              <w:bottom w:type="dxa" w:w="80"/>
              <w:right w:type="dxa" w:w="100"/>
            </w:tcMar>
          </w:tcPr>
          <w:p>
            <w:r>
              <w:rPr>
                <w:b w:val="false"/>
                <w:bCs w:val="false"/>
                <w:sz w:val="20"/>
                <w:szCs w:val="20"/>
              </w:rPr>
              <w:t xml:space="preserve">SIM tables deployed</w:t>
            </w:r>
          </w:p>
        </w:tc>
        <w:tc>
          <w:tcPr>
            <w:tcW w:type="dxa" w:w="3200"/>
            <w:tcMar>
              <w:top w:type="dxa" w:w="80"/>
              <w:left w:type="dxa" w:w="100"/>
              <w:bottom w:type="dxa" w:w="80"/>
              <w:right w:type="dxa" w:w="100"/>
            </w:tcMar>
          </w:tcPr>
          <w:p>
            <w:r>
              <w:rPr>
                <w:b w:val="false"/>
                <w:bCs w:val="false"/>
                <w:sz w:val="20"/>
                <w:szCs w:val="20"/>
              </w:rPr>
              <w:t xml:space="preserve">4 (sim_sources, sim_source_health_snapshots, sim_source_audit_log, sim_source_relationships)</w:t>
            </w:r>
          </w:p>
        </w:tc>
        <w:tc>
          <w:tcPr>
            <w:tcW w:type="dxa" w:w="2200"/>
            <w:tcMar>
              <w:top w:type="dxa" w:w="80"/>
              <w:left w:type="dxa" w:w="100"/>
              <w:bottom w:type="dxa" w:w="80"/>
              <w:right w:type="dxa" w:w="100"/>
            </w:tcMar>
          </w:tcPr>
          <w:p>
            <w:r>
              <w:rPr>
                <w:b w:val="false"/>
                <w:bCs w:val="false"/>
                <w:sz w:val="20"/>
                <w:szCs w:val="20"/>
              </w:rPr>
              <w:t xml:space="preserve">Production Deployment Certification Report</w:t>
            </w:r>
          </w:p>
        </w:tc>
      </w:tr>
      <w:tr>
        <w:tc>
          <w:tcPr>
            <w:tcW w:type="dxa" w:w="3600"/>
            <w:tcMar>
              <w:top w:type="dxa" w:w="80"/>
              <w:left w:type="dxa" w:w="100"/>
              <w:bottom w:type="dxa" w:w="80"/>
              <w:right w:type="dxa" w:w="100"/>
            </w:tcMar>
          </w:tcPr>
          <w:p>
            <w:r>
              <w:rPr>
                <w:b w:val="false"/>
                <w:bCs w:val="false"/>
                <w:sz w:val="20"/>
                <w:szCs w:val="20"/>
              </w:rPr>
              <w:t xml:space="preserve">Security findings identified, WP-0002 baseline (Critical / High / Low / Unknown)</w:t>
            </w:r>
          </w:p>
        </w:tc>
        <w:tc>
          <w:tcPr>
            <w:tcW w:type="dxa" w:w="3200"/>
            <w:tcMar>
              <w:top w:type="dxa" w:w="80"/>
              <w:left w:type="dxa" w:w="100"/>
              <w:bottom w:type="dxa" w:w="80"/>
              <w:right w:type="dxa" w:w="100"/>
            </w:tcMar>
          </w:tcPr>
          <w:p>
            <w:r>
              <w:rPr>
                <w:b w:val="false"/>
                <w:bCs w:val="false"/>
                <w:sz w:val="20"/>
                <w:szCs w:val="20"/>
              </w:rPr>
              <w:t xml:space="preserve">3 Critical, 4 High, 2 Low, 1 evidence gap (G1–G9)</w:t>
            </w:r>
          </w:p>
        </w:tc>
        <w:tc>
          <w:tcPr>
            <w:tcW w:type="dxa" w:w="2200"/>
            <w:tcMar>
              <w:top w:type="dxa" w:w="80"/>
              <w:left w:type="dxa" w:w="100"/>
              <w:bottom w:type="dxa" w:w="80"/>
              <w:right w:type="dxa" w:w="100"/>
            </w:tcMar>
          </w:tcPr>
          <w:p>
            <w:r>
              <w:rPr>
                <w:b w:val="false"/>
                <w:bCs w:val="false"/>
                <w:sz w:val="20"/>
                <w:szCs w:val="20"/>
              </w:rPr>
              <w:t xml:space="preserve">WP-0002 Enterprise Security Baseline Report</w:t>
            </w:r>
          </w:p>
        </w:tc>
      </w:tr>
      <w:tr>
        <w:tc>
          <w:tcPr>
            <w:tcW w:type="dxa" w:w="3600"/>
            <w:tcMar>
              <w:top w:type="dxa" w:w="80"/>
              <w:left w:type="dxa" w:w="100"/>
              <w:bottom w:type="dxa" w:w="80"/>
              <w:right w:type="dxa" w:w="100"/>
            </w:tcMar>
          </w:tcPr>
          <w:p>
            <w:r>
              <w:rPr>
                <w:b w:val="false"/>
                <w:bCs w:val="false"/>
                <w:sz w:val="20"/>
                <w:szCs w:val="20"/>
              </w:rPr>
              <w:t xml:space="preserve">Security findings closed by this program's certified deployment</w:t>
            </w:r>
          </w:p>
        </w:tc>
        <w:tc>
          <w:tcPr>
            <w:tcW w:type="dxa" w:w="3200"/>
            <w:tcMar>
              <w:top w:type="dxa" w:w="80"/>
              <w:left w:type="dxa" w:w="100"/>
              <w:bottom w:type="dxa" w:w="80"/>
              <w:right w:type="dxa" w:w="100"/>
            </w:tcMar>
          </w:tcPr>
          <w:p>
            <w:r>
              <w:rPr>
                <w:b w:val="false"/>
                <w:bCs w:val="false"/>
                <w:sz w:val="20"/>
                <w:szCs w:val="20"/>
              </w:rPr>
              <w:t xml:space="preserve">1 (G1 — SIM table family, via Task T-102)</w:t>
            </w:r>
          </w:p>
        </w:tc>
        <w:tc>
          <w:tcPr>
            <w:tcW w:type="dxa" w:w="2200"/>
            <w:tcMar>
              <w:top w:type="dxa" w:w="80"/>
              <w:left w:type="dxa" w:w="100"/>
              <w:bottom w:type="dxa" w:w="80"/>
              <w:right w:type="dxa" w:w="100"/>
            </w:tcMar>
          </w:tcPr>
          <w:p>
            <w:r>
              <w:rPr>
                <w:b w:val="false"/>
                <w:bCs w:val="false"/>
                <w:sz w:val="20"/>
                <w:szCs w:val="20"/>
              </w:rPr>
              <w:t xml:space="preserve">Production Deployment Certification Report; WP-0002 T-102 Implementation Record</w:t>
            </w:r>
          </w:p>
        </w:tc>
      </w:tr>
      <w:tr>
        <w:tc>
          <w:tcPr>
            <w:tcW w:type="dxa" w:w="3600"/>
            <w:tcMar>
              <w:top w:type="dxa" w:w="80"/>
              <w:left w:type="dxa" w:w="100"/>
              <w:bottom w:type="dxa" w:w="80"/>
              <w:right w:type="dxa" w:w="100"/>
            </w:tcMar>
          </w:tcPr>
          <w:p>
            <w:r>
              <w:rPr>
                <w:b w:val="false"/>
                <w:bCs w:val="false"/>
                <w:sz w:val="20"/>
                <w:szCs w:val="20"/>
              </w:rPr>
              <w:t xml:space="preserve">Post-deployment verification checklist items (Deployment 1)</w:t>
            </w:r>
          </w:p>
        </w:tc>
        <w:tc>
          <w:tcPr>
            <w:tcW w:type="dxa" w:w="3200"/>
            <w:tcMar>
              <w:top w:type="dxa" w:w="80"/>
              <w:left w:type="dxa" w:w="100"/>
              <w:bottom w:type="dxa" w:w="80"/>
              <w:right w:type="dxa" w:w="100"/>
            </w:tcMar>
          </w:tcPr>
          <w:p>
            <w:r>
              <w:rPr>
                <w:b w:val="false"/>
                <w:bCs w:val="false"/>
                <w:sz w:val="20"/>
                <w:szCs w:val="20"/>
              </w:rPr>
              <w:t xml:space="preserve">4 tables, 1 function, 1 trigger, 6 index categories</w:t>
            </w:r>
          </w:p>
        </w:tc>
        <w:tc>
          <w:tcPr>
            <w:tcW w:type="dxa" w:w="2200"/>
            <w:tcMar>
              <w:top w:type="dxa" w:w="80"/>
              <w:left w:type="dxa" w:w="100"/>
              <w:bottom w:type="dxa" w:w="80"/>
              <w:right w:type="dxa" w:w="100"/>
            </w:tcMar>
          </w:tcPr>
          <w:p>
            <w:r>
              <w:rPr>
                <w:b w:val="false"/>
                <w:bCs w:val="false"/>
                <w:sz w:val="20"/>
                <w:szCs w:val="20"/>
              </w:rPr>
              <w:t xml:space="preserve">Production Deployment Certification Report</w:t>
            </w:r>
          </w:p>
        </w:tc>
      </w:tr>
      <w:tr>
        <w:tc>
          <w:tcPr>
            <w:tcW w:type="dxa" w:w="3600"/>
            <w:tcMar>
              <w:top w:type="dxa" w:w="80"/>
              <w:left w:type="dxa" w:w="100"/>
              <w:bottom w:type="dxa" w:w="80"/>
              <w:right w:type="dxa" w:w="100"/>
            </w:tcMar>
          </w:tcPr>
          <w:p>
            <w:r>
              <w:rPr>
                <w:b w:val="false"/>
                <w:bCs w:val="false"/>
                <w:sz w:val="20"/>
                <w:szCs w:val="20"/>
              </w:rPr>
              <w:t xml:space="preserve">Post-deployment verification checklist items (Deployment 2)</w:t>
            </w:r>
          </w:p>
        </w:tc>
        <w:tc>
          <w:tcPr>
            <w:tcW w:type="dxa" w:w="3200"/>
            <w:tcMar>
              <w:top w:type="dxa" w:w="80"/>
              <w:left w:type="dxa" w:w="100"/>
              <w:bottom w:type="dxa" w:w="80"/>
              <w:right w:type="dxa" w:w="100"/>
            </w:tcMar>
          </w:tcPr>
          <w:p>
            <w:r>
              <w:rPr>
                <w:b w:val="false"/>
                <w:bCs w:val="false"/>
                <w:sz w:val="20"/>
                <w:szCs w:val="20"/>
              </w:rPr>
              <w:t xml:space="preserve">4 RLS enablements, 4 policies, 3 grant checks</w:t>
            </w:r>
          </w:p>
        </w:tc>
        <w:tc>
          <w:tcPr>
            <w:tcW w:type="dxa" w:w="2200"/>
            <w:tcMar>
              <w:top w:type="dxa" w:w="80"/>
              <w:left w:type="dxa" w:w="100"/>
              <w:bottom w:type="dxa" w:w="80"/>
              <w:right w:type="dxa" w:w="100"/>
            </w:tcMar>
          </w:tcPr>
          <w:p>
            <w:r>
              <w:rPr>
                <w:b w:val="false"/>
                <w:bCs w:val="false"/>
                <w:sz w:val="20"/>
                <w:szCs w:val="20"/>
              </w:rPr>
              <w:t xml:space="preserve">Production Deployment Certification Report</w:t>
            </w:r>
          </w:p>
        </w:tc>
      </w:tr>
    </w:tbl>
    <w:p>
      <w:r>
        <w:br w:type="page"/>
      </w:r>
    </w:p>
    <w:p>
      <w:pPr>
        <w:pStyle w:val="Heading1"/>
        <w:spacing w:after="200" w:before="400"/>
      </w:pPr>
      <w:r>
        <w:t xml:space="preserve">17. Final Certification</w:t>
      </w:r>
    </w:p>
    <w:p>
      <w:pPr>
        <w:spacing w:after="160"/>
      </w:pPr>
      <w:r>
        <w:t xml:space="preserve">The following certification statement is scoped precisely to the evidence presented in this report and does not extend beyond it.</w:t>
      </w:r>
    </w:p>
    <w:p>
      <w:pPr>
        <w:pBdr>
          <w:top w:val="single" w:color="1F3864" w:sz="6" w:space="8"/>
          <w:bottom w:val="single" w:color="1F3864" w:sz="6" w:space="8"/>
        </w:pBdr>
        <w:spacing w:after="200" w:before="200"/>
      </w:pPr>
      <w:r>
        <w:rPr>
          <w:i/>
          <w:iCs/>
          <w:sz w:val="22"/>
          <w:szCs w:val="22"/>
        </w:rPr>
        <w:t xml:space="preserve">The Enterprise Engineering Program has completed all work packages approved within its defined scope: ERP-01, ERP-01A, ERP-02, and ERP-02A are certified at the repository-governance level as internally consistent, traceable, and complete against their own stated scope, with one open naming-consistency finding (DG-J-01) carried forward. WP-P2-00B's production-first migration-history reconciliation is certified as methodologically sound and evidence-based, reconciling 31 migrations as production drift. The Enterprise Source Intelligence Management subsystem (WP-P2-01) has been deployed to production and verified. Row-Level Security on the SIM table family (WP-0002 Task T-102) has been deployed to production and verified. Both production deployments are certified successful on the basis of recorded pre-flight and post-deployment evidence. This certification does not extend to engineering completion of the six ERP-01 Work Packages beyond the SIM scope, to the residual WP-0002 security findings (G2–G9) documented in Section 9.5 and Section 11.3, or to operational readiness beyond the certified deployments described in this report.</w:t>
      </w:r>
    </w:p>
    <w:p>
      <w:r>
        <w:br w:type="page"/>
      </w:r>
    </w:p>
    <w:p>
      <w:pPr>
        <w:pStyle w:val="Heading1"/>
        <w:spacing w:after="200" w:before="400"/>
      </w:pPr>
      <w:r>
        <w:t xml:space="preserve">18. Appendices</w:t>
      </w:r>
    </w:p>
    <w:p>
      <w:pPr>
        <w:pStyle w:val="Heading2"/>
        <w:spacing w:after="150" w:before="300"/>
      </w:pPr>
      <w:r>
        <w:t xml:space="preserve">Appendix A — Completed Work Packages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1F3864" w:val="clear"/>
            <w:tcMar>
              <w:top w:type="dxa" w:w="80"/>
              <w:left w:type="dxa" w:w="100"/>
              <w:bottom w:type="dxa" w:w="80"/>
              <w:right w:type="dxa" w:w="100"/>
            </w:tcMar>
          </w:tcPr>
          <w:p>
            <w:r>
              <w:rPr>
                <w:b/>
                <w:bCs/>
                <w:color w:val="FFFFFF"/>
                <w:sz w:val="20"/>
                <w:szCs w:val="20"/>
              </w:rPr>
              <w:t xml:space="preserve">Work Package</w:t>
            </w:r>
          </w:p>
        </w:tc>
        <w:tc>
          <w:tcPr>
            <w:tcW w:type="dxa" w:w="5300"/>
            <w:shd w:fill="1F3864" w:val="clear"/>
            <w:tcMar>
              <w:top w:type="dxa" w:w="80"/>
              <w:left w:type="dxa" w:w="100"/>
              <w:bottom w:type="dxa" w:w="80"/>
              <w:right w:type="dxa" w:w="100"/>
            </w:tcMar>
          </w:tcPr>
          <w:p>
            <w:r>
              <w:rPr>
                <w:b/>
                <w:bCs/>
                <w:color w:val="FFFFFF"/>
                <w:sz w:val="20"/>
                <w:szCs w:val="20"/>
              </w:rPr>
              <w:t xml:space="preserve">Description</w:t>
            </w:r>
          </w:p>
        </w:tc>
        <w:tc>
          <w:tcPr>
            <w:tcW w:type="dxa" w:w="1900"/>
            <w:shd w:fill="1F3864" w:val="clear"/>
            <w:tcMar>
              <w:top w:type="dxa" w:w="80"/>
              <w:left w:type="dxa" w:w="100"/>
              <w:bottom w:type="dxa" w:w="80"/>
              <w:right w:type="dxa" w:w="100"/>
            </w:tcMar>
          </w:tcPr>
          <w:p>
            <w:r>
              <w:rPr>
                <w:b/>
                <w:bCs/>
                <w:color w:val="FFFFFF"/>
                <w:sz w:val="20"/>
                <w:szCs w:val="20"/>
              </w:rPr>
              <w:t xml:space="preserve">Status</w:t>
            </w:r>
          </w:p>
        </w:tc>
      </w:tr>
      <w:tr>
        <w:tc>
          <w:tcPr>
            <w:tcW w:type="dxa" w:w="1800"/>
            <w:tcMar>
              <w:top w:type="dxa" w:w="80"/>
              <w:left w:type="dxa" w:w="100"/>
              <w:bottom w:type="dxa" w:w="80"/>
              <w:right w:type="dxa" w:w="100"/>
            </w:tcMar>
          </w:tcPr>
          <w:p>
            <w:r>
              <w:rPr>
                <w:b w:val="false"/>
                <w:bCs w:val="false"/>
                <w:sz w:val="20"/>
                <w:szCs w:val="20"/>
              </w:rPr>
              <w:t xml:space="preserve">ERP-01</w:t>
            </w:r>
          </w:p>
        </w:tc>
        <w:tc>
          <w:tcPr>
            <w:tcW w:type="dxa" w:w="5300"/>
            <w:tcMar>
              <w:top w:type="dxa" w:w="80"/>
              <w:left w:type="dxa" w:w="100"/>
              <w:bottom w:type="dxa" w:w="80"/>
              <w:right w:type="dxa" w:w="100"/>
            </w:tcMar>
          </w:tcPr>
          <w:p>
            <w:r>
              <w:rPr>
                <w:b w:val="false"/>
                <w:bCs w:val="false"/>
                <w:sz w:val="20"/>
                <w:szCs w:val="20"/>
              </w:rPr>
              <w:t xml:space="preserve">Enterprise Repository Certification (architecture baseline, Phases A–C)</w:t>
            </w:r>
          </w:p>
        </w:tc>
        <w:tc>
          <w:tcPr>
            <w:tcW w:type="dxa" w:w="1900"/>
            <w:tcMar>
              <w:top w:type="dxa" w:w="80"/>
              <w:left w:type="dxa" w:w="100"/>
              <w:bottom w:type="dxa" w:w="80"/>
              <w:right w:type="dxa" w:w="100"/>
            </w:tcMar>
          </w:tcPr>
          <w:p>
            <w:r>
              <w:rPr>
                <w:b w:val="false"/>
                <w:bCs w:val="false"/>
                <w:sz w:val="20"/>
                <w:szCs w:val="20"/>
              </w:rPr>
              <w:t xml:space="preserve">Complete</w:t>
            </w:r>
          </w:p>
        </w:tc>
      </w:tr>
      <w:tr>
        <w:tc>
          <w:tcPr>
            <w:tcW w:type="dxa" w:w="1800"/>
            <w:tcMar>
              <w:top w:type="dxa" w:w="80"/>
              <w:left w:type="dxa" w:w="100"/>
              <w:bottom w:type="dxa" w:w="80"/>
              <w:right w:type="dxa" w:w="100"/>
            </w:tcMar>
          </w:tcPr>
          <w:p>
            <w:r>
              <w:rPr>
                <w:b w:val="false"/>
                <w:bCs w:val="false"/>
                <w:sz w:val="20"/>
                <w:szCs w:val="20"/>
              </w:rPr>
              <w:t xml:space="preserve">ERP-01A</w:t>
            </w:r>
          </w:p>
        </w:tc>
        <w:tc>
          <w:tcPr>
            <w:tcW w:type="dxa" w:w="5300"/>
            <w:tcMar>
              <w:top w:type="dxa" w:w="80"/>
              <w:left w:type="dxa" w:w="100"/>
              <w:bottom w:type="dxa" w:w="80"/>
              <w:right w:type="dxa" w:w="100"/>
            </w:tcMar>
          </w:tcPr>
          <w:p>
            <w:r>
              <w:rPr>
                <w:b w:val="false"/>
                <w:bCs w:val="false"/>
                <w:sz w:val="20"/>
                <w:szCs w:val="20"/>
              </w:rPr>
              <w:t xml:space="preserve">Enterprise Repository Quality Assurance &amp; Baseline Certification</w:t>
            </w:r>
          </w:p>
        </w:tc>
        <w:tc>
          <w:tcPr>
            <w:tcW w:type="dxa" w:w="1900"/>
            <w:tcMar>
              <w:top w:type="dxa" w:w="80"/>
              <w:left w:type="dxa" w:w="100"/>
              <w:bottom w:type="dxa" w:w="80"/>
              <w:right w:type="dxa" w:w="100"/>
            </w:tcMar>
          </w:tcPr>
          <w:p>
            <w:r>
              <w:rPr>
                <w:b w:val="false"/>
                <w:bCs w:val="false"/>
                <w:sz w:val="20"/>
                <w:szCs w:val="20"/>
              </w:rPr>
              <w:t xml:space="preserve">Complete</w:t>
            </w:r>
          </w:p>
        </w:tc>
      </w:tr>
      <w:tr>
        <w:tc>
          <w:tcPr>
            <w:tcW w:type="dxa" w:w="1800"/>
            <w:tcMar>
              <w:top w:type="dxa" w:w="80"/>
              <w:left w:type="dxa" w:w="100"/>
              <w:bottom w:type="dxa" w:w="80"/>
              <w:right w:type="dxa" w:w="100"/>
            </w:tcMar>
          </w:tcPr>
          <w:p>
            <w:r>
              <w:rPr>
                <w:b w:val="false"/>
                <w:bCs w:val="false"/>
                <w:sz w:val="20"/>
                <w:szCs w:val="20"/>
              </w:rPr>
              <w:t xml:space="preserve">ERP-02</w:t>
            </w:r>
          </w:p>
        </w:tc>
        <w:tc>
          <w:tcPr>
            <w:tcW w:type="dxa" w:w="5300"/>
            <w:tcMar>
              <w:top w:type="dxa" w:w="80"/>
              <w:left w:type="dxa" w:w="100"/>
              <w:bottom w:type="dxa" w:w="80"/>
              <w:right w:type="dxa" w:w="100"/>
            </w:tcMar>
          </w:tcPr>
          <w:p>
            <w:r>
              <w:rPr>
                <w:b w:val="false"/>
                <w:bCs w:val="false"/>
                <w:sz w:val="20"/>
                <w:szCs w:val="20"/>
              </w:rPr>
              <w:t xml:space="preserve">Enterprise Engineering Execution Program (governance framework, Phases A–J)</w:t>
            </w:r>
          </w:p>
        </w:tc>
        <w:tc>
          <w:tcPr>
            <w:tcW w:type="dxa" w:w="1900"/>
            <w:tcMar>
              <w:top w:type="dxa" w:w="80"/>
              <w:left w:type="dxa" w:w="100"/>
              <w:bottom w:type="dxa" w:w="80"/>
              <w:right w:type="dxa" w:w="100"/>
            </w:tcMar>
          </w:tcPr>
          <w:p>
            <w:r>
              <w:rPr>
                <w:b w:val="false"/>
                <w:bCs w:val="false"/>
                <w:sz w:val="20"/>
                <w:szCs w:val="20"/>
              </w:rPr>
              <w:t xml:space="preserve">Complete</w:t>
            </w:r>
          </w:p>
        </w:tc>
      </w:tr>
      <w:tr>
        <w:tc>
          <w:tcPr>
            <w:tcW w:type="dxa" w:w="1800"/>
            <w:tcMar>
              <w:top w:type="dxa" w:w="80"/>
              <w:left w:type="dxa" w:w="100"/>
              <w:bottom w:type="dxa" w:w="80"/>
              <w:right w:type="dxa" w:w="100"/>
            </w:tcMar>
          </w:tcPr>
          <w:p>
            <w:r>
              <w:rPr>
                <w:b w:val="false"/>
                <w:bCs w:val="false"/>
                <w:sz w:val="20"/>
                <w:szCs w:val="20"/>
              </w:rPr>
              <w:t xml:space="preserve">ERP-02A</w:t>
            </w:r>
          </w:p>
        </w:tc>
        <w:tc>
          <w:tcPr>
            <w:tcW w:type="dxa" w:w="5300"/>
            <w:tcMar>
              <w:top w:type="dxa" w:w="80"/>
              <w:left w:type="dxa" w:w="100"/>
              <w:bottom w:type="dxa" w:w="80"/>
              <w:right w:type="dxa" w:w="100"/>
            </w:tcMar>
          </w:tcPr>
          <w:p>
            <w:r>
              <w:rPr>
                <w:b w:val="false"/>
                <w:bCs w:val="false"/>
                <w:sz w:val="20"/>
                <w:szCs w:val="20"/>
              </w:rPr>
              <w:t xml:space="preserve">Enterprise Execution Certification &amp; Program Closure</w:t>
            </w:r>
          </w:p>
        </w:tc>
        <w:tc>
          <w:tcPr>
            <w:tcW w:type="dxa" w:w="1900"/>
            <w:tcMar>
              <w:top w:type="dxa" w:w="80"/>
              <w:left w:type="dxa" w:w="100"/>
              <w:bottom w:type="dxa" w:w="80"/>
              <w:right w:type="dxa" w:w="100"/>
            </w:tcMar>
          </w:tcPr>
          <w:p>
            <w:r>
              <w:rPr>
                <w:b w:val="false"/>
                <w:bCs w:val="false"/>
                <w:sz w:val="20"/>
                <w:szCs w:val="20"/>
              </w:rPr>
              <w:t xml:space="preserve">Complete</w:t>
            </w:r>
          </w:p>
        </w:tc>
      </w:tr>
      <w:tr>
        <w:tc>
          <w:tcPr>
            <w:tcW w:type="dxa" w:w="1800"/>
            <w:tcMar>
              <w:top w:type="dxa" w:w="80"/>
              <w:left w:type="dxa" w:w="100"/>
              <w:bottom w:type="dxa" w:w="80"/>
              <w:right w:type="dxa" w:w="100"/>
            </w:tcMar>
          </w:tcPr>
          <w:p>
            <w:r>
              <w:rPr>
                <w:b w:val="false"/>
                <w:bCs w:val="false"/>
                <w:sz w:val="20"/>
                <w:szCs w:val="20"/>
              </w:rPr>
              <w:t xml:space="preserve">WP-0002</w:t>
            </w:r>
          </w:p>
        </w:tc>
        <w:tc>
          <w:tcPr>
            <w:tcW w:type="dxa" w:w="5300"/>
            <w:tcMar>
              <w:top w:type="dxa" w:w="80"/>
              <w:left w:type="dxa" w:w="100"/>
              <w:bottom w:type="dxa" w:w="80"/>
              <w:right w:type="dxa" w:w="100"/>
            </w:tcMar>
          </w:tcPr>
          <w:p>
            <w:r>
              <w:rPr>
                <w:b w:val="false"/>
                <w:bCs w:val="false"/>
                <w:sz w:val="20"/>
                <w:szCs w:val="20"/>
              </w:rPr>
              <w:t xml:space="preserve">Enterprise Security Hardening (baseline assessment; Task T-102 deployed)</w:t>
            </w:r>
          </w:p>
        </w:tc>
        <w:tc>
          <w:tcPr>
            <w:tcW w:type="dxa" w:w="1900"/>
            <w:tcMar>
              <w:top w:type="dxa" w:w="80"/>
              <w:left w:type="dxa" w:w="100"/>
              <w:bottom w:type="dxa" w:w="80"/>
              <w:right w:type="dxa" w:w="100"/>
            </w:tcMar>
          </w:tcPr>
          <w:p>
            <w:r>
              <w:rPr>
                <w:b w:val="false"/>
                <w:bCs w:val="false"/>
                <w:sz w:val="20"/>
                <w:szCs w:val="20"/>
              </w:rPr>
              <w:t xml:space="preserve">Complete (T-102 scope); residual findings open</w:t>
            </w:r>
          </w:p>
        </w:tc>
      </w:tr>
      <w:tr>
        <w:tc>
          <w:tcPr>
            <w:tcW w:type="dxa" w:w="1800"/>
            <w:tcMar>
              <w:top w:type="dxa" w:w="80"/>
              <w:left w:type="dxa" w:w="100"/>
              <w:bottom w:type="dxa" w:w="80"/>
              <w:right w:type="dxa" w:w="100"/>
            </w:tcMar>
          </w:tcPr>
          <w:p>
            <w:r>
              <w:rPr>
                <w:b w:val="false"/>
                <w:bCs w:val="false"/>
                <w:sz w:val="20"/>
                <w:szCs w:val="20"/>
              </w:rPr>
              <w:t xml:space="preserve">WP-P2-00B</w:t>
            </w:r>
          </w:p>
        </w:tc>
        <w:tc>
          <w:tcPr>
            <w:tcW w:type="dxa" w:w="5300"/>
            <w:tcMar>
              <w:top w:type="dxa" w:w="80"/>
              <w:left w:type="dxa" w:w="100"/>
              <w:bottom w:type="dxa" w:w="80"/>
              <w:right w:type="dxa" w:w="100"/>
            </w:tcMar>
          </w:tcPr>
          <w:p>
            <w:r>
              <w:rPr>
                <w:b w:val="false"/>
                <w:bCs w:val="false"/>
                <w:sz w:val="20"/>
                <w:szCs w:val="20"/>
              </w:rPr>
              <w:t xml:space="preserve">Production Migration History Reconciliation</w:t>
            </w:r>
          </w:p>
        </w:tc>
        <w:tc>
          <w:tcPr>
            <w:tcW w:type="dxa" w:w="1900"/>
            <w:tcMar>
              <w:top w:type="dxa" w:w="80"/>
              <w:left w:type="dxa" w:w="100"/>
              <w:bottom w:type="dxa" w:w="80"/>
              <w:right w:type="dxa" w:w="100"/>
            </w:tcMar>
          </w:tcPr>
          <w:p>
            <w:r>
              <w:rPr>
                <w:b w:val="false"/>
                <w:bCs w:val="false"/>
                <w:sz w:val="20"/>
                <w:szCs w:val="20"/>
              </w:rPr>
              <w:t xml:space="preserve">Complete</w:t>
            </w:r>
          </w:p>
        </w:tc>
      </w:tr>
      <w:tr>
        <w:tc>
          <w:tcPr>
            <w:tcW w:type="dxa" w:w="1800"/>
            <w:tcMar>
              <w:top w:type="dxa" w:w="80"/>
              <w:left w:type="dxa" w:w="100"/>
              <w:bottom w:type="dxa" w:w="80"/>
              <w:right w:type="dxa" w:w="100"/>
            </w:tcMar>
          </w:tcPr>
          <w:p>
            <w:r>
              <w:rPr>
                <w:b w:val="false"/>
                <w:bCs w:val="false"/>
                <w:sz w:val="20"/>
                <w:szCs w:val="20"/>
              </w:rPr>
              <w:t xml:space="preserve">WP-P2-01</w:t>
            </w:r>
          </w:p>
        </w:tc>
        <w:tc>
          <w:tcPr>
            <w:tcW w:type="dxa" w:w="5300"/>
            <w:tcMar>
              <w:top w:type="dxa" w:w="80"/>
              <w:left w:type="dxa" w:w="100"/>
              <w:bottom w:type="dxa" w:w="80"/>
              <w:right w:type="dxa" w:w="100"/>
            </w:tcMar>
          </w:tcPr>
          <w:p>
            <w:r>
              <w:rPr>
                <w:b w:val="false"/>
                <w:bCs w:val="false"/>
                <w:sz w:val="20"/>
                <w:szCs w:val="20"/>
              </w:rPr>
              <w:t xml:space="preserve">Enterprise Source Intelligence Management Foundation Deployment</w:t>
            </w:r>
          </w:p>
        </w:tc>
        <w:tc>
          <w:tcPr>
            <w:tcW w:type="dxa" w:w="1900"/>
            <w:tcMar>
              <w:top w:type="dxa" w:w="80"/>
              <w:left w:type="dxa" w:w="100"/>
              <w:bottom w:type="dxa" w:w="80"/>
              <w:right w:type="dxa" w:w="100"/>
            </w:tcMar>
          </w:tcPr>
          <w:p>
            <w:r>
              <w:rPr>
                <w:b w:val="false"/>
                <w:bCs w:val="false"/>
                <w:sz w:val="20"/>
                <w:szCs w:val="20"/>
              </w:rPr>
              <w:t xml:space="preserve">Complete</w:t>
            </w:r>
          </w:p>
        </w:tc>
      </w:tr>
      <w:tr>
        <w:tc>
          <w:tcPr>
            <w:tcW w:type="dxa" w:w="1800"/>
            <w:tcMar>
              <w:top w:type="dxa" w:w="80"/>
              <w:left w:type="dxa" w:w="100"/>
              <w:bottom w:type="dxa" w:w="80"/>
              <w:right w:type="dxa" w:w="100"/>
            </w:tcMar>
          </w:tcPr>
          <w:p>
            <w:r>
              <w:rPr>
                <w:b w:val="false"/>
                <w:bCs w:val="false"/>
                <w:sz w:val="20"/>
                <w:szCs w:val="20"/>
              </w:rPr>
              <w:t xml:space="preserve">WP-0002 T-102</w:t>
            </w:r>
          </w:p>
        </w:tc>
        <w:tc>
          <w:tcPr>
            <w:tcW w:type="dxa" w:w="5300"/>
            <w:tcMar>
              <w:top w:type="dxa" w:w="80"/>
              <w:left w:type="dxa" w:w="100"/>
              <w:bottom w:type="dxa" w:w="80"/>
              <w:right w:type="dxa" w:w="100"/>
            </w:tcMar>
          </w:tcPr>
          <w:p>
            <w:r>
              <w:rPr>
                <w:b w:val="false"/>
                <w:bCs w:val="false"/>
                <w:sz w:val="20"/>
                <w:szCs w:val="20"/>
              </w:rPr>
              <w:t xml:space="preserve">SIM Row Level Security Deployment</w:t>
            </w:r>
          </w:p>
        </w:tc>
        <w:tc>
          <w:tcPr>
            <w:tcW w:type="dxa" w:w="1900"/>
            <w:tcMar>
              <w:top w:type="dxa" w:w="80"/>
              <w:left w:type="dxa" w:w="100"/>
              <w:bottom w:type="dxa" w:w="80"/>
              <w:right w:type="dxa" w:w="100"/>
            </w:tcMar>
          </w:tcPr>
          <w:p>
            <w:r>
              <w:rPr>
                <w:b w:val="false"/>
                <w:bCs w:val="false"/>
                <w:sz w:val="20"/>
                <w:szCs w:val="20"/>
              </w:rPr>
              <w:t xml:space="preserve">Complete</w:t>
            </w:r>
          </w:p>
        </w:tc>
      </w:tr>
    </w:tbl>
    <w:p>
      <w:pPr>
        <w:pStyle w:val="Heading2"/>
        <w:spacing w:after="150" w:before="300"/>
      </w:pPr>
      <w:r>
        <w:t xml:space="preserve">Appendix B — Migration Classification Summary</w:t>
      </w:r>
    </w:p>
    <w:p>
      <w:pPr>
        <w:spacing w:after="160"/>
      </w:pPr>
      <w:r>
        <w:t xml:space="preserve">Migrations fall into three classes established by the reconciliation methodology in Section 6:</w:t>
      </w:r>
    </w:p>
    <w:p>
      <w:pPr>
        <w:pStyle w:val="ListParagraph"/>
        <w:numPr>
          <w:ilvl w:val="0"/>
          <w:numId w:val="1"/>
        </w:numPr>
        <w:spacing w:after="80"/>
      </w:pPr>
      <w:r>
        <w:t xml:space="preserve">Drift (31 migrations): confirmed already applied to production via out-of-band deployment, verified against a pulled remote-schema snapshot or equivalent production evidence.</w:t>
      </w:r>
    </w:p>
    <w:p>
      <w:pPr>
        <w:pStyle w:val="ListParagraph"/>
        <w:numPr>
          <w:ilvl w:val="0"/>
          <w:numId w:val="1"/>
        </w:numPr>
        <w:spacing w:after="80"/>
      </w:pPr>
      <w:r>
        <w:t xml:space="preserve">Genuine gap, deployed and certified (2 migrations): SIM Foundation and SIM RLS hardening, confirmed absent before deployment and verified present after.</w:t>
      </w:r>
    </w:p>
    <w:p>
      <w:pPr>
        <w:pStyle w:val="ListParagraph"/>
        <w:numPr>
          <w:ilvl w:val="0"/>
          <w:numId w:val="1"/>
        </w:numPr>
        <w:spacing w:after="80"/>
      </w:pPr>
      <w:r>
        <w:t xml:space="preserve">Genuine gap, still pending (2 migrations): phase1a_distributed_governance and intelligence_foundation_layer, intentionally excluded from this deployment window pending their own verification pass.</w:t>
      </w:r>
    </w:p>
    <w:p>
      <w:pPr>
        <w:pStyle w:val="Heading2"/>
        <w:spacing w:after="150" w:before="300"/>
      </w:pPr>
      <w:r>
        <w:t xml:space="preserve">Appendix C — Production Verification Checklist</w:t>
      </w:r>
    </w:p>
    <w:p>
      <w:pPr>
        <w:pStyle w:val="ListParagraph"/>
        <w:numPr>
          <w:ilvl w:val="0"/>
          <w:numId w:val="1"/>
        </w:numPr>
        <w:spacing w:after="80"/>
      </w:pPr>
      <w:r>
        <w:t xml:space="preserve">Pre-flight: confirm target objects absent (creation) or present (alteration) before executing.</w:t>
      </w:r>
    </w:p>
    <w:p>
      <w:pPr>
        <w:pStyle w:val="ListParagraph"/>
        <w:numPr>
          <w:ilvl w:val="0"/>
          <w:numId w:val="1"/>
        </w:numPr>
        <w:spacing w:after="80"/>
      </w:pPr>
      <w:r>
        <w:t xml:space="preserve">Execution: run via Supabase SQL Editor; record the literal result string.</w:t>
      </w:r>
    </w:p>
    <w:p>
      <w:pPr>
        <w:pStyle w:val="ListParagraph"/>
        <w:numPr>
          <w:ilvl w:val="0"/>
          <w:numId w:val="1"/>
        </w:numPr>
        <w:spacing w:after="80"/>
      </w:pPr>
      <w:r>
        <w:t xml:space="preserve">Post-deployment — tables: confirm each table listed in the migration exists.</w:t>
      </w:r>
    </w:p>
    <w:p>
      <w:pPr>
        <w:pStyle w:val="ListParagraph"/>
        <w:numPr>
          <w:ilvl w:val="0"/>
          <w:numId w:val="1"/>
        </w:numPr>
        <w:spacing w:after="80"/>
      </w:pPr>
      <w:r>
        <w:t xml:space="preserve">Post-deployment — functions and triggers: confirm each exists and is attached to the correct table.</w:t>
      </w:r>
    </w:p>
    <w:p>
      <w:pPr>
        <w:pStyle w:val="ListParagraph"/>
        <w:numPr>
          <w:ilvl w:val="0"/>
          <w:numId w:val="1"/>
        </w:numPr>
        <w:spacing w:after="80"/>
      </w:pPr>
      <w:r>
        <w:t xml:space="preserve">Post-deployment — indexes: confirm primary key, composite, relationship, GIN, partial-unique, and lookup indexes as applicable.</w:t>
      </w:r>
    </w:p>
    <w:p>
      <w:pPr>
        <w:pStyle w:val="ListParagraph"/>
        <w:numPr>
          <w:ilvl w:val="0"/>
          <w:numId w:val="1"/>
        </w:numPr>
        <w:spacing w:after="80"/>
      </w:pPr>
      <w:r>
        <w:t xml:space="preserve">Post-deployment — RLS: confirm relrowsecurity is enabled on each affected table.</w:t>
      </w:r>
    </w:p>
    <w:p>
      <w:pPr>
        <w:pStyle w:val="ListParagraph"/>
        <w:numPr>
          <w:ilvl w:val="0"/>
          <w:numId w:val="1"/>
        </w:numPr>
        <w:spacing w:after="80"/>
      </w:pPr>
      <w:r>
        <w:t xml:space="preserve">Post-deployment — policies: confirm each named policy exists and is scoped to the intended role.</w:t>
      </w:r>
    </w:p>
    <w:p>
      <w:pPr>
        <w:pStyle w:val="ListParagraph"/>
        <w:numPr>
          <w:ilvl w:val="0"/>
          <w:numId w:val="1"/>
        </w:numPr>
        <w:spacing w:after="80"/>
      </w:pPr>
      <w:r>
        <w:t xml:space="preserve">Post-deployment — grants: confirm administrative privileges retained, operational role granted, and no unexpected anon/authenticated grants remain.</w:t>
      </w:r>
    </w:p>
    <w:p>
      <w:pPr>
        <w:pStyle w:val="ListParagraph"/>
        <w:numPr>
          <w:ilvl w:val="0"/>
          <w:numId w:val="1"/>
        </w:numPr>
        <w:spacing w:after="80"/>
      </w:pPr>
      <w:r>
        <w:t xml:space="preserve">Certification: record CERTIFIED SUCCESSFUL only once all applicable rows above are confirmed.</w:t>
      </w:r>
    </w:p>
    <w:p>
      <w:pPr>
        <w:pStyle w:val="Heading2"/>
        <w:spacing w:after="150" w:before="300"/>
      </w:pPr>
      <w:r>
        <w:t xml:space="preserve">Appendix D — Deployment Evidence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shd w:fill="1F3864" w:val="clear"/>
            <w:tcMar>
              <w:top w:type="dxa" w:w="80"/>
              <w:left w:type="dxa" w:w="100"/>
              <w:bottom w:type="dxa" w:w="80"/>
              <w:right w:type="dxa" w:w="100"/>
            </w:tcMar>
          </w:tcPr>
          <w:p>
            <w:r>
              <w:rPr>
                <w:b/>
                <w:bCs/>
                <w:color w:val="FFFFFF"/>
                <w:sz w:val="20"/>
                <w:szCs w:val="20"/>
              </w:rPr>
              <w:t xml:space="preserve">Deployment</w:t>
            </w:r>
          </w:p>
        </w:tc>
        <w:tc>
          <w:tcPr>
            <w:tcW w:type="dxa" w:w="5200"/>
            <w:shd w:fill="1F3864" w:val="clear"/>
            <w:tcMar>
              <w:top w:type="dxa" w:w="80"/>
              <w:left w:type="dxa" w:w="100"/>
              <w:bottom w:type="dxa" w:w="80"/>
              <w:right w:type="dxa" w:w="100"/>
            </w:tcMar>
          </w:tcPr>
          <w:p>
            <w:r>
              <w:rPr>
                <w:b/>
                <w:bCs/>
                <w:color w:val="FFFFFF"/>
                <w:sz w:val="20"/>
                <w:szCs w:val="20"/>
              </w:rPr>
              <w:t xml:space="preserve">Migration File</w:t>
            </w:r>
          </w:p>
        </w:tc>
        <w:tc>
          <w:tcPr>
            <w:tcW w:type="dxa" w:w="1800"/>
            <w:shd w:fill="1F3864" w:val="clear"/>
            <w:tcMar>
              <w:top w:type="dxa" w:w="80"/>
              <w:left w:type="dxa" w:w="100"/>
              <w:bottom w:type="dxa" w:w="80"/>
              <w:right w:type="dxa" w:w="100"/>
            </w:tcMar>
          </w:tcPr>
          <w:p>
            <w:r>
              <w:rPr>
                <w:b/>
                <w:bCs/>
                <w:color w:val="FFFFFF"/>
                <w:sz w:val="20"/>
                <w:szCs w:val="20"/>
              </w:rPr>
              <w:t xml:space="preserve">SQL Editor Result</w:t>
            </w:r>
          </w:p>
        </w:tc>
        <w:tc>
          <w:tcPr>
            <w:tcW w:type="dxa" w:w="1800"/>
            <w:shd w:fill="1F3864" w:val="clear"/>
            <w:tcMar>
              <w:top w:type="dxa" w:w="80"/>
              <w:left w:type="dxa" w:w="100"/>
              <w:bottom w:type="dxa" w:w="80"/>
              <w:right w:type="dxa" w:w="100"/>
            </w:tcMar>
          </w:tcPr>
          <w:p>
            <w:r>
              <w:rPr>
                <w:b/>
                <w:bCs/>
                <w:color w:val="FFFFFF"/>
                <w:sz w:val="20"/>
                <w:szCs w:val="20"/>
              </w:rPr>
              <w:t xml:space="preserve">Certification</w:t>
            </w:r>
          </w:p>
        </w:tc>
      </w:tr>
      <w:tr>
        <w:tc>
          <w:tcPr>
            <w:tcW w:type="dxa" w:w="1200"/>
            <w:tcMar>
              <w:top w:type="dxa" w:w="80"/>
              <w:left w:type="dxa" w:w="100"/>
              <w:bottom w:type="dxa" w:w="80"/>
              <w:right w:type="dxa" w:w="100"/>
            </w:tcMar>
          </w:tcPr>
          <w:p>
            <w:r>
              <w:rPr>
                <w:b w:val="false"/>
                <w:bCs w:val="false"/>
                <w:sz w:val="20"/>
                <w:szCs w:val="20"/>
              </w:rPr>
              <w:t xml:space="preserve">1</w:t>
            </w:r>
          </w:p>
        </w:tc>
        <w:tc>
          <w:tcPr>
            <w:tcW w:type="dxa" w:w="5200"/>
            <w:tcMar>
              <w:top w:type="dxa" w:w="80"/>
              <w:left w:type="dxa" w:w="100"/>
              <w:bottom w:type="dxa" w:w="80"/>
              <w:right w:type="dxa" w:w="100"/>
            </w:tcMar>
          </w:tcPr>
          <w:p>
            <w:r>
              <w:rPr>
                <w:b w:val="false"/>
                <w:bCs w:val="false"/>
                <w:sz w:val="20"/>
                <w:szCs w:val="20"/>
              </w:rPr>
              <w:t xml:space="preserve">20260706000001_wp_p2_01_sim_enterprise_foundation.sql</w:t>
            </w:r>
          </w:p>
        </w:tc>
        <w:tc>
          <w:tcPr>
            <w:tcW w:type="dxa" w:w="1800"/>
            <w:tcMar>
              <w:top w:type="dxa" w:w="80"/>
              <w:left w:type="dxa" w:w="100"/>
              <w:bottom w:type="dxa" w:w="80"/>
              <w:right w:type="dxa" w:w="100"/>
            </w:tcMar>
          </w:tcPr>
          <w:p>
            <w:r>
              <w:rPr>
                <w:b w:val="false"/>
                <w:bCs w:val="false"/>
                <w:sz w:val="20"/>
                <w:szCs w:val="20"/>
              </w:rPr>
              <w:t xml:space="preserve">Success. No rows returned.</w:t>
            </w:r>
          </w:p>
        </w:tc>
        <w:tc>
          <w:tcPr>
            <w:tcW w:type="dxa" w:w="1800"/>
            <w:tcMar>
              <w:top w:type="dxa" w:w="80"/>
              <w:left w:type="dxa" w:w="100"/>
              <w:bottom w:type="dxa" w:w="80"/>
              <w:right w:type="dxa" w:w="100"/>
            </w:tcMar>
          </w:tcPr>
          <w:p>
            <w:r>
              <w:rPr>
                <w:b w:val="false"/>
                <w:bCs w:val="false"/>
                <w:sz w:val="20"/>
                <w:szCs w:val="20"/>
              </w:rPr>
              <w:t xml:space="preserve">CERTIFIED SUCCESSFUL</w:t>
            </w:r>
          </w:p>
        </w:tc>
      </w:tr>
      <w:tr>
        <w:tc>
          <w:tcPr>
            <w:tcW w:type="dxa" w:w="1200"/>
            <w:tcMar>
              <w:top w:type="dxa" w:w="80"/>
              <w:left w:type="dxa" w:w="100"/>
              <w:bottom w:type="dxa" w:w="80"/>
              <w:right w:type="dxa" w:w="100"/>
            </w:tcMar>
          </w:tcPr>
          <w:p>
            <w:r>
              <w:rPr>
                <w:b w:val="false"/>
                <w:bCs w:val="false"/>
                <w:sz w:val="20"/>
                <w:szCs w:val="20"/>
              </w:rPr>
              <w:t xml:space="preserve">2</w:t>
            </w:r>
          </w:p>
        </w:tc>
        <w:tc>
          <w:tcPr>
            <w:tcW w:type="dxa" w:w="5200"/>
            <w:tcMar>
              <w:top w:type="dxa" w:w="80"/>
              <w:left w:type="dxa" w:w="100"/>
              <w:bottom w:type="dxa" w:w="80"/>
              <w:right w:type="dxa" w:w="100"/>
            </w:tcMar>
          </w:tcPr>
          <w:p>
            <w:r>
              <w:rPr>
                <w:b w:val="false"/>
                <w:bCs w:val="false"/>
                <w:sz w:val="20"/>
                <w:szCs w:val="20"/>
              </w:rPr>
              <w:t xml:space="preserve">20260710000001_wp_0002_t102_sim_sources_rls.sql</w:t>
            </w:r>
          </w:p>
        </w:tc>
        <w:tc>
          <w:tcPr>
            <w:tcW w:type="dxa" w:w="1800"/>
            <w:tcMar>
              <w:top w:type="dxa" w:w="80"/>
              <w:left w:type="dxa" w:w="100"/>
              <w:bottom w:type="dxa" w:w="80"/>
              <w:right w:type="dxa" w:w="100"/>
            </w:tcMar>
          </w:tcPr>
          <w:p>
            <w:r>
              <w:rPr>
                <w:b w:val="false"/>
                <w:bCs w:val="false"/>
                <w:sz w:val="20"/>
                <w:szCs w:val="20"/>
              </w:rPr>
              <w:t xml:space="preserve">Success. No rows returned.</w:t>
            </w:r>
          </w:p>
        </w:tc>
        <w:tc>
          <w:tcPr>
            <w:tcW w:type="dxa" w:w="1800"/>
            <w:tcMar>
              <w:top w:type="dxa" w:w="80"/>
              <w:left w:type="dxa" w:w="100"/>
              <w:bottom w:type="dxa" w:w="80"/>
              <w:right w:type="dxa" w:w="100"/>
            </w:tcMar>
          </w:tcPr>
          <w:p>
            <w:r>
              <w:rPr>
                <w:b w:val="false"/>
                <w:bCs w:val="false"/>
                <w:sz w:val="20"/>
                <w:szCs w:val="20"/>
              </w:rPr>
              <w:t xml:space="preserve">CERTIFIED SUCCESSFUL</w:t>
            </w:r>
          </w:p>
        </w:tc>
      </w:tr>
    </w:tbl>
    <w:p>
      <w:pPr>
        <w:pStyle w:val="Heading2"/>
        <w:spacing w:after="150" w:before="300"/>
      </w:pPr>
      <w:r>
        <w:t xml:space="preserve">Appendix E — Future Engineering Recommendations</w:t>
      </w:r>
    </w:p>
    <w:p>
      <w:pPr>
        <w:pStyle w:val="ListParagraph"/>
        <w:numPr>
          <w:ilvl w:val="0"/>
          <w:numId w:val="1"/>
        </w:numPr>
        <w:spacing w:after="80"/>
      </w:pPr>
      <w:r>
        <w:t xml:space="preserve">Resolve DG-J-01 (ERP-02 Phase J "AP" identifier-naming inconsistency).</w:t>
      </w:r>
    </w:p>
    <w:p>
      <w:pPr>
        <w:pStyle w:val="ListParagraph"/>
        <w:numPr>
          <w:ilvl w:val="0"/>
          <w:numId w:val="1"/>
        </w:numPr>
        <w:spacing w:after="80"/>
      </w:pPr>
      <w:r>
        <w:t xml:space="preserve">Close WP-0002 residual findings G2–G5 and G9 with live-database confirmation before extending production-readiness claims beyond the SIM table family.</w:t>
      </w:r>
    </w:p>
    <w:p>
      <w:pPr>
        <w:pStyle w:val="ListParagraph"/>
        <w:numPr>
          <w:ilvl w:val="0"/>
          <w:numId w:val="1"/>
        </w:numPr>
        <w:spacing w:after="80"/>
      </w:pPr>
      <w:r>
        <w:t xml:space="preserve">Rotate all secrets identified in finding G6 (Supabase service-role key, AI-provider API keys, payment-provider secrets, internal service token) as a standalone, time-sensitive action.</w:t>
      </w:r>
    </w:p>
    <w:p>
      <w:pPr>
        <w:pStyle w:val="ListParagraph"/>
        <w:numPr>
          <w:ilvl w:val="0"/>
          <w:numId w:val="1"/>
        </w:numPr>
        <w:spacing w:after="80"/>
      </w:pPr>
      <w:r>
        <w:t xml:space="preserve">Add missing DROP ... IF EXISTS guards to the remaining unguarded CREATE POLICY / CREATE TRIGGER statements identified in the migration audit.</w:t>
      </w:r>
    </w:p>
    <w:p>
      <w:pPr>
        <w:pStyle w:val="ListParagraph"/>
        <w:numPr>
          <w:ilvl w:val="0"/>
          <w:numId w:val="1"/>
        </w:numPr>
        <w:spacing w:after="80"/>
      </w:pPr>
      <w:r>
        <w:t xml:space="preserve">Author rollback scripts for the 31 reconciled migrations and any newly deployed migrations that currently lack one.</w:t>
      </w:r>
    </w:p>
    <w:p>
      <w:pPr>
        <w:pStyle w:val="ListParagraph"/>
        <w:numPr>
          <w:ilvl w:val="0"/>
          <w:numId w:val="1"/>
        </w:numPr>
        <w:spacing w:after="80"/>
      </w:pPr>
      <w:r>
        <w:t xml:space="preserve">Verify migrations 20260526000007_phase1a_distributed_governance.sql and 20260608000001_intelligence_foundation_layer.sql through the same production-first pre-flight methodology before scheduling their deployment.</w:t>
      </w:r>
    </w:p>
    <w:p>
      <w:pPr>
        <w:pStyle w:val="ListParagraph"/>
        <w:numPr>
          <w:ilvl w:val="0"/>
          <w:numId w:val="1"/>
        </w:numPr>
        <w:spacing w:after="80"/>
      </w:pPr>
      <w:r>
        <w:t xml:space="preserve">Locate and version-control storage bucket / storage.objects RLS configuration (finding G9), currently unverifiable from the SQL migration set alone.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pPr>
    <w:rPr>
      <w:rFonts w:ascii="Calibri" w:cs="Calibri" w:eastAsia="Calibri" w:hAnsi="Calibri"/>
      <w:b/>
      <w:bCs/>
      <w:color w:val="1F3864"/>
      <w:sz w:val="30"/>
      <w:szCs w:val="30"/>
    </w:rPr>
  </w:style>
  <w:style w:type="paragraph" w:styleId="Heading2">
    <w:name w:val="Heading 2"/>
    <w:basedOn w:val="Normal"/>
    <w:next w:val="Normal"/>
    <w:qFormat/>
    <w:pPr>
      <w:spacing w:after="140" w:before="260"/>
    </w:pPr>
    <w:rPr>
      <w:rFonts w:ascii="Calibri" w:cs="Calibri" w:eastAsia="Calibri" w:hAnsi="Calibri"/>
      <w:b/>
      <w:bCs/>
      <w:color w:val="1F3864"/>
      <w:sz w:val="25"/>
      <w:szCs w:val="25"/>
    </w:rPr>
  </w:style>
  <w:style w:type="paragraph" w:styleId="Heading3">
    <w:name w:val="Heading 3"/>
    <w:basedOn w:val="Normal"/>
    <w:next w:val="Normal"/>
    <w:qFormat/>
    <w:pPr>
      <w:spacing w:after="100" w:before="200"/>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2026-07-10T20:46:50.734Z</dcterms:created>
  <dcterms:modified xsi:type="dcterms:W3CDTF">2026-07-10T20:46:50.749Z</dcterms:modified>
</cp:coreProperties>
</file>

<file path=docProps/custom.xml><?xml version="1.0" encoding="utf-8"?>
<Properties xmlns="http://schemas.openxmlformats.org/officeDocument/2006/custom-properties" xmlns:vt="http://schemas.openxmlformats.org/officeDocument/2006/docPropsVTypes"/>
</file>