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3864"/>
          <w:sz w:val="32"/>
          <w:szCs w:val="32"/>
        </w:rPr>
        <w:t xml:space="preserve">ERP-01 — Phase C</w:t>
      </w:r>
    </w:p>
    <w:p>
      <w:pPr>
        <w:spacing w:before="200"/>
        <w:jc w:val="center"/>
      </w:pPr>
      <w:r>
        <w:rPr>
          <w:b/>
          <w:bCs/>
          <w:color w:val="1F3864"/>
          <w:sz w:val="40"/>
          <w:szCs w:val="40"/>
        </w:rPr>
        <w:t xml:space="preserve">Section 10 — Executive Engineering Dashboard</w:t>
      </w:r>
    </w:p>
    <w:p>
      <w:pPr>
        <w:spacing w:before="300"/>
        <w:jc w:val="center"/>
      </w:pPr>
      <w:r>
        <w:rPr>
          <w:sz w:val="26"/>
          <w:szCs w:val="26"/>
        </w:rPr>
        <w:t xml:space="preserve">HireRise Career Intelligence Platform</w:t>
      </w:r>
    </w:p>
    <w:p>
      <w:pPr>
        <w:spacing w:before="100"/>
        <w:jc w:val="center"/>
      </w:pPr>
      <w:r>
        <w:rPr>
          <w:i/>
          <w:iCs/>
          <w:sz w:val="22"/>
          <w:szCs w:val="22"/>
        </w:rPr>
        <w:t xml:space="preserve">Enterprise Work Package Architecture &amp; Execution Planning</w:t>
      </w:r>
    </w:p>
    <w:p>
      <w:pPr>
        <w:spacing w:before="600"/>
        <w:jc w:val="center"/>
      </w:pPr>
      <w:r>
        <w:rPr>
          <w:sz w:val="20"/>
          <w:szCs w:val="20"/>
        </w:rPr>
        <w:t xml:space="preserve">Version 1.0  |  Status: DRAFT FOR REVIEW</w:t>
      </w:r>
    </w:p>
    <w:p>
      <w:pPr>
        <w:spacing w:before="100"/>
        <w:jc w:val="center"/>
      </w:pPr>
      <w:r>
        <w:rPr>
          <w:b/>
          <w:bCs/>
          <w:sz w:val="20"/>
          <w:szCs w:val="20"/>
        </w:rPr>
        <w:t xml:space="preserve">Authoritative Executive Engineering Dashboard Repository</w:t>
      </w:r>
    </w:p>
    <w:p>
      <w:pPr>
        <w:spacing w:before="100"/>
        <w:jc w:val="center"/>
      </w:pPr>
      <w:r>
        <w:rPr>
          <w:i/>
          <w:iCs/>
          <w:color w:val="7F7F7F"/>
          <w:sz w:val="18"/>
          <w:szCs w:val="18"/>
        </w:rPr>
        <w:t xml:space="preserve">Final Section of ERP-01 Phase C</w:t>
      </w:r>
    </w:p>
    <w:p>
      <w:r>
        <w:br w:type="page"/>
      </w:r>
    </w:p>
    <w:p>
      <w:pPr>
        <w:pStyle w:val="Heading1"/>
        <w:spacing w:after="200" w:before="400"/>
      </w:pPr>
      <w:r>
        <w:t xml:space="preserve">Approved Enterprise Baseline</w:t>
      </w:r>
    </w:p>
    <w:p>
      <w:pPr>
        <w:spacing w:after="150"/>
      </w:pPr>
      <w:r>
        <w:t xml:space="preserve">This document is Section 10 — the final section — of ERP-01 Phase C. It performs no new architecture redesign, engineering redesign, implementation planning, governance redesign, repository discovery, Work Package creation, risk reassessment, acceptance reassessment, or certification reassessment. It is a consolidated reporting repository only, drawing exclusively on:</w:t>
      </w:r>
    </w:p>
    <w:p>
      <w:pPr>
        <w:pStyle w:val="ListParagraph"/>
        <w:numPr>
          <w:ilvl w:val="0"/>
          <w:numId w:val="1"/>
        </w:numPr>
        <w:spacing w:after="80"/>
      </w:pPr>
      <w:r>
        <w:t xml:space="preserve">ERP-01 Phase A.1 — Enterprise Physical Data Model Realization Assessment</w:t>
      </w:r>
    </w:p>
    <w:p>
      <w:pPr>
        <w:pStyle w:val="ListParagraph"/>
        <w:numPr>
          <w:ilvl w:val="0"/>
          <w:numId w:val="1"/>
        </w:numPr>
        <w:spacing w:after="80"/>
      </w:pPr>
      <w:r>
        <w:t xml:space="preserve">ERP-01 Phase A.2 — Enterprise Architecture Governance &amp; Disposition Assessment</w:t>
      </w:r>
    </w:p>
    <w:p>
      <w:pPr>
        <w:pStyle w:val="ListParagraph"/>
        <w:numPr>
          <w:ilvl w:val="0"/>
          <w:numId w:val="1"/>
        </w:numPr>
        <w:spacing w:after="80"/>
      </w:pPr>
      <w:r>
        <w:t xml:space="preserve">ERP-01 Phase A.3 — Enterprise Architecture Baseline &amp; Resolution Repository</w:t>
      </w:r>
    </w:p>
    <w:p>
      <w:pPr>
        <w:pStyle w:val="ListParagraph"/>
        <w:numPr>
          <w:ilvl w:val="0"/>
          <w:numId w:val="1"/>
        </w:numPr>
        <w:spacing w:after="80"/>
      </w:pPr>
      <w:r>
        <w:t xml:space="preserve">ERP-01 Phase B — Enterprise Architecture Realization Roadmap &amp; Portfolio Plan</w:t>
      </w:r>
    </w:p>
    <w:p>
      <w:pPr>
        <w:pStyle w:val="ListParagraph"/>
        <w:numPr>
          <w:ilvl w:val="0"/>
          <w:numId w:val="1"/>
        </w:numPr>
        <w:spacing w:after="80"/>
      </w:pPr>
      <w:r>
        <w:t xml:space="preserve">ERP-01 Phase C — Section 1 — Enterprise Work Package Execution Strategy</w:t>
      </w:r>
    </w:p>
    <w:p>
      <w:pPr>
        <w:pStyle w:val="ListParagraph"/>
        <w:numPr>
          <w:ilvl w:val="0"/>
          <w:numId w:val="1"/>
        </w:numPr>
        <w:spacing w:after="80"/>
      </w:pPr>
      <w:r>
        <w:t xml:space="preserve">ERP-01 Phase C — Section 2 — Enterprise Work Package Engineering Catalog</w:t>
      </w:r>
    </w:p>
    <w:p>
      <w:pPr>
        <w:pStyle w:val="ListParagraph"/>
        <w:numPr>
          <w:ilvl w:val="0"/>
          <w:numId w:val="1"/>
        </w:numPr>
        <w:spacing w:after="80"/>
      </w:pPr>
      <w:r>
        <w:t xml:space="preserve">ERP-01 Phase C — Section 3 — Repository Impact Assessment</w:t>
      </w:r>
    </w:p>
    <w:p>
      <w:pPr>
        <w:pStyle w:val="ListParagraph"/>
        <w:numPr>
          <w:ilvl w:val="0"/>
          <w:numId w:val="1"/>
        </w:numPr>
        <w:spacing w:after="80"/>
      </w:pPr>
      <w:r>
        <w:t xml:space="preserve">ERP-01 Phase C — Section 4 — Engineering Design Specification</w:t>
      </w:r>
    </w:p>
    <w:p>
      <w:pPr>
        <w:pStyle w:val="ListParagraph"/>
        <w:numPr>
          <w:ilvl w:val="0"/>
          <w:numId w:val="1"/>
        </w:numPr>
        <w:spacing w:after="80"/>
      </w:pPr>
      <w:r>
        <w:t xml:space="preserve">ERP-01 Phase C — Section 5 — Implementation Blueprint</w:t>
      </w:r>
    </w:p>
    <w:p>
      <w:pPr>
        <w:pStyle w:val="ListParagraph"/>
        <w:numPr>
          <w:ilvl w:val="0"/>
          <w:numId w:val="1"/>
        </w:numPr>
        <w:spacing w:after="80"/>
      </w:pPr>
      <w:r>
        <w:t xml:space="preserve">ERP-01 Phase C — Section 6 — Architecture Conformance Plan</w:t>
      </w:r>
    </w:p>
    <w:p>
      <w:pPr>
        <w:pStyle w:val="ListParagraph"/>
        <w:numPr>
          <w:ilvl w:val="0"/>
          <w:numId w:val="1"/>
        </w:numPr>
        <w:spacing w:after="80"/>
      </w:pPr>
      <w:r>
        <w:t xml:space="preserve">ERP-01 Phase C — Section 7 — Enterprise Testing &amp; Verification Strategy</w:t>
      </w:r>
    </w:p>
    <w:p>
      <w:pPr>
        <w:pStyle w:val="ListParagraph"/>
        <w:numPr>
          <w:ilvl w:val="0"/>
          <w:numId w:val="1"/>
        </w:numPr>
        <w:spacing w:after="80"/>
      </w:pPr>
      <w:r>
        <w:t xml:space="preserve">ERP-01 Phase C — Section 8 — Enterprise Risk-Control Matrix</w:t>
      </w:r>
    </w:p>
    <w:p>
      <w:pPr>
        <w:pStyle w:val="ListParagraph"/>
        <w:numPr>
          <w:ilvl w:val="0"/>
          <w:numId w:val="1"/>
        </w:numPr>
        <w:spacing w:after="80"/>
      </w:pPr>
      <w:r>
        <w:t xml:space="preserve">ERP-01 Phase C — Section 9 — Enterprise Engineering Acceptance Criteria</w:t>
      </w:r>
    </w:p>
    <w:p>
      <w:pPr>
        <w:pStyle w:val="Heading2"/>
        <w:spacing w:after="150" w:before="300"/>
      </w:pPr>
      <w:r>
        <w:t xml:space="preserve">Evidence-First Principle</w:t>
      </w:r>
    </w:p>
    <w:p>
      <w:pPr>
        <w:spacing w:after="150"/>
      </w:pPr>
      <w:r>
        <w:t xml:space="preserve">Every dashboard metric below is derived directly from approved evidence in the repositories listed above. No new Work Package, Architecture Requirement, Enterprise Governance Decision, Enterprise Resolution, Variance, KPI, repository, engineering metric, readiness score, executive authority, or certification level is introduced. Where information is absent from the approved baseline, this document states “Not Evidenced in Current Baseline.” Where reporting depends on an unrealized portfolio or a future ERP-01 phase, this document states “Reserved for Future Realization Phases.”</w:t>
      </w:r>
    </w:p>
    <w:p>
      <w:pPr>
        <w:pStyle w:val="Heading1"/>
        <w:spacing w:after="200" w:before="400"/>
      </w:pPr>
      <w:r>
        <w:t xml:space="preserve">1. Executive Overview</w:t>
      </w:r>
    </w:p>
    <w:p>
      <w:pPr>
        <w:pStyle w:val="Heading2"/>
        <w:spacing w:after="150" w:before="300"/>
      </w:pPr>
      <w:r>
        <w:t xml:space="preserve">Purpose</w:t>
      </w:r>
    </w:p>
    <w:p>
      <w:pPr>
        <w:spacing w:after="150"/>
      </w:pPr>
      <w:r>
        <w:t xml:space="preserve">This Executive Engineering Dashboard is the consolidated, executive-level view of the Enterprise Architecture Realization Program for the HireRise Career Intelligence Platform. It answers one question: based on all approved evidence, what is the current enterprise engineering readiness and realization status? It introduces no new engineering, governance, verification, risk, or acceptance content — it consolidates what Sections 1–9 and the Phase A/B baseline already established.</w:t>
      </w:r>
    </w:p>
    <w:p>
      <w:pPr>
        <w:pStyle w:val="Heading2"/>
        <w:spacing w:after="150" w:before="300"/>
      </w:pPr>
      <w:r>
        <w:t xml:space="preserve">Relationship with Sections 1–9</w:t>
      </w:r>
    </w:p>
    <w:p>
      <w:pPr>
        <w:spacing w:after="150"/>
      </w:pPr>
      <w:r>
        <w:t xml:space="preserve">Section 1 established execution strategy and principles. Section 2 catalogued the six approved Work Packages. Section 3 assessed repository impact. Sections 4–5 defined engineering design and implementation blueprints. Section 6 established architecture conformance. Section 7 established testing and verification strategy. Section 8 established the risk-control matrix. Section 9 established formal engineering acceptance criteria. This dashboard sits above all nine, reporting their findings without re-deriving, reinterpreting, or expanding any of them.</w:t>
      </w:r>
    </w:p>
    <w:p>
      <w:pPr>
        <w:pStyle w:val="Heading2"/>
        <w:spacing w:after="150" w:before="300"/>
      </w:pPr>
      <w:r>
        <w:t xml:space="preserve">Executive Reporting Objectives</w:t>
      </w:r>
    </w:p>
    <w:p>
      <w:pPr>
        <w:pStyle w:val="ListParagraph"/>
        <w:numPr>
          <w:ilvl w:val="0"/>
          <w:numId w:val="1"/>
        </w:numPr>
        <w:spacing w:after="80"/>
      </w:pPr>
      <w:r>
        <w:t xml:space="preserve">Present a single consolidated status view spanning architecture, repository, engineering, governance, verification, risk, acceptance, and certification dimensions.</w:t>
      </w:r>
    </w:p>
    <w:p>
      <w:pPr>
        <w:pStyle w:val="ListParagraph"/>
        <w:numPr>
          <w:ilvl w:val="0"/>
          <w:numId w:val="1"/>
        </w:numPr>
        <w:spacing w:after="80"/>
      </w:pPr>
      <w:r>
        <w:t xml:space="preserve">Preserve complete traceability to the section that is the source of record for every figure reported.</w:t>
      </w:r>
    </w:p>
    <w:p>
      <w:pPr>
        <w:pStyle w:val="ListParagraph"/>
        <w:numPr>
          <w:ilvl w:val="0"/>
          <w:numId w:val="1"/>
        </w:numPr>
        <w:spacing w:after="80"/>
      </w:pPr>
      <w:r>
        <w:t xml:space="preserve">Distinguish clearly between actual implementation status, planned implementation, deferred realization, and reserved future realization.</w:t>
      </w:r>
    </w:p>
    <w:p>
      <w:pPr>
        <w:pStyle w:val="ListParagraph"/>
        <w:numPr>
          <w:ilvl w:val="0"/>
          <w:numId w:val="1"/>
        </w:numPr>
        <w:spacing w:after="80"/>
      </w:pPr>
      <w:r>
        <w:t xml:space="preserve">Provide the Executive Sponsor / Governance Board (Phase B §9) with a decision-ready view of what to act on next.</w:t>
      </w:r>
    </w:p>
    <w:p>
      <w:pPr>
        <w:pStyle w:val="Heading2"/>
        <w:spacing w:after="150" w:before="300"/>
      </w:pPr>
      <w:r>
        <w:t xml:space="preserve">Scope</w:t>
      </w:r>
    </w:p>
    <w:p>
      <w:pPr>
        <w:spacing w:after="150"/>
      </w:pPr>
      <w:r>
        <w:t xml:space="preserve">This dashboard reports only on the approved realization scope: WP-0001 through WP-0006, within Portfolios 1 (Enterprise Data Platform), 2 (Enterprise Security), and 8 (Governance &amp; Quality). Reserved Portfolios 3–7 and Waves 4–5 are reported only to confirm their reserved status — no engineering, readiness, or risk content is asserted for them.</w:t>
      </w:r>
    </w:p>
    <w:p>
      <w:pPr>
        <w:pStyle w:val="Heading2"/>
        <w:spacing w:after="150" w:before="300"/>
      </w:pPr>
      <w:r>
        <w:t xml:space="preserve">Evidence Limitations</w:t>
      </w:r>
    </w:p>
    <w:p>
      <w:pPr>
        <w:spacing w:after="150"/>
      </w:pPr>
      <w:r>
        <w:t xml:space="preserve">A formally chartered Enterprise Architecture Board, a dedicated PMO reporting function, a standing executive dashboard tool or BI system, and a defined dashboard refresh cadence beyond the per-ERP-phase and quarterly-trigger cadences already established (Phase A.3 §10; Section 1 §“Conformance reviews”) are Not Evidenced in Current Baseline. This document does not invent them.</w:t>
      </w:r>
    </w:p>
    <w:p>
      <w:pPr>
        <w:pStyle w:val="Heading2"/>
        <w:spacing w:after="150" w:before="300"/>
      </w:pPr>
      <w:r>
        <w:t xml:space="preserve">Guiding Principles</w:t>
      </w:r>
    </w:p>
    <w:p>
      <w:pPr>
        <w:spacing w:after="150"/>
      </w:pPr>
      <w:r>
        <w:t xml:space="preserve">This dashboard inherits, without modification, the nine permanent Enterprise Architecture Principles (AP-001–AP-009) established in Phase A.3 §2 and consistently applied across Sections 1–9. No new principle is introduced.</w:t>
      </w:r>
    </w:p>
    <w:p>
      <w:pPr>
        <w:pStyle w:val="Heading1"/>
        <w:spacing w:after="200" w:before="400"/>
      </w:pPr>
      <w:r>
        <w:t xml:space="preserve">2. Enterprise Engineering Status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5850"/>
        <w:gridCol w:w="1700"/>
      </w:tblGrid>
      <w:tr>
        <w:trPr>
          <w:tblHeader/>
        </w:trPr>
        <w:tc>
          <w:tcPr>
            <w:tcW w:type="dxa" w:w="1800"/>
            <w:shd w:fill="1F3864" w:val="clear"/>
            <w:vAlign w:val="center"/>
          </w:tcPr>
          <w:p>
            <w:r>
              <w:rPr>
                <w:b/>
                <w:bCs/>
                <w:color w:val="FFFFFF"/>
                <w:sz w:val="17"/>
                <w:szCs w:val="17"/>
              </w:rPr>
              <w:t xml:space="preserve">Dimension</w:t>
            </w:r>
          </w:p>
        </w:tc>
        <w:tc>
          <w:tcPr>
            <w:tcW w:type="dxa" w:w="5850"/>
            <w:shd w:fill="1F3864" w:val="clear"/>
            <w:vAlign w:val="center"/>
          </w:tcPr>
          <w:p>
            <w:r>
              <w:rPr>
                <w:b/>
                <w:bCs/>
                <w:color w:val="FFFFFF"/>
                <w:sz w:val="17"/>
                <w:szCs w:val="17"/>
              </w:rPr>
              <w:t xml:space="preserve">Status</w:t>
            </w:r>
          </w:p>
        </w:tc>
        <w:tc>
          <w:tcPr>
            <w:tcW w:type="dxa" w:w="1700"/>
            <w:shd w:fill="1F3864" w:val="clear"/>
            <w:vAlign w:val="center"/>
          </w:tcPr>
          <w:p>
            <w:r>
              <w:rPr>
                <w:b/>
                <w:bCs/>
                <w:color w:val="FFFFFF"/>
                <w:sz w:val="17"/>
                <w:szCs w:val="17"/>
              </w:rPr>
              <w:t xml:space="preserve">Source</w:t>
            </w:r>
          </w:p>
        </w:tc>
      </w:tr>
      <w:tr>
        <w:tc>
          <w:tcPr>
            <w:tcW w:type="dxa" w:w="1800"/>
            <w:vAlign w:val="center"/>
          </w:tcPr>
          <w:p>
            <w:r>
              <w:rPr>
                <w:b w:val="false"/>
                <w:bCs w:val="false"/>
                <w:color w:val="000000"/>
                <w:sz w:val="17"/>
                <w:szCs w:val="17"/>
              </w:rPr>
              <w:t xml:space="preserve">Architecture execution</w:t>
            </w:r>
          </w:p>
        </w:tc>
        <w:tc>
          <w:tcPr>
            <w:tcW w:type="dxa" w:w="5850"/>
            <w:vAlign w:val="center"/>
          </w:tcPr>
          <w:p>
            <w:r>
              <w:rPr>
                <w:b w:val="false"/>
                <w:bCs w:val="false"/>
                <w:color w:val="000000"/>
                <w:sz w:val="17"/>
                <w:szCs w:val="17"/>
              </w:rPr>
              <w:t xml:space="preserve">L1–L3 MET (Phase A.3 §11); L4 NOT MET pending WP-0001, WP-0002 execution.</w:t>
            </w:r>
          </w:p>
        </w:tc>
        <w:tc>
          <w:tcPr>
            <w:tcW w:type="dxa" w:w="1700"/>
            <w:vAlign w:val="center"/>
          </w:tcPr>
          <w:p>
            <w:r>
              <w:rPr>
                <w:b w:val="false"/>
                <w:bCs w:val="false"/>
                <w:color w:val="000000"/>
                <w:sz w:val="17"/>
                <w:szCs w:val="17"/>
              </w:rPr>
              <w:t xml:space="preserve">Phase A.3 §11</w:t>
            </w:r>
          </w:p>
        </w:tc>
      </w:tr>
      <w:tr>
        <w:tc>
          <w:tcPr>
            <w:tcW w:type="dxa" w:w="1800"/>
            <w:shd w:fill="F2F2F2" w:val="clear"/>
            <w:vAlign w:val="center"/>
          </w:tcPr>
          <w:p>
            <w:r>
              <w:rPr>
                <w:b w:val="false"/>
                <w:bCs w:val="false"/>
                <w:color w:val="000000"/>
                <w:sz w:val="17"/>
                <w:szCs w:val="17"/>
              </w:rPr>
              <w:t xml:space="preserve">Repository execution</w:t>
            </w:r>
          </w:p>
        </w:tc>
        <w:tc>
          <w:tcPr>
            <w:tcW w:type="dxa" w:w="5850"/>
            <w:shd w:fill="F2F2F2" w:val="clear"/>
            <w:vAlign w:val="center"/>
          </w:tcPr>
          <w:p>
            <w:r>
              <w:rPr>
                <w:b w:val="false"/>
                <w:bCs w:val="false"/>
                <w:color w:val="000000"/>
                <w:sz w:val="17"/>
                <w:szCs w:val="17"/>
              </w:rPr>
              <w:t xml:space="preserve">0 of 6 Work Packages executed (Phase B §12); impact scoped to Documentation, Database, and Test repositories only.</w:t>
            </w:r>
          </w:p>
        </w:tc>
        <w:tc>
          <w:tcPr>
            <w:tcW w:type="dxa" w:w="1700"/>
            <w:shd w:fill="F2F2F2" w:val="clear"/>
            <w:vAlign w:val="center"/>
          </w:tcPr>
          <w:p>
            <w:r>
              <w:rPr>
                <w:b w:val="false"/>
                <w:bCs w:val="false"/>
                <w:color w:val="000000"/>
                <w:sz w:val="17"/>
                <w:szCs w:val="17"/>
              </w:rPr>
              <w:t xml:space="preserve">Section 3; Phase B §12</w:t>
            </w:r>
          </w:p>
        </w:tc>
      </w:tr>
      <w:tr>
        <w:tc>
          <w:tcPr>
            <w:tcW w:type="dxa" w:w="1800"/>
            <w:vAlign w:val="center"/>
          </w:tcPr>
          <w:p>
            <w:r>
              <w:rPr>
                <w:b w:val="false"/>
                <w:bCs w:val="false"/>
                <w:color w:val="000000"/>
                <w:sz w:val="17"/>
                <w:szCs w:val="17"/>
              </w:rPr>
              <w:t xml:space="preserve">Engineering execution</w:t>
            </w:r>
          </w:p>
        </w:tc>
        <w:tc>
          <w:tcPr>
            <w:tcW w:type="dxa" w:w="5850"/>
            <w:vAlign w:val="center"/>
          </w:tcPr>
          <w:p>
            <w:r>
              <w:rPr>
                <w:b w:val="false"/>
                <w:bCs w:val="false"/>
                <w:color w:val="000000"/>
                <w:sz w:val="17"/>
                <w:szCs w:val="17"/>
              </w:rPr>
              <w:t xml:space="preserve">Engineering Design (Section 4) and Implementation Blueprint (Section 5) complete for all six Work Packages; 0 executed.</w:t>
            </w:r>
          </w:p>
        </w:tc>
        <w:tc>
          <w:tcPr>
            <w:tcW w:type="dxa" w:w="1700"/>
            <w:vAlign w:val="center"/>
          </w:tcPr>
          <w:p>
            <w:r>
              <w:rPr>
                <w:b w:val="false"/>
                <w:bCs w:val="false"/>
                <w:color w:val="000000"/>
                <w:sz w:val="17"/>
                <w:szCs w:val="17"/>
              </w:rPr>
              <w:t xml:space="preserve">Section 4; Section 5</w:t>
            </w:r>
          </w:p>
        </w:tc>
      </w:tr>
      <w:tr>
        <w:tc>
          <w:tcPr>
            <w:tcW w:type="dxa" w:w="1800"/>
            <w:shd w:fill="F2F2F2" w:val="clear"/>
            <w:vAlign w:val="center"/>
          </w:tcPr>
          <w:p>
            <w:r>
              <w:rPr>
                <w:b w:val="false"/>
                <w:bCs w:val="false"/>
                <w:color w:val="000000"/>
                <w:sz w:val="17"/>
                <w:szCs w:val="17"/>
              </w:rPr>
              <w:t xml:space="preserve">Governance execution</w:t>
            </w:r>
          </w:p>
        </w:tc>
        <w:tc>
          <w:tcPr>
            <w:tcW w:type="dxa" w:w="5850"/>
            <w:shd w:fill="F2F2F2" w:val="clear"/>
            <w:vAlign w:val="center"/>
          </w:tcPr>
          <w:p>
            <w:r>
              <w:rPr>
                <w:b w:val="false"/>
                <w:bCs w:val="false"/>
                <w:color w:val="000000"/>
                <w:sz w:val="17"/>
                <w:szCs w:val="17"/>
              </w:rPr>
              <w:t xml:space="preserve">All 9 EGDs dispositioned (Phase A.3 §4); KPI-08 Ownership Assignment % = 0% — the single cross-cutting governance gap.</w:t>
            </w:r>
          </w:p>
        </w:tc>
        <w:tc>
          <w:tcPr>
            <w:tcW w:type="dxa" w:w="1700"/>
            <w:shd w:fill="F2F2F2" w:val="clear"/>
            <w:vAlign w:val="center"/>
          </w:tcPr>
          <w:p>
            <w:r>
              <w:rPr>
                <w:b w:val="false"/>
                <w:bCs w:val="false"/>
                <w:color w:val="000000"/>
                <w:sz w:val="17"/>
                <w:szCs w:val="17"/>
              </w:rPr>
              <w:t xml:space="preserve">Phase A.3 §4, §10</w:t>
            </w:r>
          </w:p>
        </w:tc>
      </w:tr>
      <w:tr>
        <w:tc>
          <w:tcPr>
            <w:tcW w:type="dxa" w:w="1800"/>
            <w:vAlign w:val="center"/>
          </w:tcPr>
          <w:p>
            <w:r>
              <w:rPr>
                <w:b w:val="false"/>
                <w:bCs w:val="false"/>
                <w:color w:val="000000"/>
                <w:sz w:val="17"/>
                <w:szCs w:val="17"/>
              </w:rPr>
              <w:t xml:space="preserve">Verification execution</w:t>
            </w:r>
          </w:p>
        </w:tc>
        <w:tc>
          <w:tcPr>
            <w:tcW w:type="dxa" w:w="5850"/>
            <w:vAlign w:val="center"/>
          </w:tcPr>
          <w:p>
            <w:r>
              <w:rPr>
                <w:b w:val="false"/>
                <w:bCs w:val="false"/>
                <w:color w:val="000000"/>
                <w:sz w:val="17"/>
                <w:szCs w:val="17"/>
              </w:rPr>
              <w:t xml:space="preserve">All six verification methods fully specified (Section 7 §4); none yet executed.</w:t>
            </w:r>
          </w:p>
        </w:tc>
        <w:tc>
          <w:tcPr>
            <w:tcW w:type="dxa" w:w="1700"/>
            <w:vAlign w:val="center"/>
          </w:tcPr>
          <w:p>
            <w:r>
              <w:rPr>
                <w:b w:val="false"/>
                <w:bCs w:val="false"/>
                <w:color w:val="000000"/>
                <w:sz w:val="17"/>
                <w:szCs w:val="17"/>
              </w:rPr>
              <w:t xml:space="preserve">Section 7 §4</w:t>
            </w:r>
          </w:p>
        </w:tc>
      </w:tr>
      <w:tr>
        <w:tc>
          <w:tcPr>
            <w:tcW w:type="dxa" w:w="1800"/>
            <w:shd w:fill="F2F2F2" w:val="clear"/>
            <w:vAlign w:val="center"/>
          </w:tcPr>
          <w:p>
            <w:r>
              <w:rPr>
                <w:b w:val="false"/>
                <w:bCs w:val="false"/>
                <w:color w:val="000000"/>
                <w:sz w:val="17"/>
                <w:szCs w:val="17"/>
              </w:rPr>
              <w:t xml:space="preserve">Risk status</w:t>
            </w:r>
          </w:p>
        </w:tc>
        <w:tc>
          <w:tcPr>
            <w:tcW w:type="dxa" w:w="5850"/>
            <w:shd w:fill="F2F2F2" w:val="clear"/>
            <w:vAlign w:val="center"/>
          </w:tcPr>
          <w:p>
            <w:r>
              <w:rPr>
                <w:b w:val="false"/>
                <w:bCs w:val="false"/>
                <w:color w:val="000000"/>
                <w:sz w:val="17"/>
                <w:szCs w:val="17"/>
              </w:rPr>
              <w:t xml:space="preserve">2 High-rated risks (documentation drift — WP-0001; unverified RLS — WP-0002); 1 Critical governance risk (unassigned ownership — WP-0006); all have an assigned, ready Work Package.</w:t>
            </w:r>
          </w:p>
        </w:tc>
        <w:tc>
          <w:tcPr>
            <w:tcW w:type="dxa" w:w="1700"/>
            <w:shd w:fill="F2F2F2" w:val="clear"/>
            <w:vAlign w:val="center"/>
          </w:tcPr>
          <w:p>
            <w:r>
              <w:rPr>
                <w:b w:val="false"/>
                <w:bCs w:val="false"/>
                <w:color w:val="000000"/>
                <w:sz w:val="17"/>
                <w:szCs w:val="17"/>
              </w:rPr>
              <w:t xml:space="preserve">Section 8 §“Overall realization risk posture”</w:t>
            </w:r>
          </w:p>
        </w:tc>
      </w:tr>
      <w:tr>
        <w:tc>
          <w:tcPr>
            <w:tcW w:type="dxa" w:w="1800"/>
            <w:vAlign w:val="center"/>
          </w:tcPr>
          <w:p>
            <w:r>
              <w:rPr>
                <w:b w:val="false"/>
                <w:bCs w:val="false"/>
                <w:color w:val="000000"/>
                <w:sz w:val="17"/>
                <w:szCs w:val="17"/>
              </w:rPr>
              <w:t xml:space="preserve">Acceptance status</w:t>
            </w:r>
          </w:p>
        </w:tc>
        <w:tc>
          <w:tcPr>
            <w:tcW w:type="dxa" w:w="5850"/>
            <w:vAlign w:val="center"/>
          </w:tcPr>
          <w:p>
            <w:r>
              <w:rPr>
                <w:b w:val="false"/>
                <w:bCs w:val="false"/>
                <w:color w:val="000000"/>
                <w:sz w:val="17"/>
                <w:szCs w:val="17"/>
              </w:rPr>
              <w:t xml:space="preserve">0 of 6 Work Packages formally accepted; acceptance criteria fully defined for all six (Section 9 §4).</w:t>
            </w:r>
          </w:p>
        </w:tc>
        <w:tc>
          <w:tcPr>
            <w:tcW w:type="dxa" w:w="1700"/>
            <w:vAlign w:val="center"/>
          </w:tcPr>
          <w:p>
            <w:r>
              <w:rPr>
                <w:b w:val="false"/>
                <w:bCs w:val="false"/>
                <w:color w:val="000000"/>
                <w:sz w:val="17"/>
                <w:szCs w:val="17"/>
              </w:rPr>
              <w:t xml:space="preserve">Section 9 §5, §9</w:t>
            </w:r>
          </w:p>
        </w:tc>
      </w:tr>
      <w:tr>
        <w:tc>
          <w:tcPr>
            <w:tcW w:type="dxa" w:w="1800"/>
            <w:shd w:fill="F2F2F2" w:val="clear"/>
            <w:vAlign w:val="center"/>
          </w:tcPr>
          <w:p>
            <w:r>
              <w:rPr>
                <w:b w:val="false"/>
                <w:bCs w:val="false"/>
                <w:color w:val="000000"/>
                <w:sz w:val="17"/>
                <w:szCs w:val="17"/>
              </w:rPr>
              <w:t xml:space="preserve">Certification status</w:t>
            </w:r>
          </w:p>
        </w:tc>
        <w:tc>
          <w:tcPr>
            <w:tcW w:type="dxa" w:w="5850"/>
            <w:shd w:fill="F2F2F2" w:val="clear"/>
            <w:vAlign w:val="center"/>
          </w:tcPr>
          <w:p>
            <w:r>
              <w:rPr>
                <w:b w:val="false"/>
                <w:bCs w:val="false"/>
                <w:color w:val="000000"/>
                <w:sz w:val="17"/>
                <w:szCs w:val="17"/>
              </w:rPr>
              <w:t xml:space="preserve">L3 (Implementation Traceable) MET; L4 (Implementation Verified) NOT MET; L5 (Architecture Certified) NOT MET.</w:t>
            </w:r>
          </w:p>
        </w:tc>
        <w:tc>
          <w:tcPr>
            <w:tcW w:type="dxa" w:w="1700"/>
            <w:shd w:fill="F2F2F2" w:val="clear"/>
            <w:vAlign w:val="center"/>
          </w:tcPr>
          <w:p>
            <w:r>
              <w:rPr>
                <w:b w:val="false"/>
                <w:bCs w:val="false"/>
                <w:color w:val="000000"/>
                <w:sz w:val="17"/>
                <w:szCs w:val="17"/>
              </w:rPr>
              <w:t xml:space="preserve">Phase A.3 §11</w:t>
            </w:r>
          </w:p>
        </w:tc>
      </w:tr>
    </w:tbl>
    <w:p>
      <w:pPr>
        <w:pStyle w:val="Heading2"/>
        <w:spacing w:after="150" w:before="300"/>
      </w:pPr>
      <w:r>
        <w:t xml:space="preserve">Overall Realization Posture</w:t>
      </w:r>
    </w:p>
    <w:p>
      <w:pPr>
        <w:spacing w:after="150"/>
      </w:pPr>
      <w:r>
        <w:t xml:space="preserve">READY WITH CONDITIONS. The enterprise architecture baseline is established (L1–L3 met), fully dispositioned (zero undispositioned governance gaps), and fully engineered (Sections 2–5 complete for all six Work Packages), but zero of six Work Packages have been executed, verified, or accepted as of this dashboard. The single condition recurring across every dimension above — architecture, governance, verification, and acceptance alike — is that named, accountable ownership (KPI-08 = 0%) has not yet been assigned. This finding is unchanged from Phase A.3 §15 through Section 9 §9 and is not re-derived here; it is reported.</w:t>
      </w:r>
    </w:p>
    <w:p>
      <w:pPr>
        <w:pStyle w:val="Heading1"/>
        <w:spacing w:after="200" w:before="400"/>
      </w:pPr>
      <w:r>
        <w:t xml:space="preserve">3. Executive Work Package Dashboard</w:t>
      </w:r>
    </w:p>
    <w:p>
      <w:pPr>
        <w:spacing w:after="150"/>
      </w:pPr>
      <w:r>
        <w:t xml:space="preserve">All statuses below are reused verbatim from Section 2 (Engineering Catalog), Section 6 §4 (Conformance), Section 7 §4 (Verification), Section 8 (Risk), and Section 9 §5, §9 (Acceptance). No status is newly assigned.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6"/>
        <w:gridCol w:w="1408"/>
        <w:gridCol w:w="469"/>
        <w:gridCol w:w="503"/>
        <w:gridCol w:w="503"/>
        <w:gridCol w:w="402"/>
        <w:gridCol w:w="905"/>
        <w:gridCol w:w="603"/>
        <w:gridCol w:w="704"/>
        <w:gridCol w:w="637"/>
        <w:gridCol w:w="737"/>
        <w:gridCol w:w="704"/>
        <w:gridCol w:w="804"/>
        <w:gridCol w:w="535"/>
      </w:tblGrid>
      <w:tr>
        <w:trPr>
          <w:tblHeader/>
        </w:trPr>
        <w:tc>
          <w:tcPr>
            <w:tcW w:type="dxa" w:w="436"/>
            <w:shd w:fill="1F3864" w:val="clear"/>
            <w:vAlign w:val="center"/>
          </w:tcPr>
          <w:p>
            <w:r>
              <w:rPr>
                <w:b/>
                <w:bCs/>
                <w:color w:val="FFFFFF"/>
                <w:sz w:val="17"/>
                <w:szCs w:val="17"/>
              </w:rPr>
              <w:t xml:space="preserve">WP</w:t>
            </w:r>
          </w:p>
        </w:tc>
        <w:tc>
          <w:tcPr>
            <w:tcW w:type="dxa" w:w="1408"/>
            <w:shd w:fill="1F3864" w:val="clear"/>
            <w:vAlign w:val="center"/>
          </w:tcPr>
          <w:p>
            <w:r>
              <w:rPr>
                <w:b/>
                <w:bCs/>
                <w:color w:val="FFFFFF"/>
                <w:sz w:val="17"/>
                <w:szCs w:val="17"/>
              </w:rPr>
              <w:t xml:space="preserve">Title</w:t>
            </w:r>
          </w:p>
        </w:tc>
        <w:tc>
          <w:tcPr>
            <w:tcW w:type="dxa" w:w="469"/>
            <w:shd w:fill="1F3864" w:val="clear"/>
            <w:vAlign w:val="center"/>
          </w:tcPr>
          <w:p>
            <w:r>
              <w:rPr>
                <w:b/>
                <w:bCs/>
                <w:color w:val="FFFFFF"/>
                <w:sz w:val="17"/>
                <w:szCs w:val="17"/>
              </w:rPr>
              <w:t xml:space="preserve">AR</w:t>
            </w:r>
          </w:p>
        </w:tc>
        <w:tc>
          <w:tcPr>
            <w:tcW w:type="dxa" w:w="503"/>
            <w:shd w:fill="1F3864" w:val="clear"/>
            <w:vAlign w:val="center"/>
          </w:tcPr>
          <w:p>
            <w:r>
              <w:rPr>
                <w:b/>
                <w:bCs/>
                <w:color w:val="FFFFFF"/>
                <w:sz w:val="17"/>
                <w:szCs w:val="17"/>
              </w:rPr>
              <w:t xml:space="preserve">EGD</w:t>
            </w:r>
          </w:p>
        </w:tc>
        <w:tc>
          <w:tcPr>
            <w:tcW w:type="dxa" w:w="503"/>
            <w:shd w:fill="1F3864" w:val="clear"/>
            <w:vAlign w:val="center"/>
          </w:tcPr>
          <w:p>
            <w:r>
              <w:rPr>
                <w:b/>
                <w:bCs/>
                <w:color w:val="FFFFFF"/>
                <w:sz w:val="17"/>
                <w:szCs w:val="17"/>
              </w:rPr>
              <w:t xml:space="preserve">Portfolio</w:t>
            </w:r>
          </w:p>
        </w:tc>
        <w:tc>
          <w:tcPr>
            <w:tcW w:type="dxa" w:w="402"/>
            <w:shd w:fill="1F3864" w:val="clear"/>
            <w:vAlign w:val="center"/>
          </w:tcPr>
          <w:p>
            <w:r>
              <w:rPr>
                <w:b/>
                <w:bCs/>
                <w:color w:val="FFFFFF"/>
                <w:sz w:val="17"/>
                <w:szCs w:val="17"/>
              </w:rPr>
              <w:t xml:space="preserve">Wave</w:t>
            </w:r>
          </w:p>
        </w:tc>
        <w:tc>
          <w:tcPr>
            <w:tcW w:type="dxa" w:w="905"/>
            <w:shd w:fill="1F3864" w:val="clear"/>
            <w:vAlign w:val="center"/>
          </w:tcPr>
          <w:p>
            <w:r>
              <w:rPr>
                <w:b/>
                <w:bCs/>
                <w:color w:val="FFFFFF"/>
                <w:sz w:val="17"/>
                <w:szCs w:val="17"/>
              </w:rPr>
              <w:t xml:space="preserve">Current Status</w:t>
            </w:r>
          </w:p>
        </w:tc>
        <w:tc>
          <w:tcPr>
            <w:tcW w:type="dxa" w:w="603"/>
            <w:shd w:fill="1F3864" w:val="clear"/>
            <w:vAlign w:val="center"/>
          </w:tcPr>
          <w:p>
            <w:r>
              <w:rPr>
                <w:b/>
                <w:bCs/>
                <w:color w:val="FFFFFF"/>
                <w:sz w:val="17"/>
                <w:szCs w:val="17"/>
              </w:rPr>
              <w:t xml:space="preserve">Eng. Readiness</w:t>
            </w:r>
          </w:p>
        </w:tc>
        <w:tc>
          <w:tcPr>
            <w:tcW w:type="dxa" w:w="704"/>
            <w:shd w:fill="1F3864" w:val="clear"/>
            <w:vAlign w:val="center"/>
          </w:tcPr>
          <w:p>
            <w:r>
              <w:rPr>
                <w:b/>
                <w:bCs/>
                <w:color w:val="FFFFFF"/>
                <w:sz w:val="17"/>
                <w:szCs w:val="17"/>
              </w:rPr>
              <w:t xml:space="preserve">Repo Readiness</w:t>
            </w:r>
          </w:p>
        </w:tc>
        <w:tc>
          <w:tcPr>
            <w:tcW w:type="dxa" w:w="637"/>
            <w:shd w:fill="1F3864" w:val="clear"/>
            <w:vAlign w:val="center"/>
          </w:tcPr>
          <w:p>
            <w:r>
              <w:rPr>
                <w:b/>
                <w:bCs/>
                <w:color w:val="FFFFFF"/>
                <w:sz w:val="17"/>
                <w:szCs w:val="17"/>
              </w:rPr>
              <w:t xml:space="preserve">Verif. Status</w:t>
            </w:r>
          </w:p>
        </w:tc>
        <w:tc>
          <w:tcPr>
            <w:tcW w:type="dxa" w:w="737"/>
            <w:shd w:fill="1F3864" w:val="clear"/>
            <w:vAlign w:val="center"/>
          </w:tcPr>
          <w:p>
            <w:r>
              <w:rPr>
                <w:b/>
                <w:bCs/>
                <w:color w:val="FFFFFF"/>
                <w:sz w:val="17"/>
                <w:szCs w:val="17"/>
              </w:rPr>
              <w:t xml:space="preserve">Risk Status</w:t>
            </w:r>
          </w:p>
        </w:tc>
        <w:tc>
          <w:tcPr>
            <w:tcW w:type="dxa" w:w="704"/>
            <w:shd w:fill="1F3864" w:val="clear"/>
            <w:vAlign w:val="center"/>
          </w:tcPr>
          <w:p>
            <w:r>
              <w:rPr>
                <w:b/>
                <w:bCs/>
                <w:color w:val="FFFFFF"/>
                <w:sz w:val="17"/>
                <w:szCs w:val="17"/>
              </w:rPr>
              <w:t xml:space="preserve">Acceptance Status</w:t>
            </w:r>
          </w:p>
        </w:tc>
        <w:tc>
          <w:tcPr>
            <w:tcW w:type="dxa" w:w="804"/>
            <w:shd w:fill="1F3864" w:val="clear"/>
            <w:vAlign w:val="center"/>
          </w:tcPr>
          <w:p>
            <w:r>
              <w:rPr>
                <w:b/>
                <w:bCs/>
                <w:color w:val="FFFFFF"/>
                <w:sz w:val="17"/>
                <w:szCs w:val="17"/>
              </w:rPr>
              <w:t xml:space="preserve">Cert. Readiness</w:t>
            </w:r>
          </w:p>
        </w:tc>
        <w:tc>
          <w:tcPr>
            <w:tcW w:type="dxa" w:w="535"/>
            <w:shd w:fill="1F3864" w:val="clear"/>
            <w:vAlign w:val="center"/>
          </w:tcPr>
          <w:p>
            <w:r>
              <w:rPr>
                <w:b/>
                <w:bCs/>
                <w:color w:val="FFFFFF"/>
                <w:sz w:val="17"/>
                <w:szCs w:val="17"/>
              </w:rPr>
              <w:t xml:space="preserve">Overall</w:t>
            </w:r>
          </w:p>
        </w:tc>
      </w:tr>
      <w:tr>
        <w:tc>
          <w:tcPr>
            <w:tcW w:type="dxa" w:w="436"/>
            <w:vAlign w:val="center"/>
          </w:tcPr>
          <w:p>
            <w:r>
              <w:rPr>
                <w:b w:val="false"/>
                <w:bCs w:val="false"/>
                <w:color w:val="000000"/>
                <w:sz w:val="17"/>
                <w:szCs w:val="17"/>
              </w:rPr>
              <w:t xml:space="preserve">WP-0001</w:t>
            </w:r>
          </w:p>
        </w:tc>
        <w:tc>
          <w:tcPr>
            <w:tcW w:type="dxa" w:w="1408"/>
            <w:vAlign w:val="center"/>
          </w:tcPr>
          <w:p>
            <w:r>
              <w:rPr>
                <w:b w:val="false"/>
                <w:bCs w:val="false"/>
                <w:color w:val="000000"/>
                <w:sz w:val="17"/>
                <w:szCs w:val="17"/>
              </w:rPr>
              <w:t xml:space="preserve">Revise EEP-01 Phase A doc to canonical live-schema baseline</w:t>
            </w:r>
          </w:p>
        </w:tc>
        <w:tc>
          <w:tcPr>
            <w:tcW w:type="dxa" w:w="469"/>
            <w:vAlign w:val="center"/>
          </w:tcPr>
          <w:p>
            <w:r>
              <w:rPr>
                <w:b w:val="false"/>
                <w:bCs w:val="false"/>
                <w:color w:val="000000"/>
                <w:sz w:val="17"/>
                <w:szCs w:val="17"/>
              </w:rPr>
              <w:t xml:space="preserve">AR-0002</w:t>
            </w:r>
          </w:p>
        </w:tc>
        <w:tc>
          <w:tcPr>
            <w:tcW w:type="dxa" w:w="503"/>
            <w:vAlign w:val="center"/>
          </w:tcPr>
          <w:p>
            <w:r>
              <w:rPr>
                <w:b w:val="false"/>
                <w:bCs w:val="false"/>
                <w:color w:val="000000"/>
                <w:sz w:val="17"/>
                <w:szCs w:val="17"/>
              </w:rPr>
              <w:t xml:space="preserve">EGD-0002</w:t>
            </w:r>
          </w:p>
        </w:tc>
        <w:tc>
          <w:tcPr>
            <w:tcW w:type="dxa" w:w="503"/>
            <w:vAlign w:val="center"/>
          </w:tcPr>
          <w:p>
            <w:r>
              <w:rPr>
                <w:b w:val="false"/>
                <w:bCs w:val="false"/>
                <w:color w:val="000000"/>
                <w:sz w:val="17"/>
                <w:szCs w:val="17"/>
              </w:rPr>
              <w:t xml:space="preserve">1</w:t>
            </w:r>
          </w:p>
        </w:tc>
        <w:tc>
          <w:tcPr>
            <w:tcW w:type="dxa" w:w="402"/>
            <w:vAlign w:val="center"/>
          </w:tcPr>
          <w:p>
            <w:r>
              <w:rPr>
                <w:b w:val="false"/>
                <w:bCs w:val="false"/>
                <w:color w:val="000000"/>
                <w:sz w:val="17"/>
                <w:szCs w:val="17"/>
              </w:rPr>
              <w:t xml:space="preserve">2</w:t>
            </w:r>
          </w:p>
        </w:tc>
        <w:tc>
          <w:tcPr>
            <w:tcW w:type="dxa" w:w="905"/>
            <w:vAlign w:val="center"/>
          </w:tcPr>
          <w:p>
            <w:r>
              <w:rPr>
                <w:b w:val="false"/>
                <w:bCs w:val="false"/>
                <w:color w:val="000000"/>
                <w:sz w:val="17"/>
                <w:szCs w:val="17"/>
              </w:rPr>
              <w:t xml:space="preserve">Not started</w:t>
            </w:r>
          </w:p>
        </w:tc>
        <w:tc>
          <w:tcPr>
            <w:tcW w:type="dxa" w:w="603"/>
            <w:vAlign w:val="center"/>
          </w:tcPr>
          <w:p>
            <w:r>
              <w:rPr>
                <w:b w:val="false"/>
                <w:bCs w:val="false"/>
                <w:color w:val="000000"/>
                <w:sz w:val="17"/>
                <w:szCs w:val="17"/>
              </w:rPr>
              <w:t xml:space="preserve">Ready</w:t>
            </w:r>
          </w:p>
        </w:tc>
        <w:tc>
          <w:tcPr>
            <w:tcW w:type="dxa" w:w="704"/>
            <w:vAlign w:val="center"/>
          </w:tcPr>
          <w:p>
            <w:r>
              <w:rPr>
                <w:b w:val="false"/>
                <w:bCs w:val="false"/>
                <w:color w:val="000000"/>
                <w:sz w:val="17"/>
                <w:szCs w:val="17"/>
              </w:rPr>
              <w:t xml:space="preserve">Ready (Doc)</w:t>
            </w:r>
          </w:p>
        </w:tc>
        <w:tc>
          <w:tcPr>
            <w:tcW w:type="dxa" w:w="637"/>
            <w:vAlign w:val="center"/>
          </w:tcPr>
          <w:p>
            <w:r>
              <w:rPr>
                <w:b w:val="false"/>
                <w:bCs w:val="false"/>
                <w:color w:val="000000"/>
                <w:sz w:val="17"/>
                <w:szCs w:val="17"/>
              </w:rPr>
              <w:t xml:space="preserve">Not executed</w:t>
            </w:r>
          </w:p>
        </w:tc>
        <w:tc>
          <w:tcPr>
            <w:tcW w:type="dxa" w:w="737"/>
            <w:vAlign w:val="center"/>
          </w:tcPr>
          <w:p>
            <w:r>
              <w:rPr>
                <w:b w:val="false"/>
                <w:bCs w:val="false"/>
                <w:color w:val="000000"/>
                <w:sz w:val="17"/>
                <w:szCs w:val="17"/>
              </w:rPr>
              <w:t xml:space="preserve">Low</w:t>
            </w:r>
          </w:p>
        </w:tc>
        <w:tc>
          <w:tcPr>
            <w:tcW w:type="dxa" w:w="704"/>
            <w:vAlign w:val="center"/>
          </w:tcPr>
          <w:p>
            <w:r>
              <w:rPr>
                <w:b w:val="false"/>
                <w:bCs w:val="false"/>
                <w:color w:val="000000"/>
                <w:sz w:val="17"/>
                <w:szCs w:val="17"/>
              </w:rPr>
              <w:t xml:space="preserve">Not accepted</w:t>
            </w:r>
          </w:p>
        </w:tc>
        <w:tc>
          <w:tcPr>
            <w:tcW w:type="dxa" w:w="804"/>
            <w:vAlign w:val="center"/>
          </w:tcPr>
          <w:p>
            <w:r>
              <w:rPr>
                <w:b w:val="false"/>
                <w:bCs w:val="false"/>
                <w:color w:val="000000"/>
                <w:sz w:val="17"/>
                <w:szCs w:val="17"/>
              </w:rPr>
              <w:t xml:space="preserve">L4 pending</w:t>
            </w:r>
          </w:p>
        </w:tc>
        <w:tc>
          <w:tcPr>
            <w:tcW w:type="dxa" w:w="535"/>
            <w:vAlign w:val="center"/>
          </w:tcPr>
          <w:p>
            <w:r>
              <w:rPr>
                <w:b w:val="false"/>
                <w:bCs w:val="false"/>
                <w:color w:val="000000"/>
                <w:sz w:val="17"/>
                <w:szCs w:val="17"/>
              </w:rPr>
              <w:t xml:space="preserve">Ready</w:t>
            </w:r>
          </w:p>
        </w:tc>
      </w:tr>
      <w:tr>
        <w:tc>
          <w:tcPr>
            <w:tcW w:type="dxa" w:w="436"/>
            <w:shd w:fill="F2F2F2" w:val="clear"/>
            <w:vAlign w:val="center"/>
          </w:tcPr>
          <w:p>
            <w:r>
              <w:rPr>
                <w:b w:val="false"/>
                <w:bCs w:val="false"/>
                <w:color w:val="000000"/>
                <w:sz w:val="17"/>
                <w:szCs w:val="17"/>
              </w:rPr>
              <w:t xml:space="preserve">WP-0002</w:t>
            </w:r>
          </w:p>
        </w:tc>
        <w:tc>
          <w:tcPr>
            <w:tcW w:type="dxa" w:w="1408"/>
            <w:shd w:fill="F2F2F2" w:val="clear"/>
            <w:vAlign w:val="center"/>
          </w:tcPr>
          <w:p>
            <w:r>
              <w:rPr>
                <w:b w:val="false"/>
                <w:bCs w:val="false"/>
                <w:color w:val="000000"/>
                <w:sz w:val="17"/>
                <w:szCs w:val="17"/>
              </w:rPr>
              <w:t xml:space="preserve">Verify RLS coverage on student-owned tables</w:t>
            </w:r>
          </w:p>
        </w:tc>
        <w:tc>
          <w:tcPr>
            <w:tcW w:type="dxa" w:w="469"/>
            <w:shd w:fill="F2F2F2" w:val="clear"/>
            <w:vAlign w:val="center"/>
          </w:tcPr>
          <w:p>
            <w:r>
              <w:rPr>
                <w:b w:val="false"/>
                <w:bCs w:val="false"/>
                <w:color w:val="000000"/>
                <w:sz w:val="17"/>
                <w:szCs w:val="17"/>
              </w:rPr>
              <w:t xml:space="preserve">AR-0007</w:t>
            </w:r>
          </w:p>
        </w:tc>
        <w:tc>
          <w:tcPr>
            <w:tcW w:type="dxa" w:w="503"/>
            <w:shd w:fill="F2F2F2" w:val="clear"/>
            <w:vAlign w:val="center"/>
          </w:tcPr>
          <w:p>
            <w:r>
              <w:rPr>
                <w:b w:val="false"/>
                <w:bCs w:val="false"/>
                <w:color w:val="000000"/>
                <w:sz w:val="17"/>
                <w:szCs w:val="17"/>
              </w:rPr>
              <w:t xml:space="preserve">EGD-0007</w:t>
            </w:r>
          </w:p>
        </w:tc>
        <w:tc>
          <w:tcPr>
            <w:tcW w:type="dxa" w:w="503"/>
            <w:shd w:fill="F2F2F2" w:val="clear"/>
            <w:vAlign w:val="center"/>
          </w:tcPr>
          <w:p>
            <w:r>
              <w:rPr>
                <w:b w:val="false"/>
                <w:bCs w:val="false"/>
                <w:color w:val="000000"/>
                <w:sz w:val="17"/>
                <w:szCs w:val="17"/>
              </w:rPr>
              <w:t xml:space="preserve">2</w:t>
            </w:r>
          </w:p>
        </w:tc>
        <w:tc>
          <w:tcPr>
            <w:tcW w:type="dxa" w:w="402"/>
            <w:shd w:fill="F2F2F2" w:val="clear"/>
            <w:vAlign w:val="center"/>
          </w:tcPr>
          <w:p>
            <w:r>
              <w:rPr>
                <w:b w:val="false"/>
                <w:bCs w:val="false"/>
                <w:color w:val="000000"/>
                <w:sz w:val="17"/>
                <w:szCs w:val="17"/>
              </w:rPr>
              <w:t xml:space="preserve">1</w:t>
            </w:r>
          </w:p>
        </w:tc>
        <w:tc>
          <w:tcPr>
            <w:tcW w:type="dxa" w:w="905"/>
            <w:shd w:fill="F2F2F2" w:val="clear"/>
            <w:vAlign w:val="center"/>
          </w:tcPr>
          <w:p>
            <w:r>
              <w:rPr>
                <w:b w:val="false"/>
                <w:bCs w:val="false"/>
                <w:color w:val="000000"/>
                <w:sz w:val="17"/>
                <w:szCs w:val="17"/>
              </w:rPr>
              <w:t xml:space="preserve">Not started</w:t>
            </w:r>
          </w:p>
        </w:tc>
        <w:tc>
          <w:tcPr>
            <w:tcW w:type="dxa" w:w="603"/>
            <w:shd w:fill="F2F2F2" w:val="clear"/>
            <w:vAlign w:val="center"/>
          </w:tcPr>
          <w:p>
            <w:r>
              <w:rPr>
                <w:b w:val="false"/>
                <w:bCs w:val="false"/>
                <w:color w:val="000000"/>
                <w:sz w:val="17"/>
                <w:szCs w:val="17"/>
              </w:rPr>
              <w:t xml:space="preserve">Ready</w:t>
            </w:r>
          </w:p>
        </w:tc>
        <w:tc>
          <w:tcPr>
            <w:tcW w:type="dxa" w:w="704"/>
            <w:shd w:fill="F2F2F2" w:val="clear"/>
            <w:vAlign w:val="center"/>
          </w:tcPr>
          <w:p>
            <w:r>
              <w:rPr>
                <w:b w:val="false"/>
                <w:bCs w:val="false"/>
                <w:color w:val="000000"/>
                <w:sz w:val="17"/>
                <w:szCs w:val="17"/>
              </w:rPr>
              <w:t xml:space="preserve">Ready (DB/Test)</w:t>
            </w:r>
          </w:p>
        </w:tc>
        <w:tc>
          <w:tcPr>
            <w:tcW w:type="dxa" w:w="637"/>
            <w:shd w:fill="F2F2F2" w:val="clear"/>
            <w:vAlign w:val="center"/>
          </w:tcPr>
          <w:p>
            <w:r>
              <w:rPr>
                <w:b w:val="false"/>
                <w:bCs w:val="false"/>
                <w:color w:val="000000"/>
                <w:sz w:val="17"/>
                <w:szCs w:val="17"/>
              </w:rPr>
              <w:t xml:space="preserve">Not executed</w:t>
            </w:r>
          </w:p>
        </w:tc>
        <w:tc>
          <w:tcPr>
            <w:tcW w:type="dxa" w:w="737"/>
            <w:shd w:fill="F2F2F2" w:val="clear"/>
            <w:vAlign w:val="center"/>
          </w:tcPr>
          <w:p>
            <w:r>
              <w:rPr>
                <w:b w:val="false"/>
                <w:bCs w:val="false"/>
                <w:color w:val="000000"/>
                <w:sz w:val="17"/>
                <w:szCs w:val="17"/>
              </w:rPr>
              <w:t xml:space="preserve">High if confirmed</w:t>
            </w:r>
          </w:p>
        </w:tc>
        <w:tc>
          <w:tcPr>
            <w:tcW w:type="dxa" w:w="704"/>
            <w:shd w:fill="F2F2F2" w:val="clear"/>
            <w:vAlign w:val="center"/>
          </w:tcPr>
          <w:p>
            <w:r>
              <w:rPr>
                <w:b w:val="false"/>
                <w:bCs w:val="false"/>
                <w:color w:val="000000"/>
                <w:sz w:val="17"/>
                <w:szCs w:val="17"/>
              </w:rPr>
              <w:t xml:space="preserve">Not accepted</w:t>
            </w:r>
          </w:p>
        </w:tc>
        <w:tc>
          <w:tcPr>
            <w:tcW w:type="dxa" w:w="804"/>
            <w:shd w:fill="F2F2F2" w:val="clear"/>
            <w:vAlign w:val="center"/>
          </w:tcPr>
          <w:p>
            <w:r>
              <w:rPr>
                <w:b w:val="false"/>
                <w:bCs w:val="false"/>
                <w:color w:val="000000"/>
                <w:sz w:val="17"/>
                <w:szCs w:val="17"/>
              </w:rPr>
              <w:t xml:space="preserve">L4 pending</w:t>
            </w:r>
          </w:p>
        </w:tc>
        <w:tc>
          <w:tcPr>
            <w:tcW w:type="dxa" w:w="535"/>
            <w:shd w:fill="F2F2F2" w:val="clear"/>
            <w:vAlign w:val="center"/>
          </w:tcPr>
          <w:p>
            <w:r>
              <w:rPr>
                <w:b w:val="false"/>
                <w:bCs w:val="false"/>
                <w:color w:val="000000"/>
                <w:sz w:val="17"/>
                <w:szCs w:val="17"/>
              </w:rPr>
              <w:t xml:space="preserve">Ready</w:t>
            </w:r>
          </w:p>
        </w:tc>
      </w:tr>
      <w:tr>
        <w:tc>
          <w:tcPr>
            <w:tcW w:type="dxa" w:w="436"/>
            <w:vAlign w:val="center"/>
          </w:tcPr>
          <w:p>
            <w:r>
              <w:rPr>
                <w:b w:val="false"/>
                <w:bCs w:val="false"/>
                <w:color w:val="000000"/>
                <w:sz w:val="17"/>
                <w:szCs w:val="17"/>
              </w:rPr>
              <w:t xml:space="preserve">WP-0003</w:t>
            </w:r>
          </w:p>
        </w:tc>
        <w:tc>
          <w:tcPr>
            <w:tcW w:type="dxa" w:w="1408"/>
            <w:vAlign w:val="center"/>
          </w:tcPr>
          <w:p>
            <w:r>
              <w:rPr>
                <w:b w:val="false"/>
                <w:bCs w:val="false"/>
                <w:color w:val="000000"/>
                <w:sz w:val="17"/>
                <w:szCs w:val="17"/>
              </w:rPr>
              <w:t xml:space="preserve">Partitioning assessment for high-growth tables</w:t>
            </w:r>
          </w:p>
        </w:tc>
        <w:tc>
          <w:tcPr>
            <w:tcW w:type="dxa" w:w="469"/>
            <w:vAlign w:val="center"/>
          </w:tcPr>
          <w:p>
            <w:r>
              <w:rPr>
                <w:b w:val="false"/>
                <w:bCs w:val="false"/>
                <w:color w:val="000000"/>
                <w:sz w:val="17"/>
                <w:szCs w:val="17"/>
              </w:rPr>
              <w:t xml:space="preserve">AR-0004</w:t>
            </w:r>
          </w:p>
        </w:tc>
        <w:tc>
          <w:tcPr>
            <w:tcW w:type="dxa" w:w="503"/>
            <w:vAlign w:val="center"/>
          </w:tcPr>
          <w:p>
            <w:r>
              <w:rPr>
                <w:b w:val="false"/>
                <w:bCs w:val="false"/>
                <w:color w:val="000000"/>
                <w:sz w:val="17"/>
                <w:szCs w:val="17"/>
              </w:rPr>
              <w:t xml:space="preserve">EGD-0004</w:t>
            </w:r>
          </w:p>
        </w:tc>
        <w:tc>
          <w:tcPr>
            <w:tcW w:type="dxa" w:w="503"/>
            <w:vAlign w:val="center"/>
          </w:tcPr>
          <w:p>
            <w:r>
              <w:rPr>
                <w:b w:val="false"/>
                <w:bCs w:val="false"/>
                <w:color w:val="000000"/>
                <w:sz w:val="17"/>
                <w:szCs w:val="17"/>
              </w:rPr>
              <w:t xml:space="preserve">1</w:t>
            </w:r>
          </w:p>
        </w:tc>
        <w:tc>
          <w:tcPr>
            <w:tcW w:type="dxa" w:w="402"/>
            <w:vAlign w:val="center"/>
          </w:tcPr>
          <w:p>
            <w:r>
              <w:rPr>
                <w:b w:val="false"/>
                <w:bCs w:val="false"/>
                <w:color w:val="000000"/>
                <w:sz w:val="17"/>
                <w:szCs w:val="17"/>
              </w:rPr>
              <w:t xml:space="preserve">3</w:t>
            </w:r>
          </w:p>
        </w:tc>
        <w:tc>
          <w:tcPr>
            <w:tcW w:type="dxa" w:w="905"/>
            <w:vAlign w:val="center"/>
          </w:tcPr>
          <w:p>
            <w:r>
              <w:rPr>
                <w:b w:val="false"/>
                <w:bCs w:val="false"/>
                <w:color w:val="000000"/>
                <w:sz w:val="17"/>
                <w:szCs w:val="17"/>
              </w:rPr>
              <w:t xml:space="preserve">Not started — trigger not fired</w:t>
            </w:r>
          </w:p>
        </w:tc>
        <w:tc>
          <w:tcPr>
            <w:tcW w:type="dxa" w:w="603"/>
            <w:vAlign w:val="center"/>
          </w:tcPr>
          <w:p>
            <w:r>
              <w:rPr>
                <w:b w:val="false"/>
                <w:bCs w:val="false"/>
                <w:color w:val="000000"/>
                <w:sz w:val="17"/>
                <w:szCs w:val="17"/>
              </w:rPr>
              <w:t xml:space="preserve">Monitoring-ready</w:t>
            </w:r>
          </w:p>
        </w:tc>
        <w:tc>
          <w:tcPr>
            <w:tcW w:type="dxa" w:w="704"/>
            <w:vAlign w:val="center"/>
          </w:tcPr>
          <w:p>
            <w:r>
              <w:rPr>
                <w:b w:val="false"/>
                <w:bCs w:val="false"/>
                <w:color w:val="000000"/>
                <w:sz w:val="17"/>
                <w:szCs w:val="17"/>
              </w:rPr>
              <w:t xml:space="preserve">Conditional (DB)</w:t>
            </w:r>
          </w:p>
        </w:tc>
        <w:tc>
          <w:tcPr>
            <w:tcW w:type="dxa" w:w="637"/>
            <w:vAlign w:val="center"/>
          </w:tcPr>
          <w:p>
            <w:r>
              <w:rPr>
                <w:b w:val="false"/>
                <w:bCs w:val="false"/>
                <w:color w:val="000000"/>
                <w:sz w:val="17"/>
                <w:szCs w:val="17"/>
              </w:rPr>
              <w:t xml:space="preserve">Dormant</w:t>
            </w:r>
          </w:p>
        </w:tc>
        <w:tc>
          <w:tcPr>
            <w:tcW w:type="dxa" w:w="737"/>
            <w:vAlign w:val="center"/>
          </w:tcPr>
          <w:p>
            <w:r>
              <w:rPr>
                <w:b w:val="false"/>
                <w:bCs w:val="false"/>
                <w:color w:val="000000"/>
                <w:sz w:val="17"/>
                <w:szCs w:val="17"/>
              </w:rPr>
              <w:t xml:space="preserve">Medium, growing</w:t>
            </w:r>
          </w:p>
        </w:tc>
        <w:tc>
          <w:tcPr>
            <w:tcW w:type="dxa" w:w="704"/>
            <w:vAlign w:val="center"/>
          </w:tcPr>
          <w:p>
            <w:r>
              <w:rPr>
                <w:b w:val="false"/>
                <w:bCs w:val="false"/>
                <w:color w:val="000000"/>
                <w:sz w:val="17"/>
                <w:szCs w:val="17"/>
              </w:rPr>
              <w:t xml:space="preserve">Standing (L3)</w:t>
            </w:r>
          </w:p>
        </w:tc>
        <w:tc>
          <w:tcPr>
            <w:tcW w:type="dxa" w:w="804"/>
            <w:vAlign w:val="center"/>
          </w:tcPr>
          <w:p>
            <w:r>
              <w:rPr>
                <w:b w:val="false"/>
                <w:bCs w:val="false"/>
                <w:color w:val="000000"/>
                <w:sz w:val="17"/>
                <w:szCs w:val="17"/>
              </w:rPr>
              <w:t xml:space="preserve">L3 standing; L4 if triggered</w:t>
            </w:r>
          </w:p>
        </w:tc>
        <w:tc>
          <w:tcPr>
            <w:tcW w:type="dxa" w:w="535"/>
            <w:vAlign w:val="center"/>
          </w:tcPr>
          <w:p>
            <w:r>
              <w:rPr>
                <w:b w:val="false"/>
                <w:bCs w:val="false"/>
                <w:color w:val="000000"/>
                <w:sz w:val="17"/>
                <w:szCs w:val="17"/>
              </w:rPr>
              <w:t xml:space="preserve">Monitoring-ready</w:t>
            </w:r>
          </w:p>
        </w:tc>
      </w:tr>
      <w:tr>
        <w:tc>
          <w:tcPr>
            <w:tcW w:type="dxa" w:w="436"/>
            <w:shd w:fill="F2F2F2" w:val="clear"/>
            <w:vAlign w:val="center"/>
          </w:tcPr>
          <w:p>
            <w:r>
              <w:rPr>
                <w:b w:val="false"/>
                <w:bCs w:val="false"/>
                <w:color w:val="000000"/>
                <w:sz w:val="17"/>
                <w:szCs w:val="17"/>
              </w:rPr>
              <w:t xml:space="preserve">WP-0004</w:t>
            </w:r>
          </w:p>
        </w:tc>
        <w:tc>
          <w:tcPr>
            <w:tcW w:type="dxa" w:w="1408"/>
            <w:shd w:fill="F2F2F2" w:val="clear"/>
            <w:vAlign w:val="center"/>
          </w:tcPr>
          <w:p>
            <w:r>
              <w:rPr>
                <w:b w:val="false"/>
                <w:bCs w:val="false"/>
                <w:color w:val="000000"/>
                <w:sz w:val="17"/>
                <w:szCs w:val="17"/>
              </w:rPr>
              <w:t xml:space="preserve">Document accepted direct-FK taxonomy pattern; per-release check</w:t>
            </w:r>
          </w:p>
        </w:tc>
        <w:tc>
          <w:tcPr>
            <w:tcW w:type="dxa" w:w="469"/>
            <w:shd w:fill="F2F2F2" w:val="clear"/>
            <w:vAlign w:val="center"/>
          </w:tcPr>
          <w:p>
            <w:r>
              <w:rPr>
                <w:b w:val="false"/>
                <w:bCs w:val="false"/>
                <w:color w:val="000000"/>
                <w:sz w:val="17"/>
                <w:szCs w:val="17"/>
              </w:rPr>
              <w:t xml:space="preserve">AR-0003</w:t>
            </w:r>
          </w:p>
        </w:tc>
        <w:tc>
          <w:tcPr>
            <w:tcW w:type="dxa" w:w="503"/>
            <w:shd w:fill="F2F2F2" w:val="clear"/>
            <w:vAlign w:val="center"/>
          </w:tcPr>
          <w:p>
            <w:r>
              <w:rPr>
                <w:b w:val="false"/>
                <w:bCs w:val="false"/>
                <w:color w:val="000000"/>
                <w:sz w:val="17"/>
                <w:szCs w:val="17"/>
              </w:rPr>
              <w:t xml:space="preserve">EGD-0003</w:t>
            </w:r>
          </w:p>
        </w:tc>
        <w:tc>
          <w:tcPr>
            <w:tcW w:type="dxa" w:w="503"/>
            <w:shd w:fill="F2F2F2" w:val="clear"/>
            <w:vAlign w:val="center"/>
          </w:tcPr>
          <w:p>
            <w:r>
              <w:rPr>
                <w:b w:val="false"/>
                <w:bCs w:val="false"/>
                <w:color w:val="000000"/>
                <w:sz w:val="17"/>
                <w:szCs w:val="17"/>
              </w:rPr>
              <w:t xml:space="preserve">1</w:t>
            </w:r>
          </w:p>
        </w:tc>
        <w:tc>
          <w:tcPr>
            <w:tcW w:type="dxa" w:w="402"/>
            <w:shd w:fill="F2F2F2" w:val="clear"/>
            <w:vAlign w:val="center"/>
          </w:tcPr>
          <w:p>
            <w:r>
              <w:rPr>
                <w:b w:val="false"/>
                <w:bCs w:val="false"/>
                <w:color w:val="000000"/>
                <w:sz w:val="17"/>
                <w:szCs w:val="17"/>
              </w:rPr>
              <w:t xml:space="preserve">2</w:t>
            </w:r>
          </w:p>
        </w:tc>
        <w:tc>
          <w:tcPr>
            <w:tcW w:type="dxa" w:w="905"/>
            <w:shd w:fill="F2F2F2" w:val="clear"/>
            <w:vAlign w:val="center"/>
          </w:tcPr>
          <w:p>
            <w:r>
              <w:rPr>
                <w:b w:val="false"/>
                <w:bCs w:val="false"/>
                <w:color w:val="000000"/>
                <w:sz w:val="17"/>
                <w:szCs w:val="17"/>
              </w:rPr>
              <w:t xml:space="preserve">Not started</w:t>
            </w:r>
          </w:p>
        </w:tc>
        <w:tc>
          <w:tcPr>
            <w:tcW w:type="dxa" w:w="603"/>
            <w:shd w:fill="F2F2F2" w:val="clear"/>
            <w:vAlign w:val="center"/>
          </w:tcPr>
          <w:p>
            <w:r>
              <w:rPr>
                <w:b w:val="false"/>
                <w:bCs w:val="false"/>
                <w:color w:val="000000"/>
                <w:sz w:val="17"/>
                <w:szCs w:val="17"/>
              </w:rPr>
              <w:t xml:space="preserve">Ready</w:t>
            </w:r>
          </w:p>
        </w:tc>
        <w:tc>
          <w:tcPr>
            <w:tcW w:type="dxa" w:w="704"/>
            <w:shd w:fill="F2F2F2" w:val="clear"/>
            <w:vAlign w:val="center"/>
          </w:tcPr>
          <w:p>
            <w:r>
              <w:rPr>
                <w:b w:val="false"/>
                <w:bCs w:val="false"/>
                <w:color w:val="000000"/>
                <w:sz w:val="17"/>
                <w:szCs w:val="17"/>
              </w:rPr>
              <w:t xml:space="preserve">Ready (Doc)</w:t>
            </w:r>
          </w:p>
        </w:tc>
        <w:tc>
          <w:tcPr>
            <w:tcW w:type="dxa" w:w="637"/>
            <w:shd w:fill="F2F2F2" w:val="clear"/>
            <w:vAlign w:val="center"/>
          </w:tcPr>
          <w:p>
            <w:r>
              <w:rPr>
                <w:b w:val="false"/>
                <w:bCs w:val="false"/>
                <w:color w:val="000000"/>
                <w:sz w:val="17"/>
                <w:szCs w:val="17"/>
              </w:rPr>
              <w:t xml:space="preserve">Not executed</w:t>
            </w:r>
          </w:p>
        </w:tc>
        <w:tc>
          <w:tcPr>
            <w:tcW w:type="dxa" w:w="737"/>
            <w:shd w:fill="F2F2F2" w:val="clear"/>
            <w:vAlign w:val="center"/>
          </w:tcPr>
          <w:p>
            <w:r>
              <w:rPr>
                <w:b w:val="false"/>
                <w:bCs w:val="false"/>
                <w:color w:val="000000"/>
                <w:sz w:val="17"/>
                <w:szCs w:val="17"/>
              </w:rPr>
              <w:t xml:space="preserve">Medium, latent</w:t>
            </w:r>
          </w:p>
        </w:tc>
        <w:tc>
          <w:tcPr>
            <w:tcW w:type="dxa" w:w="704"/>
            <w:shd w:fill="F2F2F2" w:val="clear"/>
            <w:vAlign w:val="center"/>
          </w:tcPr>
          <w:p>
            <w:r>
              <w:rPr>
                <w:b w:val="false"/>
                <w:bCs w:val="false"/>
                <w:color w:val="000000"/>
                <w:sz w:val="17"/>
                <w:szCs w:val="17"/>
              </w:rPr>
              <w:t xml:space="preserve">Not accepted</w:t>
            </w:r>
          </w:p>
        </w:tc>
        <w:tc>
          <w:tcPr>
            <w:tcW w:type="dxa" w:w="804"/>
            <w:shd w:fill="F2F2F2" w:val="clear"/>
            <w:vAlign w:val="center"/>
          </w:tcPr>
          <w:p>
            <w:r>
              <w:rPr>
                <w:b w:val="false"/>
                <w:bCs w:val="false"/>
                <w:color w:val="000000"/>
                <w:sz w:val="17"/>
                <w:szCs w:val="17"/>
              </w:rPr>
              <w:t xml:space="preserve">L4 pending</w:t>
            </w:r>
          </w:p>
        </w:tc>
        <w:tc>
          <w:tcPr>
            <w:tcW w:type="dxa" w:w="535"/>
            <w:shd w:fill="F2F2F2" w:val="clear"/>
            <w:vAlign w:val="center"/>
          </w:tcPr>
          <w:p>
            <w:r>
              <w:rPr>
                <w:b w:val="false"/>
                <w:bCs w:val="false"/>
                <w:color w:val="000000"/>
                <w:sz w:val="17"/>
                <w:szCs w:val="17"/>
              </w:rPr>
              <w:t xml:space="preserve">Ready</w:t>
            </w:r>
          </w:p>
        </w:tc>
      </w:tr>
      <w:tr>
        <w:tc>
          <w:tcPr>
            <w:tcW w:type="dxa" w:w="436"/>
            <w:vAlign w:val="center"/>
          </w:tcPr>
          <w:p>
            <w:r>
              <w:rPr>
                <w:b w:val="false"/>
                <w:bCs w:val="false"/>
                <w:color w:val="000000"/>
                <w:sz w:val="17"/>
                <w:szCs w:val="17"/>
              </w:rPr>
              <w:t xml:space="preserve">WP-0005</w:t>
            </w:r>
          </w:p>
        </w:tc>
        <w:tc>
          <w:tcPr>
            <w:tcW w:type="dxa" w:w="1408"/>
            <w:vAlign w:val="center"/>
          </w:tcPr>
          <w:p>
            <w:r>
              <w:rPr>
                <w:b w:val="false"/>
                <w:bCs w:val="false"/>
                <w:color w:val="000000"/>
                <w:sz w:val="17"/>
                <w:szCs w:val="17"/>
              </w:rPr>
              <w:t xml:space="preserve">Column-level access review for free-text/JSON columns</w:t>
            </w:r>
          </w:p>
        </w:tc>
        <w:tc>
          <w:tcPr>
            <w:tcW w:type="dxa" w:w="469"/>
            <w:vAlign w:val="center"/>
          </w:tcPr>
          <w:p>
            <w:r>
              <w:rPr>
                <w:b w:val="false"/>
                <w:bCs w:val="false"/>
                <w:color w:val="000000"/>
                <w:sz w:val="17"/>
                <w:szCs w:val="17"/>
              </w:rPr>
              <w:t xml:space="preserve">AR-0007 (ext.)</w:t>
            </w:r>
          </w:p>
        </w:tc>
        <w:tc>
          <w:tcPr>
            <w:tcW w:type="dxa" w:w="503"/>
            <w:vAlign w:val="center"/>
          </w:tcPr>
          <w:p>
            <w:r>
              <w:rPr>
                <w:b w:val="false"/>
                <w:bCs w:val="false"/>
                <w:color w:val="000000"/>
                <w:sz w:val="17"/>
                <w:szCs w:val="17"/>
              </w:rPr>
              <w:t xml:space="preserve">EGD-0007</w:t>
            </w:r>
          </w:p>
        </w:tc>
        <w:tc>
          <w:tcPr>
            <w:tcW w:type="dxa" w:w="503"/>
            <w:vAlign w:val="center"/>
          </w:tcPr>
          <w:p>
            <w:r>
              <w:rPr>
                <w:b w:val="false"/>
                <w:bCs w:val="false"/>
                <w:color w:val="000000"/>
                <w:sz w:val="17"/>
                <w:szCs w:val="17"/>
              </w:rPr>
              <w:t xml:space="preserve">1</w:t>
            </w:r>
          </w:p>
        </w:tc>
        <w:tc>
          <w:tcPr>
            <w:tcW w:type="dxa" w:w="402"/>
            <w:vAlign w:val="center"/>
          </w:tcPr>
          <w:p>
            <w:r>
              <w:rPr>
                <w:b w:val="false"/>
                <w:bCs w:val="false"/>
                <w:color w:val="000000"/>
                <w:sz w:val="17"/>
                <w:szCs w:val="17"/>
              </w:rPr>
              <w:t xml:space="preserve">2</w:t>
            </w:r>
          </w:p>
        </w:tc>
        <w:tc>
          <w:tcPr>
            <w:tcW w:type="dxa" w:w="905"/>
            <w:vAlign w:val="center"/>
          </w:tcPr>
          <w:p>
            <w:r>
              <w:rPr>
                <w:b w:val="false"/>
                <w:bCs w:val="false"/>
                <w:color w:val="000000"/>
                <w:sz w:val="17"/>
                <w:szCs w:val="17"/>
              </w:rPr>
              <w:t xml:space="preserve">Not started</w:t>
            </w:r>
          </w:p>
        </w:tc>
        <w:tc>
          <w:tcPr>
            <w:tcW w:type="dxa" w:w="603"/>
            <w:vAlign w:val="center"/>
          </w:tcPr>
          <w:p>
            <w:r>
              <w:rPr>
                <w:b w:val="false"/>
                <w:bCs w:val="false"/>
                <w:color w:val="000000"/>
                <w:sz w:val="17"/>
                <w:szCs w:val="17"/>
              </w:rPr>
              <w:t xml:space="preserve">Ready</w:t>
            </w:r>
          </w:p>
        </w:tc>
        <w:tc>
          <w:tcPr>
            <w:tcW w:type="dxa" w:w="704"/>
            <w:vAlign w:val="center"/>
          </w:tcPr>
          <w:p>
            <w:r>
              <w:rPr>
                <w:b w:val="false"/>
                <w:bCs w:val="false"/>
                <w:color w:val="000000"/>
                <w:sz w:val="17"/>
                <w:szCs w:val="17"/>
              </w:rPr>
              <w:t xml:space="preserve">Ready (DB/Test)</w:t>
            </w:r>
          </w:p>
        </w:tc>
        <w:tc>
          <w:tcPr>
            <w:tcW w:type="dxa" w:w="637"/>
            <w:vAlign w:val="center"/>
          </w:tcPr>
          <w:p>
            <w:r>
              <w:rPr>
                <w:b w:val="false"/>
                <w:bCs w:val="false"/>
                <w:color w:val="000000"/>
                <w:sz w:val="17"/>
                <w:szCs w:val="17"/>
              </w:rPr>
              <w:t xml:space="preserve">Not executed</w:t>
            </w:r>
          </w:p>
        </w:tc>
        <w:tc>
          <w:tcPr>
            <w:tcW w:type="dxa" w:w="737"/>
            <w:vAlign w:val="center"/>
          </w:tcPr>
          <w:p>
            <w:r>
              <w:rPr>
                <w:b w:val="false"/>
                <w:bCs w:val="false"/>
                <w:color w:val="000000"/>
                <w:sz w:val="17"/>
                <w:szCs w:val="17"/>
              </w:rPr>
              <w:t xml:space="preserve">Low–Medium, latent</w:t>
            </w:r>
          </w:p>
        </w:tc>
        <w:tc>
          <w:tcPr>
            <w:tcW w:type="dxa" w:w="704"/>
            <w:vAlign w:val="center"/>
          </w:tcPr>
          <w:p>
            <w:r>
              <w:rPr>
                <w:b w:val="false"/>
                <w:bCs w:val="false"/>
                <w:color w:val="000000"/>
                <w:sz w:val="17"/>
                <w:szCs w:val="17"/>
              </w:rPr>
              <w:t xml:space="preserve">Not accepted</w:t>
            </w:r>
          </w:p>
        </w:tc>
        <w:tc>
          <w:tcPr>
            <w:tcW w:type="dxa" w:w="804"/>
            <w:vAlign w:val="center"/>
          </w:tcPr>
          <w:p>
            <w:r>
              <w:rPr>
                <w:b w:val="false"/>
                <w:bCs w:val="false"/>
                <w:color w:val="000000"/>
                <w:sz w:val="17"/>
                <w:szCs w:val="17"/>
              </w:rPr>
              <w:t xml:space="preserve">L4 pending (ext.)</w:t>
            </w:r>
          </w:p>
        </w:tc>
        <w:tc>
          <w:tcPr>
            <w:tcW w:type="dxa" w:w="535"/>
            <w:vAlign w:val="center"/>
          </w:tcPr>
          <w:p>
            <w:r>
              <w:rPr>
                <w:b w:val="false"/>
                <w:bCs w:val="false"/>
                <w:color w:val="000000"/>
                <w:sz w:val="17"/>
                <w:szCs w:val="17"/>
              </w:rPr>
              <w:t xml:space="preserve">Ready</w:t>
            </w:r>
          </w:p>
        </w:tc>
      </w:tr>
      <w:tr>
        <w:tc>
          <w:tcPr>
            <w:tcW w:type="dxa" w:w="436"/>
            <w:shd w:fill="F2F2F2" w:val="clear"/>
            <w:vAlign w:val="center"/>
          </w:tcPr>
          <w:p>
            <w:r>
              <w:rPr>
                <w:b w:val="false"/>
                <w:bCs w:val="false"/>
                <w:color w:val="000000"/>
                <w:sz w:val="17"/>
                <w:szCs w:val="17"/>
              </w:rPr>
              <w:t xml:space="preserve">WP-0006</w:t>
            </w:r>
          </w:p>
        </w:tc>
        <w:tc>
          <w:tcPr>
            <w:tcW w:type="dxa" w:w="1408"/>
            <w:shd w:fill="F2F2F2" w:val="clear"/>
            <w:vAlign w:val="center"/>
          </w:tcPr>
          <w:p>
            <w:r>
              <w:rPr>
                <w:b w:val="false"/>
                <w:bCs w:val="false"/>
                <w:color w:val="000000"/>
                <w:sz w:val="17"/>
                <w:szCs w:val="17"/>
              </w:rPr>
              <w:t xml:space="preserve">Assign named, accountable owners</w:t>
            </w:r>
          </w:p>
        </w:tc>
        <w:tc>
          <w:tcPr>
            <w:tcW w:type="dxa" w:w="469"/>
            <w:shd w:fill="F2F2F2" w:val="clear"/>
            <w:vAlign w:val="center"/>
          </w:tcPr>
          <w:p>
            <w:r>
              <w:rPr>
                <w:b w:val="false"/>
                <w:bCs w:val="false"/>
                <w:color w:val="000000"/>
                <w:sz w:val="17"/>
                <w:szCs w:val="17"/>
              </w:rPr>
              <w:t xml:space="preserve">AP-009 (all)</w:t>
            </w:r>
          </w:p>
        </w:tc>
        <w:tc>
          <w:tcPr>
            <w:tcW w:type="dxa" w:w="503"/>
            <w:shd w:fill="F2F2F2" w:val="clear"/>
            <w:vAlign w:val="center"/>
          </w:tcPr>
          <w:p>
            <w:r>
              <w:rPr>
                <w:b w:val="false"/>
                <w:bCs w:val="false"/>
                <w:color w:val="000000"/>
                <w:sz w:val="17"/>
                <w:szCs w:val="17"/>
              </w:rPr>
              <w:t xml:space="preserve">EGD-0001–0009</w:t>
            </w:r>
          </w:p>
        </w:tc>
        <w:tc>
          <w:tcPr>
            <w:tcW w:type="dxa" w:w="503"/>
            <w:shd w:fill="F2F2F2" w:val="clear"/>
            <w:vAlign w:val="center"/>
          </w:tcPr>
          <w:p>
            <w:r>
              <w:rPr>
                <w:b w:val="false"/>
                <w:bCs w:val="false"/>
                <w:color w:val="000000"/>
                <w:sz w:val="17"/>
                <w:szCs w:val="17"/>
              </w:rPr>
              <w:t xml:space="preserve">8</w:t>
            </w:r>
          </w:p>
        </w:tc>
        <w:tc>
          <w:tcPr>
            <w:tcW w:type="dxa" w:w="402"/>
            <w:shd w:fill="F2F2F2" w:val="clear"/>
            <w:vAlign w:val="center"/>
          </w:tcPr>
          <w:p>
            <w:r>
              <w:rPr>
                <w:b w:val="false"/>
                <w:bCs w:val="false"/>
                <w:color w:val="000000"/>
                <w:sz w:val="17"/>
                <w:szCs w:val="17"/>
              </w:rPr>
              <w:t xml:space="preserve">1</w:t>
            </w:r>
          </w:p>
        </w:tc>
        <w:tc>
          <w:tcPr>
            <w:tcW w:type="dxa" w:w="905"/>
            <w:shd w:fill="F2F2F2" w:val="clear"/>
            <w:vAlign w:val="center"/>
          </w:tcPr>
          <w:p>
            <w:r>
              <w:rPr>
                <w:b w:val="false"/>
                <w:bCs w:val="false"/>
                <w:color w:val="000000"/>
                <w:sz w:val="17"/>
                <w:szCs w:val="17"/>
              </w:rPr>
              <w:t xml:space="preserve">Not started — KPI-08 = 0%</w:t>
            </w:r>
          </w:p>
        </w:tc>
        <w:tc>
          <w:tcPr>
            <w:tcW w:type="dxa" w:w="603"/>
            <w:shd w:fill="F2F2F2" w:val="clear"/>
            <w:vAlign w:val="center"/>
          </w:tcPr>
          <w:p>
            <w:r>
              <w:rPr>
                <w:b w:val="false"/>
                <w:bCs w:val="false"/>
                <w:color w:val="000000"/>
                <w:sz w:val="17"/>
                <w:szCs w:val="17"/>
              </w:rPr>
              <w:t xml:space="preserve">Ready</w:t>
            </w:r>
          </w:p>
        </w:tc>
        <w:tc>
          <w:tcPr>
            <w:tcW w:type="dxa" w:w="704"/>
            <w:shd w:fill="F2F2F2" w:val="clear"/>
            <w:vAlign w:val="center"/>
          </w:tcPr>
          <w:p>
            <w:r>
              <w:rPr>
                <w:b w:val="false"/>
                <w:bCs w:val="false"/>
                <w:color w:val="000000"/>
                <w:sz w:val="17"/>
                <w:szCs w:val="17"/>
              </w:rPr>
              <w:t xml:space="preserve">Ready (Doc)</w:t>
            </w:r>
          </w:p>
        </w:tc>
        <w:tc>
          <w:tcPr>
            <w:tcW w:type="dxa" w:w="637"/>
            <w:shd w:fill="F2F2F2" w:val="clear"/>
            <w:vAlign w:val="center"/>
          </w:tcPr>
          <w:p>
            <w:r>
              <w:rPr>
                <w:b w:val="false"/>
                <w:bCs w:val="false"/>
                <w:color w:val="000000"/>
                <w:sz w:val="17"/>
                <w:szCs w:val="17"/>
              </w:rPr>
              <w:t xml:space="preserve">Not executed</w:t>
            </w:r>
          </w:p>
        </w:tc>
        <w:tc>
          <w:tcPr>
            <w:tcW w:type="dxa" w:w="737"/>
            <w:shd w:fill="F2F2F2" w:val="clear"/>
            <w:vAlign w:val="center"/>
          </w:tcPr>
          <w:p>
            <w:r>
              <w:rPr>
                <w:b w:val="false"/>
                <w:bCs w:val="false"/>
                <w:color w:val="000000"/>
                <w:sz w:val="17"/>
                <w:szCs w:val="17"/>
              </w:rPr>
              <w:t xml:space="preserve">N/A — mitigating WP</w:t>
            </w:r>
          </w:p>
        </w:tc>
        <w:tc>
          <w:tcPr>
            <w:tcW w:type="dxa" w:w="704"/>
            <w:shd w:fill="F2F2F2" w:val="clear"/>
            <w:vAlign w:val="center"/>
          </w:tcPr>
          <w:p>
            <w:r>
              <w:rPr>
                <w:b w:val="false"/>
                <w:bCs w:val="false"/>
                <w:color w:val="000000"/>
                <w:sz w:val="17"/>
                <w:szCs w:val="17"/>
              </w:rPr>
              <w:t xml:space="preserve">Not accepted</w:t>
            </w:r>
          </w:p>
        </w:tc>
        <w:tc>
          <w:tcPr>
            <w:tcW w:type="dxa" w:w="804"/>
            <w:shd w:fill="F2F2F2" w:val="clear"/>
            <w:vAlign w:val="center"/>
          </w:tcPr>
          <w:p>
            <w:r>
              <w:rPr>
                <w:b w:val="false"/>
                <w:bCs w:val="false"/>
                <w:color w:val="000000"/>
                <w:sz w:val="17"/>
                <w:szCs w:val="17"/>
              </w:rPr>
              <w:t xml:space="preserve">Not Applicable</w:t>
            </w:r>
          </w:p>
        </w:tc>
        <w:tc>
          <w:tcPr>
            <w:tcW w:type="dxa" w:w="535"/>
            <w:shd w:fill="F2F2F2" w:val="clear"/>
            <w:vAlign w:val="center"/>
          </w:tcPr>
          <w:p>
            <w:r>
              <w:rPr>
                <w:b w:val="false"/>
                <w:bCs w:val="false"/>
                <w:color w:val="000000"/>
                <w:sz w:val="17"/>
                <w:szCs w:val="17"/>
              </w:rPr>
              <w:t xml:space="preserve">Ready</w:t>
            </w:r>
          </w:p>
        </w:tc>
      </w:tr>
    </w:tbl>
    <w:p>
      <w:pPr>
        <w:pStyle w:val="Heading1"/>
        <w:spacing w:after="200" w:before="400"/>
      </w:pPr>
      <w:r>
        <w:t xml:space="preserve">4. Portfolio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750"/>
        <w:gridCol w:w="750"/>
        <w:gridCol w:w="900"/>
        <w:gridCol w:w="600"/>
        <w:gridCol w:w="1350"/>
        <w:gridCol w:w="1700"/>
      </w:tblGrid>
      <w:tr>
        <w:trPr>
          <w:tblHeader/>
        </w:trPr>
        <w:tc>
          <w:tcPr>
            <w:tcW w:type="dxa" w:w="1650"/>
            <w:shd w:fill="1F3864" w:val="clear"/>
            <w:vAlign w:val="center"/>
          </w:tcPr>
          <w:p>
            <w:r>
              <w:rPr>
                <w:b/>
                <w:bCs/>
                <w:color w:val="FFFFFF"/>
                <w:sz w:val="17"/>
                <w:szCs w:val="17"/>
              </w:rPr>
              <w:t xml:space="preserve">Portfolio</w:t>
            </w:r>
          </w:p>
        </w:tc>
        <w:tc>
          <w:tcPr>
            <w:tcW w:type="dxa" w:w="1650"/>
            <w:shd w:fill="1F3864" w:val="clear"/>
            <w:vAlign w:val="center"/>
          </w:tcPr>
          <w:p>
            <w:r>
              <w:rPr>
                <w:b/>
                <w:bCs/>
                <w:color w:val="FFFFFF"/>
                <w:sz w:val="17"/>
                <w:szCs w:val="17"/>
              </w:rPr>
              <w:t xml:space="preserve">Approved WPs</w:t>
            </w:r>
          </w:p>
        </w:tc>
        <w:tc>
          <w:tcPr>
            <w:tcW w:type="dxa" w:w="750"/>
            <w:shd w:fill="1F3864" w:val="clear"/>
            <w:vAlign w:val="center"/>
          </w:tcPr>
          <w:p>
            <w:r>
              <w:rPr>
                <w:b/>
                <w:bCs/>
                <w:color w:val="FFFFFF"/>
                <w:sz w:val="17"/>
                <w:szCs w:val="17"/>
              </w:rPr>
              <w:t xml:space="preserve">Completed</w:t>
            </w:r>
          </w:p>
        </w:tc>
        <w:tc>
          <w:tcPr>
            <w:tcW w:type="dxa" w:w="750"/>
            <w:shd w:fill="1F3864" w:val="clear"/>
            <w:vAlign w:val="center"/>
          </w:tcPr>
          <w:p>
            <w:r>
              <w:rPr>
                <w:b/>
                <w:bCs/>
                <w:color w:val="FFFFFF"/>
                <w:sz w:val="17"/>
                <w:szCs w:val="17"/>
              </w:rPr>
              <w:t xml:space="preserve">In Progress</w:t>
            </w:r>
          </w:p>
        </w:tc>
        <w:tc>
          <w:tcPr>
            <w:tcW w:type="dxa" w:w="900"/>
            <w:shd w:fill="1F3864" w:val="clear"/>
            <w:vAlign w:val="center"/>
          </w:tcPr>
          <w:p>
            <w:r>
              <w:rPr>
                <w:b/>
                <w:bCs/>
                <w:color w:val="FFFFFF"/>
                <w:sz w:val="17"/>
                <w:szCs w:val="17"/>
              </w:rPr>
              <w:t xml:space="preserve">Deferred</w:t>
            </w:r>
          </w:p>
        </w:tc>
        <w:tc>
          <w:tcPr>
            <w:tcW w:type="dxa" w:w="600"/>
            <w:shd w:fill="1F3864" w:val="clear"/>
            <w:vAlign w:val="center"/>
          </w:tcPr>
          <w:p>
            <w:r>
              <w:rPr>
                <w:b/>
                <w:bCs/>
                <w:color w:val="FFFFFF"/>
                <w:sz w:val="17"/>
                <w:szCs w:val="17"/>
              </w:rPr>
              <w:t xml:space="preserve">Reserved</w:t>
            </w:r>
          </w:p>
        </w:tc>
        <w:tc>
          <w:tcPr>
            <w:tcW w:type="dxa" w:w="1350"/>
            <w:shd w:fill="1F3864" w:val="clear"/>
            <w:vAlign w:val="center"/>
          </w:tcPr>
          <w:p>
            <w:r>
              <w:rPr>
                <w:b/>
                <w:bCs/>
                <w:color w:val="FFFFFF"/>
                <w:sz w:val="17"/>
                <w:szCs w:val="17"/>
              </w:rPr>
              <w:t xml:space="preserve">Readiness</w:t>
            </w:r>
          </w:p>
        </w:tc>
        <w:tc>
          <w:tcPr>
            <w:tcW w:type="dxa" w:w="1700"/>
            <w:shd w:fill="1F3864" w:val="clear"/>
            <w:vAlign w:val="center"/>
          </w:tcPr>
          <w:p>
            <w:r>
              <w:rPr>
                <w:b/>
                <w:bCs/>
                <w:color w:val="FFFFFF"/>
                <w:sz w:val="17"/>
                <w:szCs w:val="17"/>
              </w:rPr>
              <w:t xml:space="preserve">Executive Assessment</w:t>
            </w:r>
          </w:p>
        </w:tc>
      </w:tr>
      <w:tr>
        <w:tc>
          <w:tcPr>
            <w:tcW w:type="dxa" w:w="1650"/>
            <w:vAlign w:val="center"/>
          </w:tcPr>
          <w:p>
            <w:r>
              <w:rPr>
                <w:b w:val="false"/>
                <w:bCs w:val="false"/>
                <w:color w:val="000000"/>
                <w:sz w:val="17"/>
                <w:szCs w:val="17"/>
              </w:rPr>
              <w:t xml:space="preserve">1 — Enterprise Data Platform</w:t>
            </w:r>
          </w:p>
        </w:tc>
        <w:tc>
          <w:tcPr>
            <w:tcW w:type="dxa" w:w="1650"/>
            <w:vAlign w:val="center"/>
          </w:tcPr>
          <w:p>
            <w:r>
              <w:rPr>
                <w:b w:val="false"/>
                <w:bCs w:val="false"/>
                <w:color w:val="000000"/>
                <w:sz w:val="17"/>
                <w:szCs w:val="17"/>
              </w:rPr>
              <w:t xml:space="preserve">WP-0001, WP-0003, WP-0004, WP-0005</w:t>
            </w:r>
          </w:p>
        </w:tc>
        <w:tc>
          <w:tcPr>
            <w:tcW w:type="dxa" w:w="750"/>
            <w:vAlign w:val="center"/>
          </w:tcPr>
          <w:p>
            <w:r>
              <w:rPr>
                <w:b w:val="false"/>
                <w:bCs w:val="false"/>
                <w:color w:val="000000"/>
                <w:sz w:val="17"/>
                <w:szCs w:val="17"/>
              </w:rPr>
              <w:t xml:space="preserve">0</w:t>
            </w:r>
          </w:p>
        </w:tc>
        <w:tc>
          <w:tcPr>
            <w:tcW w:type="dxa" w:w="750"/>
            <w:vAlign w:val="center"/>
          </w:tcPr>
          <w:p>
            <w:r>
              <w:rPr>
                <w:b w:val="false"/>
                <w:bCs w:val="false"/>
                <w:color w:val="000000"/>
                <w:sz w:val="17"/>
                <w:szCs w:val="17"/>
              </w:rPr>
              <w:t xml:space="preserve">0</w:t>
            </w:r>
          </w:p>
        </w:tc>
        <w:tc>
          <w:tcPr>
            <w:tcW w:type="dxa" w:w="900"/>
            <w:vAlign w:val="center"/>
          </w:tcPr>
          <w:p>
            <w:r>
              <w:rPr>
                <w:b w:val="false"/>
                <w:bCs w:val="false"/>
                <w:color w:val="000000"/>
                <w:sz w:val="17"/>
                <w:szCs w:val="17"/>
              </w:rPr>
              <w:t xml:space="preserve">1 (WP-0003, trigger-gated)</w:t>
            </w:r>
          </w:p>
        </w:tc>
        <w:tc>
          <w:tcPr>
            <w:tcW w:type="dxa" w:w="600"/>
            <w:vAlign w:val="center"/>
          </w:tcPr>
          <w:p>
            <w:r>
              <w:rPr>
                <w:b w:val="false"/>
                <w:bCs w:val="false"/>
                <w:color w:val="000000"/>
                <w:sz w:val="17"/>
                <w:szCs w:val="17"/>
              </w:rPr>
              <w:t xml:space="preserve">—</w:t>
            </w:r>
          </w:p>
        </w:tc>
        <w:tc>
          <w:tcPr>
            <w:tcW w:type="dxa" w:w="1350"/>
            <w:vAlign w:val="center"/>
          </w:tcPr>
          <w:p>
            <w:r>
              <w:rPr>
                <w:b w:val="false"/>
                <w:bCs w:val="false"/>
                <w:color w:val="000000"/>
                <w:sz w:val="17"/>
                <w:szCs w:val="17"/>
              </w:rPr>
              <w:t xml:space="preserve">Ready (3 of 4 WPs); monitoring-ready (1 of 4)</w:t>
            </w:r>
          </w:p>
        </w:tc>
        <w:tc>
          <w:tcPr>
            <w:tcW w:type="dxa" w:w="1700"/>
            <w:vAlign w:val="center"/>
          </w:tcPr>
          <w:p>
            <w:r>
              <w:rPr>
                <w:b w:val="false"/>
                <w:bCs w:val="false"/>
                <w:color w:val="000000"/>
                <w:sz w:val="17"/>
                <w:szCs w:val="17"/>
              </w:rPr>
              <w:t xml:space="preserve">Active — startable now for WP-0001/0004/0005; WP-0003 gated on external trigger data.</w:t>
            </w:r>
          </w:p>
        </w:tc>
      </w:tr>
      <w:tr>
        <w:tc>
          <w:tcPr>
            <w:tcW w:type="dxa" w:w="1650"/>
            <w:shd w:fill="F2F2F2" w:val="clear"/>
            <w:vAlign w:val="center"/>
          </w:tcPr>
          <w:p>
            <w:r>
              <w:rPr>
                <w:b w:val="false"/>
                <w:bCs w:val="false"/>
                <w:color w:val="000000"/>
                <w:sz w:val="17"/>
                <w:szCs w:val="17"/>
              </w:rPr>
              <w:t xml:space="preserve">2 — Enterprise Security</w:t>
            </w:r>
          </w:p>
        </w:tc>
        <w:tc>
          <w:tcPr>
            <w:tcW w:type="dxa" w:w="1650"/>
            <w:shd w:fill="F2F2F2" w:val="clear"/>
            <w:vAlign w:val="center"/>
          </w:tcPr>
          <w:p>
            <w:r>
              <w:rPr>
                <w:b w:val="false"/>
                <w:bCs w:val="false"/>
                <w:color w:val="000000"/>
                <w:sz w:val="17"/>
                <w:szCs w:val="17"/>
              </w:rPr>
              <w:t xml:space="preserve">WP-0002</w:t>
            </w:r>
          </w:p>
        </w:tc>
        <w:tc>
          <w:tcPr>
            <w:tcW w:type="dxa" w:w="750"/>
            <w:shd w:fill="F2F2F2" w:val="clear"/>
            <w:vAlign w:val="center"/>
          </w:tcPr>
          <w:p>
            <w:r>
              <w:rPr>
                <w:b w:val="false"/>
                <w:bCs w:val="false"/>
                <w:color w:val="000000"/>
                <w:sz w:val="17"/>
                <w:szCs w:val="17"/>
              </w:rPr>
              <w:t xml:space="preserve">0</w:t>
            </w:r>
          </w:p>
        </w:tc>
        <w:tc>
          <w:tcPr>
            <w:tcW w:type="dxa" w:w="750"/>
            <w:shd w:fill="F2F2F2" w:val="clear"/>
            <w:vAlign w:val="center"/>
          </w:tcPr>
          <w:p>
            <w:r>
              <w:rPr>
                <w:b w:val="false"/>
                <w:bCs w:val="false"/>
                <w:color w:val="000000"/>
                <w:sz w:val="17"/>
                <w:szCs w:val="17"/>
              </w:rPr>
              <w:t xml:space="preserve">0</w:t>
            </w:r>
          </w:p>
        </w:tc>
        <w:tc>
          <w:tcPr>
            <w:tcW w:type="dxa" w:w="900"/>
            <w:shd w:fill="F2F2F2" w:val="clear"/>
            <w:vAlign w:val="center"/>
          </w:tcPr>
          <w:p>
            <w:r>
              <w:rPr>
                <w:b w:val="false"/>
                <w:bCs w:val="false"/>
                <w:color w:val="000000"/>
                <w:sz w:val="17"/>
                <w:szCs w:val="17"/>
              </w:rPr>
              <w:t xml:space="preserve">0</w:t>
            </w:r>
          </w:p>
        </w:tc>
        <w:tc>
          <w:tcPr>
            <w:tcW w:type="dxa" w:w="600"/>
            <w:shd w:fill="F2F2F2" w:val="clear"/>
            <w:vAlign w:val="center"/>
          </w:tcPr>
          <w:p>
            <w:r>
              <w:rPr>
                <w:b w:val="false"/>
                <w:bCs w:val="false"/>
                <w:color w:val="000000"/>
                <w:sz w:val="17"/>
                <w:szCs w:val="17"/>
              </w:rPr>
              <w:t xml:space="preserve">—</w:t>
            </w:r>
          </w:p>
        </w:tc>
        <w:tc>
          <w:tcPr>
            <w:tcW w:type="dxa" w:w="1350"/>
            <w:shd w:fill="F2F2F2" w:val="clear"/>
            <w:vAlign w:val="center"/>
          </w:tcPr>
          <w:p>
            <w:r>
              <w:rPr>
                <w:b w:val="false"/>
                <w:bCs w:val="false"/>
                <w:color w:val="000000"/>
                <w:sz w:val="17"/>
                <w:szCs w:val="17"/>
              </w:rPr>
              <w:t xml:space="preserve">Ready — immediately executable</w:t>
            </w:r>
          </w:p>
        </w:tc>
        <w:tc>
          <w:tcPr>
            <w:tcW w:type="dxa" w:w="1700"/>
            <w:shd w:fill="F2F2F2" w:val="clear"/>
            <w:vAlign w:val="center"/>
          </w:tcPr>
          <w:p>
            <w:r>
              <w:rPr>
                <w:b w:val="false"/>
                <w:bCs w:val="false"/>
                <w:color w:val="000000"/>
                <w:sz w:val="17"/>
                <w:szCs w:val="17"/>
              </w:rPr>
              <w:t xml:space="preserve">Active — addresses the baseline's second-highest risk; startable now.</w:t>
            </w:r>
          </w:p>
        </w:tc>
      </w:tr>
      <w:tr>
        <w:tc>
          <w:tcPr>
            <w:tcW w:type="dxa" w:w="1650"/>
            <w:vAlign w:val="center"/>
          </w:tcPr>
          <w:p>
            <w:r>
              <w:rPr>
                <w:b w:val="false"/>
                <w:bCs w:val="false"/>
                <w:color w:val="000000"/>
                <w:sz w:val="17"/>
                <w:szCs w:val="17"/>
              </w:rPr>
              <w:t xml:space="preserve">8 — Governance &amp; Quality</w:t>
            </w:r>
          </w:p>
        </w:tc>
        <w:tc>
          <w:tcPr>
            <w:tcW w:type="dxa" w:w="1650"/>
            <w:vAlign w:val="center"/>
          </w:tcPr>
          <w:p>
            <w:r>
              <w:rPr>
                <w:b w:val="false"/>
                <w:bCs w:val="false"/>
                <w:color w:val="000000"/>
                <w:sz w:val="17"/>
                <w:szCs w:val="17"/>
              </w:rPr>
              <w:t xml:space="preserve">WP-0006</w:t>
            </w:r>
          </w:p>
        </w:tc>
        <w:tc>
          <w:tcPr>
            <w:tcW w:type="dxa" w:w="750"/>
            <w:vAlign w:val="center"/>
          </w:tcPr>
          <w:p>
            <w:r>
              <w:rPr>
                <w:b w:val="false"/>
                <w:bCs w:val="false"/>
                <w:color w:val="000000"/>
                <w:sz w:val="17"/>
                <w:szCs w:val="17"/>
              </w:rPr>
              <w:t xml:space="preserve">0</w:t>
            </w:r>
          </w:p>
        </w:tc>
        <w:tc>
          <w:tcPr>
            <w:tcW w:type="dxa" w:w="750"/>
            <w:vAlign w:val="center"/>
          </w:tcPr>
          <w:p>
            <w:r>
              <w:rPr>
                <w:b w:val="false"/>
                <w:bCs w:val="false"/>
                <w:color w:val="000000"/>
                <w:sz w:val="17"/>
                <w:szCs w:val="17"/>
              </w:rPr>
              <w:t xml:space="preserve">0</w:t>
            </w:r>
          </w:p>
        </w:tc>
        <w:tc>
          <w:tcPr>
            <w:tcW w:type="dxa" w:w="900"/>
            <w:vAlign w:val="center"/>
          </w:tcPr>
          <w:p>
            <w:r>
              <w:rPr>
                <w:b w:val="false"/>
                <w:bCs w:val="false"/>
                <w:color w:val="000000"/>
                <w:sz w:val="17"/>
                <w:szCs w:val="17"/>
              </w:rPr>
              <w:t xml:space="preserve">0</w:t>
            </w:r>
          </w:p>
        </w:tc>
        <w:tc>
          <w:tcPr>
            <w:tcW w:type="dxa" w:w="600"/>
            <w:vAlign w:val="center"/>
          </w:tcPr>
          <w:p>
            <w:r>
              <w:rPr>
                <w:b w:val="false"/>
                <w:bCs w:val="false"/>
                <w:color w:val="000000"/>
                <w:sz w:val="17"/>
                <w:szCs w:val="17"/>
              </w:rPr>
              <w:t xml:space="preserve">—</w:t>
            </w:r>
          </w:p>
        </w:tc>
        <w:tc>
          <w:tcPr>
            <w:tcW w:type="dxa" w:w="1350"/>
            <w:vAlign w:val="center"/>
          </w:tcPr>
          <w:p>
            <w:r>
              <w:rPr>
                <w:b w:val="false"/>
                <w:bCs w:val="false"/>
                <w:color w:val="000000"/>
                <w:sz w:val="17"/>
                <w:szCs w:val="17"/>
              </w:rPr>
              <w:t xml:space="preserve">Ready — immediately executable</w:t>
            </w:r>
          </w:p>
        </w:tc>
        <w:tc>
          <w:tcPr>
            <w:tcW w:type="dxa" w:w="1700"/>
            <w:vAlign w:val="center"/>
          </w:tcPr>
          <w:p>
            <w:r>
              <w:rPr>
                <w:b w:val="false"/>
                <w:bCs w:val="false"/>
                <w:color w:val="000000"/>
                <w:sz w:val="17"/>
                <w:szCs w:val="17"/>
              </w:rPr>
              <w:t xml:space="preserve">Active — the organizational precondition for every other portfolio's accountable execution.</w:t>
            </w:r>
          </w:p>
        </w:tc>
      </w:tr>
      <w:tr>
        <w:tc>
          <w:tcPr>
            <w:tcW w:type="dxa" w:w="1650"/>
            <w:shd w:fill="F2F2F2" w:val="clear"/>
            <w:vAlign w:val="center"/>
          </w:tcPr>
          <w:p>
            <w:r>
              <w:rPr>
                <w:b w:val="false"/>
                <w:bCs w:val="false"/>
                <w:color w:val="000000"/>
                <w:sz w:val="17"/>
                <w:szCs w:val="17"/>
              </w:rPr>
              <w:t xml:space="preserve">3 — Enterprise AI</w:t>
            </w:r>
          </w:p>
        </w:tc>
        <w:tc>
          <w:tcPr>
            <w:tcW w:type="dxa" w:w="1650"/>
            <w:shd w:fill="F2F2F2" w:val="clear"/>
            <w:vAlign w:val="center"/>
          </w:tcPr>
          <w:p>
            <w:r>
              <w:rPr>
                <w:b w:val="false"/>
                <w:bCs w:val="false"/>
                <w:color w:val="000000"/>
                <w:sz w:val="17"/>
                <w:szCs w:val="17"/>
              </w:rPr>
              <w:t xml:space="preserve">None</w:t>
            </w:r>
          </w:p>
        </w:tc>
        <w:tc>
          <w:tcPr>
            <w:tcW w:type="dxa" w:w="750"/>
            <w:shd w:fill="F2F2F2" w:val="clear"/>
            <w:vAlign w:val="center"/>
          </w:tcPr>
          <w:p>
            <w:r>
              <w:rPr>
                <w:b w:val="false"/>
                <w:bCs w:val="false"/>
                <w:color w:val="000000"/>
                <w:sz w:val="17"/>
                <w:szCs w:val="17"/>
              </w:rPr>
              <w:t xml:space="preserve">—</w:t>
            </w:r>
          </w:p>
        </w:tc>
        <w:tc>
          <w:tcPr>
            <w:tcW w:type="dxa" w:w="750"/>
            <w:shd w:fill="F2F2F2" w:val="clear"/>
            <w:vAlign w:val="center"/>
          </w:tcPr>
          <w:p>
            <w:r>
              <w:rPr>
                <w:b w:val="false"/>
                <w:bCs w:val="false"/>
                <w:color w:val="000000"/>
                <w:sz w:val="17"/>
                <w:szCs w:val="17"/>
              </w:rPr>
              <w:t xml:space="preserve">—</w:t>
            </w:r>
          </w:p>
        </w:tc>
        <w:tc>
          <w:tcPr>
            <w:tcW w:type="dxa" w:w="900"/>
            <w:shd w:fill="F2F2F2" w:val="clear"/>
            <w:vAlign w:val="center"/>
          </w:tcPr>
          <w:p>
            <w:r>
              <w:rPr>
                <w:b w:val="false"/>
                <w:bCs w:val="false"/>
                <w:color w:val="000000"/>
                <w:sz w:val="17"/>
                <w:szCs w:val="17"/>
              </w:rPr>
              <w:t xml:space="preserve">—</w:t>
            </w:r>
          </w:p>
        </w:tc>
        <w:tc>
          <w:tcPr>
            <w:tcW w:type="dxa" w:w="600"/>
            <w:shd w:fill="F2F2F2" w:val="clear"/>
            <w:vAlign w:val="center"/>
          </w:tcPr>
          <w:p>
            <w:r>
              <w:rPr>
                <w:b w:val="false"/>
                <w:bCs w:val="false"/>
                <w:color w:val="000000"/>
                <w:sz w:val="17"/>
                <w:szCs w:val="17"/>
              </w:rPr>
              <w:t xml:space="preserve">All</w:t>
            </w:r>
          </w:p>
        </w:tc>
        <w:tc>
          <w:tcPr>
            <w:tcW w:type="dxa" w:w="1350"/>
            <w:shd w:fill="F2F2F2" w:val="clear"/>
            <w:vAlign w:val="center"/>
          </w:tcPr>
          <w:p>
            <w:r>
              <w:rPr>
                <w:b w:val="false"/>
                <w:bCs w:val="false"/>
                <w:color w:val="000000"/>
                <w:sz w:val="17"/>
                <w:szCs w:val="17"/>
              </w:rPr>
              <w:t xml:space="preserve">Not Applicable</w:t>
            </w:r>
          </w:p>
        </w:tc>
        <w:tc>
          <w:tcPr>
            <w:tcW w:type="dxa" w:w="1700"/>
            <w:shd w:fill="F2F2F2" w:val="clear"/>
            <w:vAlign w:val="center"/>
          </w:tcPr>
          <w:p>
            <w:r>
              <w:rPr>
                <w:b w:val="false"/>
                <w:bCs w:val="false"/>
                <w:color w:val="000000"/>
                <w:sz w:val="17"/>
                <w:szCs w:val="17"/>
              </w:rPr>
              <w:t xml:space="preserve">Reserved for Future Realization Phases — no AI-domain realization assessment exists.</w:t>
            </w:r>
          </w:p>
        </w:tc>
      </w:tr>
      <w:tr>
        <w:tc>
          <w:tcPr>
            <w:tcW w:type="dxa" w:w="1650"/>
            <w:vAlign w:val="center"/>
          </w:tcPr>
          <w:p>
            <w:r>
              <w:rPr>
                <w:b w:val="false"/>
                <w:bCs w:val="false"/>
                <w:color w:val="000000"/>
                <w:sz w:val="17"/>
                <w:szCs w:val="17"/>
              </w:rPr>
              <w:t xml:space="preserve">4 — Business Capabilities</w:t>
            </w:r>
          </w:p>
        </w:tc>
        <w:tc>
          <w:tcPr>
            <w:tcW w:type="dxa" w:w="1650"/>
            <w:vAlign w:val="center"/>
          </w:tcPr>
          <w:p>
            <w:r>
              <w:rPr>
                <w:b w:val="false"/>
                <w:bCs w:val="false"/>
                <w:color w:val="000000"/>
                <w:sz w:val="17"/>
                <w:szCs w:val="17"/>
              </w:rPr>
              <w:t xml:space="preserve">None</w:t>
            </w:r>
          </w:p>
        </w:tc>
        <w:tc>
          <w:tcPr>
            <w:tcW w:type="dxa" w:w="750"/>
            <w:vAlign w:val="center"/>
          </w:tcPr>
          <w:p>
            <w:r>
              <w:rPr>
                <w:b w:val="false"/>
                <w:bCs w:val="false"/>
                <w:color w:val="000000"/>
                <w:sz w:val="17"/>
                <w:szCs w:val="17"/>
              </w:rPr>
              <w:t xml:space="preserve">—</w:t>
            </w:r>
          </w:p>
        </w:tc>
        <w:tc>
          <w:tcPr>
            <w:tcW w:type="dxa" w:w="750"/>
            <w:vAlign w:val="center"/>
          </w:tcPr>
          <w:p>
            <w:r>
              <w:rPr>
                <w:b w:val="false"/>
                <w:bCs w:val="false"/>
                <w:color w:val="000000"/>
                <w:sz w:val="17"/>
                <w:szCs w:val="17"/>
              </w:rPr>
              <w:t xml:space="preserve">—</w:t>
            </w:r>
          </w:p>
        </w:tc>
        <w:tc>
          <w:tcPr>
            <w:tcW w:type="dxa" w:w="900"/>
            <w:vAlign w:val="center"/>
          </w:tcPr>
          <w:p>
            <w:r>
              <w:rPr>
                <w:b w:val="false"/>
                <w:bCs w:val="false"/>
                <w:color w:val="000000"/>
                <w:sz w:val="17"/>
                <w:szCs w:val="17"/>
              </w:rPr>
              <w:t xml:space="preserve">—</w:t>
            </w:r>
          </w:p>
        </w:tc>
        <w:tc>
          <w:tcPr>
            <w:tcW w:type="dxa" w:w="600"/>
            <w:vAlign w:val="center"/>
          </w:tcPr>
          <w:p>
            <w:r>
              <w:rPr>
                <w:b w:val="false"/>
                <w:bCs w:val="false"/>
                <w:color w:val="000000"/>
                <w:sz w:val="17"/>
                <w:szCs w:val="17"/>
              </w:rPr>
              <w:t xml:space="preserve">All</w:t>
            </w:r>
          </w:p>
        </w:tc>
        <w:tc>
          <w:tcPr>
            <w:tcW w:type="dxa" w:w="1350"/>
            <w:vAlign w:val="center"/>
          </w:tcPr>
          <w:p>
            <w:r>
              <w:rPr>
                <w:b w:val="false"/>
                <w:bCs w:val="false"/>
                <w:color w:val="000000"/>
                <w:sz w:val="17"/>
                <w:szCs w:val="17"/>
              </w:rPr>
              <w:t xml:space="preserve">Not Applicable</w:t>
            </w:r>
          </w:p>
        </w:tc>
        <w:tc>
          <w:tcPr>
            <w:tcW w:type="dxa" w:w="1700"/>
            <w:vAlign w:val="center"/>
          </w:tcPr>
          <w:p>
            <w:r>
              <w:rPr>
                <w:b w:val="false"/>
                <w:bCs w:val="false"/>
                <w:color w:val="000000"/>
                <w:sz w:val="17"/>
                <w:szCs w:val="17"/>
              </w:rPr>
              <w:t xml:space="preserve">Reserved for Future Realization Phases — no business-capability realization assessment exists.</w:t>
            </w:r>
          </w:p>
        </w:tc>
      </w:tr>
      <w:tr>
        <w:tc>
          <w:tcPr>
            <w:tcW w:type="dxa" w:w="1650"/>
            <w:shd w:fill="F2F2F2" w:val="clear"/>
            <w:vAlign w:val="center"/>
          </w:tcPr>
          <w:p>
            <w:r>
              <w:rPr>
                <w:b w:val="false"/>
                <w:bCs w:val="false"/>
                <w:color w:val="000000"/>
                <w:sz w:val="17"/>
                <w:szCs w:val="17"/>
              </w:rPr>
              <w:t xml:space="preserve">5 — Knowledge Platform</w:t>
            </w:r>
          </w:p>
        </w:tc>
        <w:tc>
          <w:tcPr>
            <w:tcW w:type="dxa" w:w="1650"/>
            <w:shd w:fill="F2F2F2" w:val="clear"/>
            <w:vAlign w:val="center"/>
          </w:tcPr>
          <w:p>
            <w:r>
              <w:rPr>
                <w:b w:val="false"/>
                <w:bCs w:val="false"/>
                <w:color w:val="000000"/>
                <w:sz w:val="17"/>
                <w:szCs w:val="17"/>
              </w:rPr>
              <w:t xml:space="preserve">None</w:t>
            </w:r>
          </w:p>
        </w:tc>
        <w:tc>
          <w:tcPr>
            <w:tcW w:type="dxa" w:w="750"/>
            <w:shd w:fill="F2F2F2" w:val="clear"/>
            <w:vAlign w:val="center"/>
          </w:tcPr>
          <w:p>
            <w:r>
              <w:rPr>
                <w:b w:val="false"/>
                <w:bCs w:val="false"/>
                <w:color w:val="000000"/>
                <w:sz w:val="17"/>
                <w:szCs w:val="17"/>
              </w:rPr>
              <w:t xml:space="preserve">—</w:t>
            </w:r>
          </w:p>
        </w:tc>
        <w:tc>
          <w:tcPr>
            <w:tcW w:type="dxa" w:w="750"/>
            <w:shd w:fill="F2F2F2" w:val="clear"/>
            <w:vAlign w:val="center"/>
          </w:tcPr>
          <w:p>
            <w:r>
              <w:rPr>
                <w:b w:val="false"/>
                <w:bCs w:val="false"/>
                <w:color w:val="000000"/>
                <w:sz w:val="17"/>
                <w:szCs w:val="17"/>
              </w:rPr>
              <w:t xml:space="preserve">—</w:t>
            </w:r>
          </w:p>
        </w:tc>
        <w:tc>
          <w:tcPr>
            <w:tcW w:type="dxa" w:w="900"/>
            <w:shd w:fill="F2F2F2" w:val="clear"/>
            <w:vAlign w:val="center"/>
          </w:tcPr>
          <w:p>
            <w:r>
              <w:rPr>
                <w:b w:val="false"/>
                <w:bCs w:val="false"/>
                <w:color w:val="000000"/>
                <w:sz w:val="17"/>
                <w:szCs w:val="17"/>
              </w:rPr>
              <w:t xml:space="preserve">—</w:t>
            </w:r>
          </w:p>
        </w:tc>
        <w:tc>
          <w:tcPr>
            <w:tcW w:type="dxa" w:w="600"/>
            <w:shd w:fill="F2F2F2" w:val="clear"/>
            <w:vAlign w:val="center"/>
          </w:tcPr>
          <w:p>
            <w:r>
              <w:rPr>
                <w:b w:val="false"/>
                <w:bCs w:val="false"/>
                <w:color w:val="000000"/>
                <w:sz w:val="17"/>
                <w:szCs w:val="17"/>
              </w:rPr>
              <w:t xml:space="preserve">All</w:t>
            </w:r>
          </w:p>
        </w:tc>
        <w:tc>
          <w:tcPr>
            <w:tcW w:type="dxa" w:w="1350"/>
            <w:shd w:fill="F2F2F2" w:val="clear"/>
            <w:vAlign w:val="center"/>
          </w:tcPr>
          <w:p>
            <w:r>
              <w:rPr>
                <w:b w:val="false"/>
                <w:bCs w:val="false"/>
                <w:color w:val="000000"/>
                <w:sz w:val="17"/>
                <w:szCs w:val="17"/>
              </w:rPr>
              <w:t xml:space="preserve">Not Applicable</w:t>
            </w:r>
          </w:p>
        </w:tc>
        <w:tc>
          <w:tcPr>
            <w:tcW w:type="dxa" w:w="1700"/>
            <w:shd w:fill="F2F2F2" w:val="clear"/>
            <w:vAlign w:val="center"/>
          </w:tcPr>
          <w:p>
            <w:r>
              <w:rPr>
                <w:b w:val="false"/>
                <w:bCs w:val="false"/>
                <w:color w:val="000000"/>
                <w:sz w:val="17"/>
                <w:szCs w:val="17"/>
              </w:rPr>
              <w:t xml:space="preserve">Reserved for Future Realization Phases — no knowledge-platform realization assessment exists.</w:t>
            </w:r>
          </w:p>
        </w:tc>
      </w:tr>
      <w:tr>
        <w:tc>
          <w:tcPr>
            <w:tcW w:type="dxa" w:w="1650"/>
            <w:vAlign w:val="center"/>
          </w:tcPr>
          <w:p>
            <w:r>
              <w:rPr>
                <w:b w:val="false"/>
                <w:bCs w:val="false"/>
                <w:color w:val="000000"/>
                <w:sz w:val="17"/>
                <w:szCs w:val="17"/>
              </w:rPr>
              <w:t xml:space="preserve">6 — Integration Platform</w:t>
            </w:r>
          </w:p>
        </w:tc>
        <w:tc>
          <w:tcPr>
            <w:tcW w:type="dxa" w:w="1650"/>
            <w:vAlign w:val="center"/>
          </w:tcPr>
          <w:p>
            <w:r>
              <w:rPr>
                <w:b w:val="false"/>
                <w:bCs w:val="false"/>
                <w:color w:val="000000"/>
                <w:sz w:val="17"/>
                <w:szCs w:val="17"/>
              </w:rPr>
              <w:t xml:space="preserve">None</w:t>
            </w:r>
          </w:p>
        </w:tc>
        <w:tc>
          <w:tcPr>
            <w:tcW w:type="dxa" w:w="750"/>
            <w:vAlign w:val="center"/>
          </w:tcPr>
          <w:p>
            <w:r>
              <w:rPr>
                <w:b w:val="false"/>
                <w:bCs w:val="false"/>
                <w:color w:val="000000"/>
                <w:sz w:val="17"/>
                <w:szCs w:val="17"/>
              </w:rPr>
              <w:t xml:space="preserve">—</w:t>
            </w:r>
          </w:p>
        </w:tc>
        <w:tc>
          <w:tcPr>
            <w:tcW w:type="dxa" w:w="750"/>
            <w:vAlign w:val="center"/>
          </w:tcPr>
          <w:p>
            <w:r>
              <w:rPr>
                <w:b w:val="false"/>
                <w:bCs w:val="false"/>
                <w:color w:val="000000"/>
                <w:sz w:val="17"/>
                <w:szCs w:val="17"/>
              </w:rPr>
              <w:t xml:space="preserve">—</w:t>
            </w:r>
          </w:p>
        </w:tc>
        <w:tc>
          <w:tcPr>
            <w:tcW w:type="dxa" w:w="900"/>
            <w:vAlign w:val="center"/>
          </w:tcPr>
          <w:p>
            <w:r>
              <w:rPr>
                <w:b w:val="false"/>
                <w:bCs w:val="false"/>
                <w:color w:val="000000"/>
                <w:sz w:val="17"/>
                <w:szCs w:val="17"/>
              </w:rPr>
              <w:t xml:space="preserve">—</w:t>
            </w:r>
          </w:p>
        </w:tc>
        <w:tc>
          <w:tcPr>
            <w:tcW w:type="dxa" w:w="600"/>
            <w:vAlign w:val="center"/>
          </w:tcPr>
          <w:p>
            <w:r>
              <w:rPr>
                <w:b w:val="false"/>
                <w:bCs w:val="false"/>
                <w:color w:val="000000"/>
                <w:sz w:val="17"/>
                <w:szCs w:val="17"/>
              </w:rPr>
              <w:t xml:space="preserve">All</w:t>
            </w:r>
          </w:p>
        </w:tc>
        <w:tc>
          <w:tcPr>
            <w:tcW w:type="dxa" w:w="1350"/>
            <w:vAlign w:val="center"/>
          </w:tcPr>
          <w:p>
            <w:r>
              <w:rPr>
                <w:b w:val="false"/>
                <w:bCs w:val="false"/>
                <w:color w:val="000000"/>
                <w:sz w:val="17"/>
                <w:szCs w:val="17"/>
              </w:rPr>
              <w:t xml:space="preserve">Not Applicable</w:t>
            </w:r>
          </w:p>
        </w:tc>
        <w:tc>
          <w:tcPr>
            <w:tcW w:type="dxa" w:w="1700"/>
            <w:vAlign w:val="center"/>
          </w:tcPr>
          <w:p>
            <w:r>
              <w:rPr>
                <w:b w:val="false"/>
                <w:bCs w:val="false"/>
                <w:color w:val="000000"/>
                <w:sz w:val="17"/>
                <w:szCs w:val="17"/>
              </w:rPr>
              <w:t xml:space="preserve">Reserved for Future Realization Phases — no integration realization assessment exists.</w:t>
            </w:r>
          </w:p>
        </w:tc>
      </w:tr>
      <w:tr>
        <w:tc>
          <w:tcPr>
            <w:tcW w:type="dxa" w:w="1650"/>
            <w:shd w:fill="F2F2F2" w:val="clear"/>
            <w:vAlign w:val="center"/>
          </w:tcPr>
          <w:p>
            <w:r>
              <w:rPr>
                <w:b w:val="false"/>
                <w:bCs w:val="false"/>
                <w:color w:val="000000"/>
                <w:sz w:val="17"/>
                <w:szCs w:val="17"/>
              </w:rPr>
              <w:t xml:space="preserve">7 — Operations &amp; Observability</w:t>
            </w:r>
          </w:p>
        </w:tc>
        <w:tc>
          <w:tcPr>
            <w:tcW w:type="dxa" w:w="1650"/>
            <w:shd w:fill="F2F2F2" w:val="clear"/>
            <w:vAlign w:val="center"/>
          </w:tcPr>
          <w:p>
            <w:r>
              <w:rPr>
                <w:b w:val="false"/>
                <w:bCs w:val="false"/>
                <w:color w:val="000000"/>
                <w:sz w:val="17"/>
                <w:szCs w:val="17"/>
              </w:rPr>
              <w:t xml:space="preserve">None</w:t>
            </w:r>
          </w:p>
        </w:tc>
        <w:tc>
          <w:tcPr>
            <w:tcW w:type="dxa" w:w="750"/>
            <w:shd w:fill="F2F2F2" w:val="clear"/>
            <w:vAlign w:val="center"/>
          </w:tcPr>
          <w:p>
            <w:r>
              <w:rPr>
                <w:b w:val="false"/>
                <w:bCs w:val="false"/>
                <w:color w:val="000000"/>
                <w:sz w:val="17"/>
                <w:szCs w:val="17"/>
              </w:rPr>
              <w:t xml:space="preserve">—</w:t>
            </w:r>
          </w:p>
        </w:tc>
        <w:tc>
          <w:tcPr>
            <w:tcW w:type="dxa" w:w="750"/>
            <w:shd w:fill="F2F2F2" w:val="clear"/>
            <w:vAlign w:val="center"/>
          </w:tcPr>
          <w:p>
            <w:r>
              <w:rPr>
                <w:b w:val="false"/>
                <w:bCs w:val="false"/>
                <w:color w:val="000000"/>
                <w:sz w:val="17"/>
                <w:szCs w:val="17"/>
              </w:rPr>
              <w:t xml:space="preserve">—</w:t>
            </w:r>
          </w:p>
        </w:tc>
        <w:tc>
          <w:tcPr>
            <w:tcW w:type="dxa" w:w="900"/>
            <w:shd w:fill="F2F2F2" w:val="clear"/>
            <w:vAlign w:val="center"/>
          </w:tcPr>
          <w:p>
            <w:r>
              <w:rPr>
                <w:b w:val="false"/>
                <w:bCs w:val="false"/>
                <w:color w:val="000000"/>
                <w:sz w:val="17"/>
                <w:szCs w:val="17"/>
              </w:rPr>
              <w:t xml:space="preserve">—</w:t>
            </w:r>
          </w:p>
        </w:tc>
        <w:tc>
          <w:tcPr>
            <w:tcW w:type="dxa" w:w="600"/>
            <w:shd w:fill="F2F2F2" w:val="clear"/>
            <w:vAlign w:val="center"/>
          </w:tcPr>
          <w:p>
            <w:r>
              <w:rPr>
                <w:b w:val="false"/>
                <w:bCs w:val="false"/>
                <w:color w:val="000000"/>
                <w:sz w:val="17"/>
                <w:szCs w:val="17"/>
              </w:rPr>
              <w:t xml:space="preserve">All</w:t>
            </w:r>
          </w:p>
        </w:tc>
        <w:tc>
          <w:tcPr>
            <w:tcW w:type="dxa" w:w="1350"/>
            <w:shd w:fill="F2F2F2" w:val="clear"/>
            <w:vAlign w:val="center"/>
          </w:tcPr>
          <w:p>
            <w:r>
              <w:rPr>
                <w:b w:val="false"/>
                <w:bCs w:val="false"/>
                <w:color w:val="000000"/>
                <w:sz w:val="17"/>
                <w:szCs w:val="17"/>
              </w:rPr>
              <w:t xml:space="preserve">Not Applicable</w:t>
            </w:r>
          </w:p>
        </w:tc>
        <w:tc>
          <w:tcPr>
            <w:tcW w:type="dxa" w:w="1700"/>
            <w:shd w:fill="F2F2F2" w:val="clear"/>
            <w:vAlign w:val="center"/>
          </w:tcPr>
          <w:p>
            <w:r>
              <w:rPr>
                <w:b w:val="false"/>
                <w:bCs w:val="false"/>
                <w:color w:val="000000"/>
                <w:sz w:val="17"/>
                <w:szCs w:val="17"/>
              </w:rPr>
              <w:t xml:space="preserve">Reserved for Future Realization Phases — no operations realization assessment exists.</w:t>
            </w:r>
          </w:p>
        </w:tc>
      </w:tr>
    </w:tbl>
    <w:p>
      <w:pPr>
        <w:pStyle w:val="Heading1"/>
        <w:spacing w:after="200" w:before="400"/>
      </w:pPr>
      <w:r>
        <w:t xml:space="preserve">5. Wave Progress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100"/>
        <w:gridCol w:w="1700"/>
        <w:gridCol w:w="1150"/>
        <w:gridCol w:w="1000"/>
      </w:tblGrid>
      <w:tr>
        <w:trPr>
          <w:tblHeader/>
        </w:trPr>
        <w:tc>
          <w:tcPr>
            <w:tcW w:type="dxa" w:w="1900"/>
            <w:shd w:fill="1F3864" w:val="clear"/>
            <w:vAlign w:val="center"/>
          </w:tcPr>
          <w:p>
            <w:r>
              <w:rPr>
                <w:b/>
                <w:bCs/>
                <w:color w:val="FFFFFF"/>
                <w:sz w:val="17"/>
                <w:szCs w:val="17"/>
              </w:rPr>
              <w:t xml:space="preserve">Wave</w:t>
            </w:r>
          </w:p>
        </w:tc>
        <w:tc>
          <w:tcPr>
            <w:tcW w:type="dxa" w:w="1500"/>
            <w:shd w:fill="1F3864" w:val="clear"/>
            <w:vAlign w:val="center"/>
          </w:tcPr>
          <w:p>
            <w:r>
              <w:rPr>
                <w:b/>
                <w:bCs/>
                <w:color w:val="FFFFFF"/>
                <w:sz w:val="17"/>
                <w:szCs w:val="17"/>
              </w:rPr>
              <w:t xml:space="preserve">Work Packages</w:t>
            </w:r>
          </w:p>
        </w:tc>
        <w:tc>
          <w:tcPr>
            <w:tcW w:type="dxa" w:w="2100"/>
            <w:shd w:fill="1F3864" w:val="clear"/>
            <w:vAlign w:val="center"/>
          </w:tcPr>
          <w:p>
            <w:r>
              <w:rPr>
                <w:b/>
                <w:bCs/>
                <w:color w:val="FFFFFF"/>
                <w:sz w:val="17"/>
                <w:szCs w:val="17"/>
              </w:rPr>
              <w:t xml:space="preserve">Dependencies</w:t>
            </w:r>
          </w:p>
        </w:tc>
        <w:tc>
          <w:tcPr>
            <w:tcW w:type="dxa" w:w="1700"/>
            <w:shd w:fill="1F3864" w:val="clear"/>
            <w:vAlign w:val="center"/>
          </w:tcPr>
          <w:p>
            <w:r>
              <w:rPr>
                <w:b/>
                <w:bCs/>
                <w:color w:val="FFFFFF"/>
                <w:sz w:val="17"/>
                <w:szCs w:val="17"/>
              </w:rPr>
              <w:t xml:space="preserve">Current Readiness</w:t>
            </w:r>
          </w:p>
        </w:tc>
        <w:tc>
          <w:tcPr>
            <w:tcW w:type="dxa" w:w="1150"/>
            <w:shd w:fill="1F3864" w:val="clear"/>
            <w:vAlign w:val="center"/>
          </w:tcPr>
          <w:p>
            <w:r>
              <w:rPr>
                <w:b/>
                <w:bCs/>
                <w:color w:val="FFFFFF"/>
                <w:sz w:val="17"/>
                <w:szCs w:val="17"/>
              </w:rPr>
              <w:t xml:space="preserve">Outstanding Conditions</w:t>
            </w:r>
          </w:p>
        </w:tc>
        <w:tc>
          <w:tcPr>
            <w:tcW w:type="dxa" w:w="1000"/>
            <w:shd w:fill="1F3864" w:val="clear"/>
            <w:vAlign w:val="center"/>
          </w:tcPr>
          <w:p>
            <w:r>
              <w:rPr>
                <w:b/>
                <w:bCs/>
                <w:color w:val="FFFFFF"/>
                <w:sz w:val="17"/>
                <w:szCs w:val="17"/>
              </w:rPr>
              <w:t xml:space="preserve">Executive Assessment</w:t>
            </w:r>
          </w:p>
        </w:tc>
      </w:tr>
      <w:tr>
        <w:tc>
          <w:tcPr>
            <w:tcW w:type="dxa" w:w="1900"/>
            <w:vAlign w:val="center"/>
          </w:tcPr>
          <w:p>
            <w:r>
              <w:rPr>
                <w:b w:val="false"/>
                <w:bCs w:val="false"/>
                <w:color w:val="000000"/>
                <w:sz w:val="17"/>
                <w:szCs w:val="17"/>
              </w:rPr>
              <w:t xml:space="preserve">Wave 1 — Critical Foundation</w:t>
            </w:r>
          </w:p>
        </w:tc>
        <w:tc>
          <w:tcPr>
            <w:tcW w:type="dxa" w:w="1500"/>
            <w:vAlign w:val="center"/>
          </w:tcPr>
          <w:p>
            <w:r>
              <w:rPr>
                <w:b w:val="false"/>
                <w:bCs w:val="false"/>
                <w:color w:val="000000"/>
                <w:sz w:val="17"/>
                <w:szCs w:val="17"/>
              </w:rPr>
              <w:t xml:space="preserve">WP-0002, WP-0006</w:t>
            </w:r>
          </w:p>
        </w:tc>
        <w:tc>
          <w:tcPr>
            <w:tcW w:type="dxa" w:w="2100"/>
            <w:vAlign w:val="center"/>
          </w:tcPr>
          <w:p>
            <w:r>
              <w:rPr>
                <w:b w:val="false"/>
                <w:bCs w:val="false"/>
                <w:color w:val="000000"/>
                <w:sz w:val="17"/>
                <w:szCs w:val="17"/>
              </w:rPr>
              <w:t xml:space="preserve">None</w:t>
            </w:r>
          </w:p>
        </w:tc>
        <w:tc>
          <w:tcPr>
            <w:tcW w:type="dxa" w:w="1700"/>
            <w:vAlign w:val="center"/>
          </w:tcPr>
          <w:p>
            <w:r>
              <w:rPr>
                <w:b w:val="false"/>
                <w:bCs w:val="false"/>
                <w:color w:val="000000"/>
                <w:sz w:val="17"/>
                <w:szCs w:val="17"/>
              </w:rPr>
              <w:t xml:space="preserve">Immediately startable — zero blocking dependency for either Work Package.</w:t>
            </w:r>
          </w:p>
        </w:tc>
        <w:tc>
          <w:tcPr>
            <w:tcW w:type="dxa" w:w="1150"/>
            <w:vAlign w:val="center"/>
          </w:tcPr>
          <w:p>
            <w:r>
              <w:rPr>
                <w:b w:val="false"/>
                <w:bCs w:val="false"/>
                <w:color w:val="000000"/>
                <w:sz w:val="17"/>
                <w:szCs w:val="17"/>
              </w:rPr>
              <w:t xml:space="preserve">None</w:t>
            </w:r>
          </w:p>
        </w:tc>
        <w:tc>
          <w:tcPr>
            <w:tcW w:type="dxa" w:w="1000"/>
            <w:vAlign w:val="center"/>
          </w:tcPr>
          <w:p>
            <w:r>
              <w:rPr>
                <w:b w:val="false"/>
                <w:bCs w:val="false"/>
                <w:color w:val="000000"/>
                <w:sz w:val="17"/>
                <w:szCs w:val="17"/>
              </w:rPr>
              <w:t xml:space="preserve">Ready — both Work Packages fully specified and executable today.</w:t>
            </w:r>
          </w:p>
        </w:tc>
      </w:tr>
      <w:tr>
        <w:tc>
          <w:tcPr>
            <w:tcW w:type="dxa" w:w="1900"/>
            <w:shd w:fill="F2F2F2" w:val="clear"/>
            <w:vAlign w:val="center"/>
          </w:tcPr>
          <w:p>
            <w:r>
              <w:rPr>
                <w:b w:val="false"/>
                <w:bCs w:val="false"/>
                <w:color w:val="000000"/>
                <w:sz w:val="17"/>
                <w:szCs w:val="17"/>
              </w:rPr>
              <w:t xml:space="preserve">Wave 2 — Platform Stabilization</w:t>
            </w:r>
          </w:p>
        </w:tc>
        <w:tc>
          <w:tcPr>
            <w:tcW w:type="dxa" w:w="1500"/>
            <w:shd w:fill="F2F2F2" w:val="clear"/>
            <w:vAlign w:val="center"/>
          </w:tcPr>
          <w:p>
            <w:r>
              <w:rPr>
                <w:b w:val="false"/>
                <w:bCs w:val="false"/>
                <w:color w:val="000000"/>
                <w:sz w:val="17"/>
                <w:szCs w:val="17"/>
              </w:rPr>
              <w:t xml:space="preserve">WP-0001, WP-0004, WP-0005</w:t>
            </w:r>
          </w:p>
        </w:tc>
        <w:tc>
          <w:tcPr>
            <w:tcW w:type="dxa" w:w="2100"/>
            <w:shd w:fill="F2F2F2" w:val="clear"/>
            <w:vAlign w:val="center"/>
          </w:tcPr>
          <w:p>
            <w:r>
              <w:rPr>
                <w:b w:val="false"/>
                <w:bCs w:val="false"/>
                <w:color w:val="000000"/>
                <w:sz w:val="17"/>
                <w:szCs w:val="17"/>
              </w:rPr>
              <w:t xml:space="preserve">Benefits from, but is not blocked by, respective Wave 1 predecessors.</w:t>
            </w:r>
          </w:p>
        </w:tc>
        <w:tc>
          <w:tcPr>
            <w:tcW w:type="dxa" w:w="1700"/>
            <w:shd w:fill="F2F2F2" w:val="clear"/>
            <w:vAlign w:val="center"/>
          </w:tcPr>
          <w:p>
            <w:r>
              <w:rPr>
                <w:b w:val="false"/>
                <w:bCs w:val="false"/>
                <w:color w:val="000000"/>
                <w:sz w:val="17"/>
                <w:szCs w:val="17"/>
              </w:rPr>
              <w:t xml:space="preserve">None strictly blocking; recommended sequencing after Wave 1.</w:t>
            </w:r>
          </w:p>
        </w:tc>
        <w:tc>
          <w:tcPr>
            <w:tcW w:type="dxa" w:w="1150"/>
            <w:shd w:fill="F2F2F2" w:val="clear"/>
            <w:vAlign w:val="center"/>
          </w:tcPr>
          <w:p>
            <w:r>
              <w:rPr>
                <w:b w:val="false"/>
                <w:bCs w:val="false"/>
                <w:color w:val="000000"/>
                <w:sz w:val="17"/>
                <w:szCs w:val="17"/>
              </w:rPr>
              <w:t xml:space="preserve">None</w:t>
            </w:r>
          </w:p>
        </w:tc>
        <w:tc>
          <w:tcPr>
            <w:tcW w:type="dxa" w:w="1000"/>
            <w:shd w:fill="F2F2F2" w:val="clear"/>
            <w:vAlign w:val="center"/>
          </w:tcPr>
          <w:p>
            <w:r>
              <w:rPr>
                <w:b w:val="false"/>
                <w:bCs w:val="false"/>
                <w:color w:val="000000"/>
                <w:sz w:val="17"/>
                <w:szCs w:val="17"/>
              </w:rPr>
              <w:t xml:space="preserve">Ready to follow Wave 1.</w:t>
            </w:r>
          </w:p>
        </w:tc>
      </w:tr>
      <w:tr>
        <w:tc>
          <w:tcPr>
            <w:tcW w:type="dxa" w:w="1900"/>
            <w:vAlign w:val="center"/>
          </w:tcPr>
          <w:p>
            <w:r>
              <w:rPr>
                <w:b w:val="false"/>
                <w:bCs w:val="false"/>
                <w:color w:val="000000"/>
                <w:sz w:val="17"/>
                <w:szCs w:val="17"/>
              </w:rPr>
              <w:t xml:space="preserve">Wave 3 — Trigger-Gated Assessment</w:t>
            </w:r>
          </w:p>
        </w:tc>
        <w:tc>
          <w:tcPr>
            <w:tcW w:type="dxa" w:w="1500"/>
            <w:vAlign w:val="center"/>
          </w:tcPr>
          <w:p>
            <w:r>
              <w:rPr>
                <w:b w:val="false"/>
                <w:bCs w:val="false"/>
                <w:color w:val="000000"/>
                <w:sz w:val="17"/>
                <w:szCs w:val="17"/>
              </w:rPr>
              <w:t xml:space="preserve">WP-0003 (not yet triggered)</w:t>
            </w:r>
          </w:p>
        </w:tc>
        <w:tc>
          <w:tcPr>
            <w:tcW w:type="dxa" w:w="2100"/>
            <w:vAlign w:val="center"/>
          </w:tcPr>
          <w:p>
            <w:r>
              <w:rPr>
                <w:b w:val="false"/>
                <w:bCs w:val="false"/>
                <w:color w:val="000000"/>
                <w:sz w:val="17"/>
                <w:szCs w:val="17"/>
              </w:rPr>
              <w:t xml:space="preserve">EGD-0004 trigger (10M rows, latency degradation, or 10-downstream-system scale target); current row-count/growth data not yet gathered.</w:t>
            </w:r>
          </w:p>
        </w:tc>
        <w:tc>
          <w:tcPr>
            <w:tcW w:type="dxa" w:w="1700"/>
            <w:vAlign w:val="center"/>
          </w:tcPr>
          <w:p>
            <w:r>
              <w:rPr>
                <w:b w:val="false"/>
                <w:bCs w:val="false"/>
                <w:color w:val="000000"/>
                <w:sz w:val="17"/>
                <w:szCs w:val="17"/>
              </w:rPr>
              <w:t xml:space="preserve">Trigger not fired; external data-gathering not yet performed.</w:t>
            </w:r>
          </w:p>
        </w:tc>
        <w:tc>
          <w:tcPr>
            <w:tcW w:type="dxa" w:w="1150"/>
            <w:vAlign w:val="center"/>
          </w:tcPr>
          <w:p>
            <w:r>
              <w:rPr>
                <w:b w:val="false"/>
                <w:bCs w:val="false"/>
                <w:color w:val="000000"/>
                <w:sz w:val="17"/>
                <w:szCs w:val="17"/>
              </w:rPr>
              <w:t xml:space="preserve">External row-count/growth data</w:t>
            </w:r>
          </w:p>
        </w:tc>
        <w:tc>
          <w:tcPr>
            <w:tcW w:type="dxa" w:w="1000"/>
            <w:vAlign w:val="center"/>
          </w:tcPr>
          <w:p>
            <w:r>
              <w:rPr>
                <w:b w:val="false"/>
                <w:bCs w:val="false"/>
                <w:color w:val="000000"/>
                <w:sz w:val="17"/>
                <w:szCs w:val="17"/>
              </w:rPr>
              <w:t xml:space="preserve">Monitoring-ready, not execution-ready.</w:t>
            </w:r>
          </w:p>
        </w:tc>
      </w:tr>
      <w:tr>
        <w:tc>
          <w:tcPr>
            <w:tcW w:type="dxa" w:w="1900"/>
            <w:shd w:fill="F2F2F2" w:val="clear"/>
            <w:vAlign w:val="center"/>
          </w:tcPr>
          <w:p>
            <w:r>
              <w:rPr>
                <w:b w:val="false"/>
                <w:bCs w:val="false"/>
                <w:color w:val="000000"/>
                <w:sz w:val="17"/>
                <w:szCs w:val="17"/>
              </w:rPr>
              <w:t xml:space="preserve">Wave 4 — Business/AI Intelligence (Reserved)</w:t>
            </w:r>
          </w:p>
        </w:tc>
        <w:tc>
          <w:tcPr>
            <w:tcW w:type="dxa" w:w="1500"/>
            <w:shd w:fill="F2F2F2" w:val="clear"/>
            <w:vAlign w:val="center"/>
          </w:tcPr>
          <w:p>
            <w:r>
              <w:rPr>
                <w:b w:val="false"/>
                <w:bCs w:val="false"/>
                <w:color w:val="000000"/>
                <w:sz w:val="17"/>
                <w:szCs w:val="17"/>
              </w:rPr>
              <w:t xml:space="preserve">None assigned</w:t>
            </w:r>
          </w:p>
        </w:tc>
        <w:tc>
          <w:tcPr>
            <w:tcW w:type="dxa" w:w="2100"/>
            <w:shd w:fill="F2F2F2" w:val="clear"/>
            <w:vAlign w:val="center"/>
          </w:tcPr>
          <w:p>
            <w:r>
              <w:rPr>
                <w:b w:val="false"/>
                <w:bCs w:val="false"/>
                <w:color w:val="000000"/>
                <w:sz w:val="17"/>
                <w:szCs w:val="17"/>
              </w:rPr>
              <w:t xml:space="preserve">No AR/EGD exists in this domain (Section 2 §3).</w:t>
            </w:r>
          </w:p>
        </w:tc>
        <w:tc>
          <w:tcPr>
            <w:tcW w:type="dxa" w:w="1700"/>
            <w:shd w:fill="F2F2F2" w:val="clear"/>
            <w:vAlign w:val="center"/>
          </w:tcPr>
          <w:p>
            <w:r>
              <w:rPr>
                <w:b w:val="false"/>
                <w:bCs w:val="false"/>
                <w:color w:val="000000"/>
                <w:sz w:val="17"/>
                <w:szCs w:val="17"/>
              </w:rPr>
              <w:t xml:space="preserve">No approved Work Package exists.</w:t>
            </w:r>
          </w:p>
        </w:tc>
        <w:tc>
          <w:tcPr>
            <w:tcW w:type="dxa" w:w="1150"/>
            <w:shd w:fill="F2F2F2" w:val="clear"/>
            <w:vAlign w:val="center"/>
          </w:tcPr>
          <w:p>
            <w:r>
              <w:rPr>
                <w:b w:val="false"/>
                <w:bCs w:val="false"/>
                <w:color w:val="000000"/>
                <w:sz w:val="17"/>
                <w:szCs w:val="17"/>
              </w:rPr>
              <w:t xml:space="preserve">Not Applicable</w:t>
            </w:r>
          </w:p>
        </w:tc>
        <w:tc>
          <w:tcPr>
            <w:tcW w:type="dxa" w:w="1000"/>
            <w:shd w:fill="F2F2F2" w:val="clear"/>
            <w:vAlign w:val="center"/>
          </w:tcPr>
          <w:p>
            <w:r>
              <w:rPr>
                <w:b w:val="false"/>
                <w:bCs w:val="false"/>
                <w:color w:val="000000"/>
                <w:sz w:val="17"/>
                <w:szCs w:val="17"/>
              </w:rPr>
              <w:t xml:space="preserve">Reserved for Future Realization Phases.</w:t>
            </w:r>
          </w:p>
        </w:tc>
      </w:tr>
      <w:tr>
        <w:tc>
          <w:tcPr>
            <w:tcW w:type="dxa" w:w="1900"/>
            <w:vAlign w:val="center"/>
          </w:tcPr>
          <w:p>
            <w:r>
              <w:rPr>
                <w:b w:val="false"/>
                <w:bCs w:val="false"/>
                <w:color w:val="000000"/>
                <w:sz w:val="17"/>
                <w:szCs w:val="17"/>
              </w:rPr>
              <w:t xml:space="preserve">Wave 5 — Enterprise Optimization (Reserved)</w:t>
            </w:r>
          </w:p>
        </w:tc>
        <w:tc>
          <w:tcPr>
            <w:tcW w:type="dxa" w:w="1500"/>
            <w:vAlign w:val="center"/>
          </w:tcPr>
          <w:p>
            <w:r>
              <w:rPr>
                <w:b w:val="false"/>
                <w:bCs w:val="false"/>
                <w:color w:val="000000"/>
                <w:sz w:val="17"/>
                <w:szCs w:val="17"/>
              </w:rPr>
              <w:t xml:space="preserve">None assigned</w:t>
            </w:r>
          </w:p>
        </w:tc>
        <w:tc>
          <w:tcPr>
            <w:tcW w:type="dxa" w:w="2100"/>
            <w:vAlign w:val="center"/>
          </w:tcPr>
          <w:p>
            <w:r>
              <w:rPr>
                <w:b w:val="false"/>
                <w:bCs w:val="false"/>
                <w:color w:val="000000"/>
                <w:sz w:val="17"/>
                <w:szCs w:val="17"/>
              </w:rPr>
              <w:t xml:space="preserve">No approved Work Package exists.</w:t>
            </w:r>
          </w:p>
        </w:tc>
        <w:tc>
          <w:tcPr>
            <w:tcW w:type="dxa" w:w="1700"/>
            <w:vAlign w:val="center"/>
          </w:tcPr>
          <w:p>
            <w:r>
              <w:rPr>
                <w:b w:val="false"/>
                <w:bCs w:val="false"/>
                <w:color w:val="000000"/>
                <w:sz w:val="17"/>
                <w:szCs w:val="17"/>
              </w:rPr>
              <w:t xml:space="preserve">No approved Work Package exists.</w:t>
            </w:r>
          </w:p>
        </w:tc>
        <w:tc>
          <w:tcPr>
            <w:tcW w:type="dxa" w:w="1150"/>
            <w:vAlign w:val="center"/>
          </w:tcPr>
          <w:p>
            <w:r>
              <w:rPr>
                <w:b w:val="false"/>
                <w:bCs w:val="false"/>
                <w:color w:val="000000"/>
                <w:sz w:val="17"/>
                <w:szCs w:val="17"/>
              </w:rPr>
              <w:t xml:space="preserve">Not Applicable</w:t>
            </w:r>
          </w:p>
        </w:tc>
        <w:tc>
          <w:tcPr>
            <w:tcW w:type="dxa" w:w="1000"/>
            <w:vAlign w:val="center"/>
          </w:tcPr>
          <w:p>
            <w:r>
              <w:rPr>
                <w:b w:val="false"/>
                <w:bCs w:val="false"/>
                <w:color w:val="000000"/>
                <w:sz w:val="17"/>
                <w:szCs w:val="17"/>
              </w:rPr>
              <w:t xml:space="preserve">Reserved for Future Realization Phases.</w:t>
            </w:r>
          </w:p>
        </w:tc>
      </w:tr>
    </w:tbl>
    <w:p>
      <w:pPr>
        <w:pStyle w:val="Heading1"/>
        <w:spacing w:after="200" w:before="400"/>
      </w:pPr>
      <w:r>
        <w:t xml:space="preserve">6. Repository Dashboard</w:t>
      </w:r>
    </w:p>
    <w:p>
      <w:pPr>
        <w:spacing w:after="150"/>
      </w:pPr>
      <w:r>
        <w:t xml:space="preserve">Of the eight repository categories the ERP-01 Phase C master template anticipates, only three — Documentation, Database, and Test — carry approved impact from WP-0001–WP-0006 (Section 3). This dashboard reuses that finding without expansion.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5350"/>
        <w:gridCol w:w="1800"/>
      </w:tblGrid>
      <w:tr>
        <w:trPr>
          <w:tblHeader/>
        </w:trPr>
        <w:tc>
          <w:tcPr>
            <w:tcW w:type="dxa" w:w="2200"/>
            <w:shd w:fill="1F3864" w:val="clear"/>
            <w:vAlign w:val="center"/>
          </w:tcPr>
          <w:p>
            <w:r>
              <w:rPr>
                <w:b/>
                <w:bCs/>
                <w:color w:val="FFFFFF"/>
                <w:sz w:val="17"/>
                <w:szCs w:val="17"/>
              </w:rPr>
              <w:t xml:space="preserve">Repository Category</w:t>
            </w:r>
          </w:p>
        </w:tc>
        <w:tc>
          <w:tcPr>
            <w:tcW w:type="dxa" w:w="5350"/>
            <w:shd w:fill="1F3864" w:val="clear"/>
            <w:vAlign w:val="center"/>
          </w:tcPr>
          <w:p>
            <w:r>
              <w:rPr>
                <w:b/>
                <w:bCs/>
                <w:color w:val="FFFFFF"/>
                <w:sz w:val="17"/>
                <w:szCs w:val="17"/>
              </w:rPr>
              <w:t xml:space="preserve">Readiness / Impact</w:t>
            </w:r>
          </w:p>
        </w:tc>
        <w:tc>
          <w:tcPr>
            <w:tcW w:type="dxa" w:w="1800"/>
            <w:shd w:fill="1F3864" w:val="clear"/>
            <w:vAlign w:val="center"/>
          </w:tcPr>
          <w:p>
            <w:r>
              <w:rPr>
                <w:b/>
                <w:bCs/>
                <w:color w:val="FFFFFF"/>
                <w:sz w:val="17"/>
                <w:szCs w:val="17"/>
              </w:rPr>
              <w:t xml:space="preserve">Source</w:t>
            </w:r>
          </w:p>
        </w:tc>
      </w:tr>
      <w:tr>
        <w:tc>
          <w:tcPr>
            <w:tcW w:type="dxa" w:w="2200"/>
            <w:vAlign w:val="center"/>
          </w:tcPr>
          <w:p>
            <w:r>
              <w:rPr>
                <w:b w:val="false"/>
                <w:bCs w:val="false"/>
                <w:color w:val="000000"/>
                <w:sz w:val="17"/>
                <w:szCs w:val="17"/>
              </w:rPr>
              <w:t xml:space="preserve">Documentation Repository</w:t>
            </w:r>
          </w:p>
        </w:tc>
        <w:tc>
          <w:tcPr>
            <w:tcW w:type="dxa" w:w="5350"/>
            <w:vAlign w:val="center"/>
          </w:tcPr>
          <w:p>
            <w:r>
              <w:rPr>
                <w:b w:val="false"/>
                <w:bCs w:val="false"/>
                <w:color w:val="000000"/>
                <w:sz w:val="17"/>
                <w:szCs w:val="17"/>
              </w:rPr>
              <w:t xml:space="preserve">Approved — primary impact for WP-0001, WP-0004; secondary for WP-0002, WP-0003, WP-0005, WP-0006.</w:t>
            </w:r>
          </w:p>
        </w:tc>
        <w:tc>
          <w:tcPr>
            <w:tcW w:type="dxa" w:w="1800"/>
            <w:vAlign w:val="center"/>
          </w:tcPr>
          <w:p>
            <w:r>
              <w:rPr>
                <w:b w:val="false"/>
                <w:bCs w:val="false"/>
                <w:color w:val="000000"/>
                <w:sz w:val="17"/>
                <w:szCs w:val="17"/>
              </w:rPr>
              <w:t xml:space="preserve">Section 3 §“Documentation Repository”</w:t>
            </w:r>
          </w:p>
        </w:tc>
      </w:tr>
      <w:tr>
        <w:tc>
          <w:tcPr>
            <w:tcW w:type="dxa" w:w="2200"/>
            <w:shd w:fill="F2F2F2" w:val="clear"/>
            <w:vAlign w:val="center"/>
          </w:tcPr>
          <w:p>
            <w:r>
              <w:rPr>
                <w:b w:val="false"/>
                <w:bCs w:val="false"/>
                <w:color w:val="000000"/>
                <w:sz w:val="17"/>
                <w:szCs w:val="17"/>
              </w:rPr>
              <w:t xml:space="preserve">Database Repository</w:t>
            </w:r>
          </w:p>
        </w:tc>
        <w:tc>
          <w:tcPr>
            <w:tcW w:type="dxa" w:w="5350"/>
            <w:shd w:fill="F2F2F2" w:val="clear"/>
            <w:vAlign w:val="center"/>
          </w:tcPr>
          <w:p>
            <w:r>
              <w:rPr>
                <w:b w:val="false"/>
                <w:bCs w:val="false"/>
                <w:color w:val="000000"/>
                <w:sz w:val="17"/>
                <w:szCs w:val="17"/>
              </w:rPr>
              <w:t xml:space="preserve">Approved — primary impact for WP-0002, WP-0003, WP-0005; conditional/secondary for WP-0004; no impact for WP-0001, WP-0006.</w:t>
            </w:r>
          </w:p>
        </w:tc>
        <w:tc>
          <w:tcPr>
            <w:tcW w:type="dxa" w:w="1800"/>
            <w:shd w:fill="F2F2F2" w:val="clear"/>
            <w:vAlign w:val="center"/>
          </w:tcPr>
          <w:p>
            <w:r>
              <w:rPr>
                <w:b w:val="false"/>
                <w:bCs w:val="false"/>
                <w:color w:val="000000"/>
                <w:sz w:val="17"/>
                <w:szCs w:val="17"/>
              </w:rPr>
              <w:t xml:space="preserve">Section 3 §“Database Repository”</w:t>
            </w:r>
          </w:p>
        </w:tc>
      </w:tr>
      <w:tr>
        <w:tc>
          <w:tcPr>
            <w:tcW w:type="dxa" w:w="2200"/>
            <w:vAlign w:val="center"/>
          </w:tcPr>
          <w:p>
            <w:r>
              <w:rPr>
                <w:b w:val="false"/>
                <w:bCs w:val="false"/>
                <w:color w:val="000000"/>
                <w:sz w:val="17"/>
                <w:szCs w:val="17"/>
              </w:rPr>
              <w:t xml:space="preserve">Test Repository</w:t>
            </w:r>
          </w:p>
        </w:tc>
        <w:tc>
          <w:tcPr>
            <w:tcW w:type="dxa" w:w="5350"/>
            <w:vAlign w:val="center"/>
          </w:tcPr>
          <w:p>
            <w:r>
              <w:rPr>
                <w:b w:val="false"/>
                <w:bCs w:val="false"/>
                <w:color w:val="000000"/>
                <w:sz w:val="17"/>
                <w:szCs w:val="17"/>
              </w:rPr>
              <w:t xml:space="preserve">Approved — secondary impact for WP-0002, WP-0004, WP-0005 (verification evidence only).</w:t>
            </w:r>
          </w:p>
        </w:tc>
        <w:tc>
          <w:tcPr>
            <w:tcW w:type="dxa" w:w="1800"/>
            <w:vAlign w:val="center"/>
          </w:tcPr>
          <w:p>
            <w:r>
              <w:rPr>
                <w:b w:val="false"/>
                <w:bCs w:val="false"/>
                <w:color w:val="000000"/>
                <w:sz w:val="17"/>
                <w:szCs w:val="17"/>
              </w:rPr>
              <w:t xml:space="preserve">Section 3 §“Test Repository”</w:t>
            </w:r>
          </w:p>
        </w:tc>
      </w:tr>
      <w:tr>
        <w:tc>
          <w:tcPr>
            <w:tcW w:type="dxa" w:w="2200"/>
            <w:shd w:fill="F2F2F2" w:val="clear"/>
            <w:vAlign w:val="center"/>
          </w:tcPr>
          <w:p>
            <w:r>
              <w:rPr>
                <w:b w:val="false"/>
                <w:bCs w:val="false"/>
                <w:color w:val="000000"/>
                <w:sz w:val="17"/>
                <w:szCs w:val="17"/>
              </w:rPr>
              <w:t xml:space="preserve">Backend Repository</w:t>
            </w:r>
          </w:p>
        </w:tc>
        <w:tc>
          <w:tcPr>
            <w:tcW w:type="dxa" w:w="5350"/>
            <w:shd w:fill="F2F2F2" w:val="clear"/>
            <w:vAlign w:val="center"/>
          </w:tcPr>
          <w:p>
            <w:r>
              <w:rPr>
                <w:b w:val="false"/>
                <w:bCs w:val="false"/>
                <w:color w:val="000000"/>
                <w:sz w:val="17"/>
                <w:szCs w:val="17"/>
              </w:rPr>
              <w:t xml:space="preserve">Not Evidenced in Current Baseline — no approved document references backend repository structure or impact for any Work Package.</w:t>
            </w:r>
          </w:p>
        </w:tc>
        <w:tc>
          <w:tcPr>
            <w:tcW w:type="dxa" w:w="1800"/>
            <w:shd w:fill="F2F2F2" w:val="clear"/>
            <w:vAlign w:val="center"/>
          </w:tcPr>
          <w:p>
            <w:r>
              <w:rPr>
                <w:b w:val="false"/>
                <w:bCs w:val="false"/>
                <w:color w:val="000000"/>
                <w:sz w:val="17"/>
                <w:szCs w:val="17"/>
              </w:rPr>
              <w:t xml:space="preserve">Section 3 §“Backend Repository”</w:t>
            </w:r>
          </w:p>
        </w:tc>
      </w:tr>
      <w:tr>
        <w:tc>
          <w:tcPr>
            <w:tcW w:type="dxa" w:w="2200"/>
            <w:vAlign w:val="center"/>
          </w:tcPr>
          <w:p>
            <w:r>
              <w:rPr>
                <w:b w:val="false"/>
                <w:bCs w:val="false"/>
                <w:color w:val="000000"/>
                <w:sz w:val="17"/>
                <w:szCs w:val="17"/>
              </w:rPr>
              <w:t xml:space="preserve">Frontend Repository</w:t>
            </w:r>
          </w:p>
        </w:tc>
        <w:tc>
          <w:tcPr>
            <w:tcW w:type="dxa" w:w="5350"/>
            <w:vAlign w:val="center"/>
          </w:tcPr>
          <w:p>
            <w:r>
              <w:rPr>
                <w:b w:val="false"/>
                <w:bCs w:val="false"/>
                <w:color w:val="000000"/>
                <w:sz w:val="17"/>
                <w:szCs w:val="17"/>
              </w:rPr>
              <w:t xml:space="preserve">Not Evidenced in Current Baseline — Section 1 §7: not evidenced or governed by this baseline.</w:t>
            </w:r>
          </w:p>
        </w:tc>
        <w:tc>
          <w:tcPr>
            <w:tcW w:type="dxa" w:w="1800"/>
            <w:vAlign w:val="center"/>
          </w:tcPr>
          <w:p>
            <w:r>
              <w:rPr>
                <w:b w:val="false"/>
                <w:bCs w:val="false"/>
                <w:color w:val="000000"/>
                <w:sz w:val="17"/>
                <w:szCs w:val="17"/>
              </w:rPr>
              <w:t xml:space="preserve">Section 3 §“Frontend Repository”</w:t>
            </w:r>
          </w:p>
        </w:tc>
      </w:tr>
      <w:tr>
        <w:tc>
          <w:tcPr>
            <w:tcW w:type="dxa" w:w="2200"/>
            <w:shd w:fill="F2F2F2" w:val="clear"/>
            <w:vAlign w:val="center"/>
          </w:tcPr>
          <w:p>
            <w:r>
              <w:rPr>
                <w:b w:val="false"/>
                <w:bCs w:val="false"/>
                <w:color w:val="000000"/>
                <w:sz w:val="17"/>
                <w:szCs w:val="17"/>
              </w:rPr>
              <w:t xml:space="preserve">Infrastructure Repository</w:t>
            </w:r>
          </w:p>
        </w:tc>
        <w:tc>
          <w:tcPr>
            <w:tcW w:type="dxa" w:w="5350"/>
            <w:shd w:fill="F2F2F2" w:val="clear"/>
            <w:vAlign w:val="center"/>
          </w:tcPr>
          <w:p>
            <w:r>
              <w:rPr>
                <w:b w:val="false"/>
                <w:bCs w:val="false"/>
                <w:color w:val="000000"/>
                <w:sz w:val="17"/>
                <w:szCs w:val="17"/>
              </w:rPr>
              <w:t xml:space="preserve">Not Evidenced in Current Baseline — no approved scope to assess.</w:t>
            </w:r>
          </w:p>
        </w:tc>
        <w:tc>
          <w:tcPr>
            <w:tcW w:type="dxa" w:w="1800"/>
            <w:shd w:fill="F2F2F2" w:val="clear"/>
            <w:vAlign w:val="center"/>
          </w:tcPr>
          <w:p>
            <w:r>
              <w:rPr>
                <w:b w:val="false"/>
                <w:bCs w:val="false"/>
                <w:color w:val="000000"/>
                <w:sz w:val="17"/>
                <w:szCs w:val="17"/>
              </w:rPr>
              <w:t xml:space="preserve">Section 3 §“Infrastructure Repository”</w:t>
            </w:r>
          </w:p>
        </w:tc>
      </w:tr>
      <w:tr>
        <w:tc>
          <w:tcPr>
            <w:tcW w:type="dxa" w:w="2200"/>
            <w:vAlign w:val="center"/>
          </w:tcPr>
          <w:p>
            <w:r>
              <w:rPr>
                <w:b w:val="false"/>
                <w:bCs w:val="false"/>
                <w:color w:val="000000"/>
                <w:sz w:val="17"/>
                <w:szCs w:val="17"/>
              </w:rPr>
              <w:t xml:space="preserve">Integration Repository</w:t>
            </w:r>
          </w:p>
        </w:tc>
        <w:tc>
          <w:tcPr>
            <w:tcW w:type="dxa" w:w="5350"/>
            <w:vAlign w:val="center"/>
          </w:tcPr>
          <w:p>
            <w:r>
              <w:rPr>
                <w:b w:val="false"/>
                <w:bCs w:val="false"/>
                <w:color w:val="000000"/>
                <w:sz w:val="17"/>
                <w:szCs w:val="17"/>
              </w:rPr>
              <w:t xml:space="preserve">Reserved for Future Realization Phases — belongs to Portfolio 6, which carries zero approved Work Packages.</w:t>
            </w:r>
          </w:p>
        </w:tc>
        <w:tc>
          <w:tcPr>
            <w:tcW w:type="dxa" w:w="1800"/>
            <w:vAlign w:val="center"/>
          </w:tcPr>
          <w:p>
            <w:r>
              <w:rPr>
                <w:b w:val="false"/>
                <w:bCs w:val="false"/>
                <w:color w:val="000000"/>
                <w:sz w:val="17"/>
                <w:szCs w:val="17"/>
              </w:rPr>
              <w:t xml:space="preserve">Section 3 §“Integration Repository”</w:t>
            </w:r>
          </w:p>
        </w:tc>
      </w:tr>
      <w:tr>
        <w:tc>
          <w:tcPr>
            <w:tcW w:type="dxa" w:w="2200"/>
            <w:shd w:fill="F2F2F2" w:val="clear"/>
            <w:vAlign w:val="center"/>
          </w:tcPr>
          <w:p>
            <w:r>
              <w:rPr>
                <w:b w:val="false"/>
                <w:bCs w:val="false"/>
                <w:color w:val="000000"/>
                <w:sz w:val="17"/>
                <w:szCs w:val="17"/>
              </w:rPr>
              <w:t xml:space="preserve">AI Repository</w:t>
            </w:r>
          </w:p>
        </w:tc>
        <w:tc>
          <w:tcPr>
            <w:tcW w:type="dxa" w:w="5350"/>
            <w:shd w:fill="F2F2F2" w:val="clear"/>
            <w:vAlign w:val="center"/>
          </w:tcPr>
          <w:p>
            <w:r>
              <w:rPr>
                <w:b w:val="false"/>
                <w:bCs w:val="false"/>
                <w:color w:val="000000"/>
                <w:sz w:val="17"/>
                <w:szCs w:val="17"/>
              </w:rPr>
              <w:t xml:space="preserve">Reserved for Future Realization Phases — belongs to Portfolio 3, which carries zero approved Work Packages.</w:t>
            </w:r>
          </w:p>
        </w:tc>
        <w:tc>
          <w:tcPr>
            <w:tcW w:type="dxa" w:w="1800"/>
            <w:shd w:fill="F2F2F2" w:val="clear"/>
            <w:vAlign w:val="center"/>
          </w:tcPr>
          <w:p>
            <w:r>
              <w:rPr>
                <w:b w:val="false"/>
                <w:bCs w:val="false"/>
                <w:color w:val="000000"/>
                <w:sz w:val="17"/>
                <w:szCs w:val="17"/>
              </w:rPr>
              <w:t xml:space="preserve">Section 3 §“AI Repository”</w:t>
            </w:r>
          </w:p>
        </w:tc>
      </w:tr>
    </w:tbl>
    <w:p>
      <w:pPr>
        <w:pStyle w:val="Heading1"/>
        <w:spacing w:after="200" w:before="400"/>
      </w:pPr>
      <w:r>
        <w:t xml:space="preserve">7. KPI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500"/>
        <w:gridCol w:w="1750"/>
        <w:gridCol w:w="1400"/>
        <w:gridCol w:w="1100"/>
        <w:gridCol w:w="1000"/>
      </w:tblGrid>
      <w:tr>
        <w:trPr>
          <w:tblHeader/>
        </w:trPr>
        <w:tc>
          <w:tcPr>
            <w:tcW w:type="dxa" w:w="700"/>
            <w:shd w:fill="1F3864" w:val="clear"/>
            <w:vAlign w:val="center"/>
          </w:tcPr>
          <w:p>
            <w:r>
              <w:rPr>
                <w:b/>
                <w:bCs/>
                <w:color w:val="FFFFFF"/>
                <w:sz w:val="17"/>
                <w:szCs w:val="17"/>
              </w:rPr>
              <w:t xml:space="preserve">KPI</w:t>
            </w:r>
          </w:p>
        </w:tc>
        <w:tc>
          <w:tcPr>
            <w:tcW w:type="dxa" w:w="1900"/>
            <w:shd w:fill="1F3864" w:val="clear"/>
            <w:vAlign w:val="center"/>
          </w:tcPr>
          <w:p>
            <w:r>
              <w:rPr>
                <w:b/>
                <w:bCs/>
                <w:color w:val="FFFFFF"/>
                <w:sz w:val="17"/>
                <w:szCs w:val="17"/>
              </w:rPr>
              <w:t xml:space="preserve">Name</w:t>
            </w:r>
          </w:p>
        </w:tc>
        <w:tc>
          <w:tcPr>
            <w:tcW w:type="dxa" w:w="1500"/>
            <w:shd w:fill="1F3864" w:val="clear"/>
            <w:vAlign w:val="center"/>
          </w:tcPr>
          <w:p>
            <w:r>
              <w:rPr>
                <w:b/>
                <w:bCs/>
                <w:color w:val="FFFFFF"/>
                <w:sz w:val="17"/>
                <w:szCs w:val="17"/>
              </w:rPr>
              <w:t xml:space="preserve">Baseline</w:t>
            </w:r>
          </w:p>
        </w:tc>
        <w:tc>
          <w:tcPr>
            <w:tcW w:type="dxa" w:w="1750"/>
            <w:shd w:fill="1F3864" w:val="clear"/>
            <w:vAlign w:val="center"/>
          </w:tcPr>
          <w:p>
            <w:r>
              <w:rPr>
                <w:b/>
                <w:bCs/>
                <w:color w:val="FFFFFF"/>
                <w:sz w:val="17"/>
                <w:szCs w:val="17"/>
              </w:rPr>
              <w:t xml:space="preserve">Current Status</w:t>
            </w:r>
          </w:p>
        </w:tc>
        <w:tc>
          <w:tcPr>
            <w:tcW w:type="dxa" w:w="1400"/>
            <w:shd w:fill="1F3864" w:val="clear"/>
            <w:vAlign w:val="center"/>
          </w:tcPr>
          <w:p>
            <w:r>
              <w:rPr>
                <w:b/>
                <w:bCs/>
                <w:color w:val="FFFFFF"/>
                <w:sz w:val="17"/>
                <w:szCs w:val="17"/>
              </w:rPr>
              <w:t xml:space="preserve">Target</w:t>
            </w:r>
          </w:p>
        </w:tc>
        <w:tc>
          <w:tcPr>
            <w:tcW w:type="dxa" w:w="1100"/>
            <w:shd w:fill="1F3864" w:val="clear"/>
            <w:vAlign w:val="center"/>
          </w:tcPr>
          <w:p>
            <w:r>
              <w:rPr>
                <w:b/>
                <w:bCs/>
                <w:color w:val="FFFFFF"/>
                <w:sz w:val="17"/>
                <w:szCs w:val="17"/>
              </w:rPr>
              <w:t xml:space="preserve">Related WP</w:t>
            </w:r>
          </w:p>
        </w:tc>
        <w:tc>
          <w:tcPr>
            <w:tcW w:type="dxa" w:w="1000"/>
            <w:shd w:fill="1F3864" w:val="clear"/>
            <w:vAlign w:val="center"/>
          </w:tcPr>
          <w:p>
            <w:r>
              <w:rPr>
                <w:b/>
                <w:bCs/>
                <w:color w:val="FFFFFF"/>
                <w:sz w:val="17"/>
                <w:szCs w:val="17"/>
              </w:rPr>
              <w:t xml:space="preserve">Executive Assessment</w:t>
            </w:r>
          </w:p>
        </w:tc>
      </w:tr>
      <w:tr>
        <w:tc>
          <w:tcPr>
            <w:tcW w:type="dxa" w:w="700"/>
            <w:vAlign w:val="center"/>
          </w:tcPr>
          <w:p>
            <w:r>
              <w:rPr>
                <w:b w:val="false"/>
                <w:bCs w:val="false"/>
                <w:color w:val="000000"/>
                <w:sz w:val="17"/>
                <w:szCs w:val="17"/>
              </w:rPr>
              <w:t xml:space="preserve">KPI-01</w:t>
            </w:r>
          </w:p>
        </w:tc>
        <w:tc>
          <w:tcPr>
            <w:tcW w:type="dxa" w:w="1900"/>
            <w:vAlign w:val="center"/>
          </w:tcPr>
          <w:p>
            <w:r>
              <w:rPr>
                <w:b w:val="false"/>
                <w:bCs w:val="false"/>
                <w:color w:val="000000"/>
                <w:sz w:val="17"/>
                <w:szCs w:val="17"/>
              </w:rPr>
              <w:t xml:space="preserve">Architecture Conformance %</w:t>
            </w:r>
          </w:p>
        </w:tc>
        <w:tc>
          <w:tcPr>
            <w:tcW w:type="dxa" w:w="1500"/>
            <w:vAlign w:val="center"/>
          </w:tcPr>
          <w:p>
            <w:r>
              <w:rPr>
                <w:b w:val="false"/>
                <w:bCs w:val="false"/>
                <w:color w:val="000000"/>
                <w:sz w:val="17"/>
                <w:szCs w:val="17"/>
              </w:rPr>
              <w:t xml:space="preserve">35/100</w:t>
            </w:r>
          </w:p>
        </w:tc>
        <w:tc>
          <w:tcPr>
            <w:tcW w:type="dxa" w:w="1750"/>
            <w:vAlign w:val="center"/>
          </w:tcPr>
          <w:p>
            <w:r>
              <w:rPr>
                <w:b w:val="false"/>
                <w:bCs w:val="false"/>
                <w:color w:val="000000"/>
                <w:sz w:val="17"/>
                <w:szCs w:val="17"/>
              </w:rPr>
              <w:t xml:space="preserve">35/100 (unchanged — WP-0001 not yet executed)</w:t>
            </w:r>
          </w:p>
        </w:tc>
        <w:tc>
          <w:tcPr>
            <w:tcW w:type="dxa" w:w="1400"/>
            <w:vAlign w:val="center"/>
          </w:tcPr>
          <w:p>
            <w:r>
              <w:rPr>
                <w:b w:val="false"/>
                <w:bCs w:val="false"/>
                <w:color w:val="000000"/>
                <w:sz w:val="17"/>
                <w:szCs w:val="17"/>
              </w:rPr>
              <w:t xml:space="preserve">≥90</w:t>
            </w:r>
          </w:p>
        </w:tc>
        <w:tc>
          <w:tcPr>
            <w:tcW w:type="dxa" w:w="1100"/>
            <w:vAlign w:val="center"/>
          </w:tcPr>
          <w:p>
            <w:r>
              <w:rPr>
                <w:b w:val="false"/>
                <w:bCs w:val="false"/>
                <w:color w:val="000000"/>
                <w:sz w:val="17"/>
                <w:szCs w:val="17"/>
              </w:rPr>
              <w:t xml:space="preserve">WP-0001</w:t>
            </w:r>
          </w:p>
        </w:tc>
        <w:tc>
          <w:tcPr>
            <w:tcW w:type="dxa" w:w="1000"/>
            <w:vAlign w:val="center"/>
          </w:tcPr>
          <w:p>
            <w:r>
              <w:rPr>
                <w:b w:val="false"/>
                <w:bCs w:val="false"/>
                <w:color w:val="000000"/>
                <w:sz w:val="17"/>
                <w:szCs w:val="17"/>
              </w:rPr>
              <w:t xml:space="preserve">At baseline; movement pending WP-0001.</w:t>
            </w:r>
          </w:p>
        </w:tc>
      </w:tr>
      <w:tr>
        <w:tc>
          <w:tcPr>
            <w:tcW w:type="dxa" w:w="700"/>
            <w:shd w:fill="F2F2F2" w:val="clear"/>
            <w:vAlign w:val="center"/>
          </w:tcPr>
          <w:p>
            <w:r>
              <w:rPr>
                <w:b w:val="false"/>
                <w:bCs w:val="false"/>
                <w:color w:val="000000"/>
                <w:sz w:val="17"/>
                <w:szCs w:val="17"/>
              </w:rPr>
              <w:t xml:space="preserve">KPI-02</w:t>
            </w:r>
          </w:p>
        </w:tc>
        <w:tc>
          <w:tcPr>
            <w:tcW w:type="dxa" w:w="1900"/>
            <w:shd w:fill="F2F2F2" w:val="clear"/>
            <w:vAlign w:val="center"/>
          </w:tcPr>
          <w:p>
            <w:r>
              <w:rPr>
                <w:b w:val="false"/>
                <w:bCs w:val="false"/>
                <w:color w:val="000000"/>
                <w:sz w:val="17"/>
                <w:szCs w:val="17"/>
              </w:rPr>
              <w:t xml:space="preserve">Documentation Accuracy %</w:t>
            </w:r>
          </w:p>
        </w:tc>
        <w:tc>
          <w:tcPr>
            <w:tcW w:type="dxa" w:w="1500"/>
            <w:shd w:fill="F2F2F2" w:val="clear"/>
            <w:vAlign w:val="center"/>
          </w:tcPr>
          <w:p>
            <w:r>
              <w:rPr>
                <w:b w:val="false"/>
                <w:bCs w:val="false"/>
                <w:color w:val="000000"/>
                <w:sz w:val="17"/>
                <w:szCs w:val="17"/>
              </w:rPr>
              <w:t xml:space="preserve">30/100</w:t>
            </w:r>
          </w:p>
        </w:tc>
        <w:tc>
          <w:tcPr>
            <w:tcW w:type="dxa" w:w="1750"/>
            <w:shd w:fill="F2F2F2" w:val="clear"/>
            <w:vAlign w:val="center"/>
          </w:tcPr>
          <w:p>
            <w:r>
              <w:rPr>
                <w:b w:val="false"/>
                <w:bCs w:val="false"/>
                <w:color w:val="000000"/>
                <w:sz w:val="17"/>
                <w:szCs w:val="17"/>
              </w:rPr>
              <w:t xml:space="preserve">30/100 (unchanged)</w:t>
            </w:r>
          </w:p>
        </w:tc>
        <w:tc>
          <w:tcPr>
            <w:tcW w:type="dxa" w:w="1400"/>
            <w:shd w:fill="F2F2F2" w:val="clear"/>
            <w:vAlign w:val="center"/>
          </w:tcPr>
          <w:p>
            <w:r>
              <w:rPr>
                <w:b w:val="false"/>
                <w:bCs w:val="false"/>
                <w:color w:val="000000"/>
                <w:sz w:val="17"/>
                <w:szCs w:val="17"/>
              </w:rPr>
              <w:t xml:space="preserve">100 on WP-0001 completion</w:t>
            </w:r>
          </w:p>
        </w:tc>
        <w:tc>
          <w:tcPr>
            <w:tcW w:type="dxa" w:w="1100"/>
            <w:shd w:fill="F2F2F2" w:val="clear"/>
            <w:vAlign w:val="center"/>
          </w:tcPr>
          <w:p>
            <w:r>
              <w:rPr>
                <w:b w:val="false"/>
                <w:bCs w:val="false"/>
                <w:color w:val="000000"/>
                <w:sz w:val="17"/>
                <w:szCs w:val="17"/>
              </w:rPr>
              <w:t xml:space="preserve">WP-0001</w:t>
            </w:r>
          </w:p>
        </w:tc>
        <w:tc>
          <w:tcPr>
            <w:tcW w:type="dxa" w:w="1000"/>
            <w:shd w:fill="F2F2F2" w:val="clear"/>
            <w:vAlign w:val="center"/>
          </w:tcPr>
          <w:p>
            <w:r>
              <w:rPr>
                <w:b w:val="false"/>
                <w:bCs w:val="false"/>
                <w:color w:val="000000"/>
                <w:sz w:val="17"/>
                <w:szCs w:val="17"/>
              </w:rPr>
              <w:t xml:space="preserve">At baseline; movement pending WP-0001.</w:t>
            </w:r>
          </w:p>
        </w:tc>
      </w:tr>
      <w:tr>
        <w:tc>
          <w:tcPr>
            <w:tcW w:type="dxa" w:w="700"/>
            <w:vAlign w:val="center"/>
          </w:tcPr>
          <w:p>
            <w:r>
              <w:rPr>
                <w:b w:val="false"/>
                <w:bCs w:val="false"/>
                <w:color w:val="000000"/>
                <w:sz w:val="17"/>
                <w:szCs w:val="17"/>
              </w:rPr>
              <w:t xml:space="preserve">KPI-03</w:t>
            </w:r>
          </w:p>
        </w:tc>
        <w:tc>
          <w:tcPr>
            <w:tcW w:type="dxa" w:w="1900"/>
            <w:vAlign w:val="center"/>
          </w:tcPr>
          <w:p>
            <w:r>
              <w:rPr>
                <w:b w:val="false"/>
                <w:bCs w:val="false"/>
                <w:color w:val="000000"/>
                <w:sz w:val="17"/>
                <w:szCs w:val="17"/>
              </w:rPr>
              <w:t xml:space="preserve">Overall Governance Compliance %</w:t>
            </w:r>
          </w:p>
        </w:tc>
        <w:tc>
          <w:tcPr>
            <w:tcW w:type="dxa" w:w="1500"/>
            <w:vAlign w:val="center"/>
          </w:tcPr>
          <w:p>
            <w:r>
              <w:rPr>
                <w:b w:val="false"/>
                <w:bCs w:val="false"/>
                <w:color w:val="000000"/>
                <w:sz w:val="17"/>
                <w:szCs w:val="17"/>
              </w:rPr>
              <w:t xml:space="preserve">48/100</w:t>
            </w:r>
          </w:p>
        </w:tc>
        <w:tc>
          <w:tcPr>
            <w:tcW w:type="dxa" w:w="1750"/>
            <w:vAlign w:val="center"/>
          </w:tcPr>
          <w:p>
            <w:r>
              <w:rPr>
                <w:b w:val="false"/>
                <w:bCs w:val="false"/>
                <w:color w:val="000000"/>
                <w:sz w:val="17"/>
                <w:szCs w:val="17"/>
              </w:rPr>
              <w:t xml:space="preserve">48/100 (unchanged)</w:t>
            </w:r>
          </w:p>
        </w:tc>
        <w:tc>
          <w:tcPr>
            <w:tcW w:type="dxa" w:w="1400"/>
            <w:vAlign w:val="center"/>
          </w:tcPr>
          <w:p>
            <w:r>
              <w:rPr>
                <w:b w:val="false"/>
                <w:bCs w:val="false"/>
                <w:color w:val="000000"/>
                <w:sz w:val="17"/>
                <w:szCs w:val="17"/>
              </w:rPr>
              <w:t xml:space="preserve">≥70 once WP-0006 and WP-0001 complete</w:t>
            </w:r>
          </w:p>
        </w:tc>
        <w:tc>
          <w:tcPr>
            <w:tcW w:type="dxa" w:w="1100"/>
            <w:vAlign w:val="center"/>
          </w:tcPr>
          <w:p>
            <w:r>
              <w:rPr>
                <w:b w:val="false"/>
                <w:bCs w:val="false"/>
                <w:color w:val="000000"/>
                <w:sz w:val="17"/>
                <w:szCs w:val="17"/>
              </w:rPr>
              <w:t xml:space="preserve">WP-0006, WP-0001</w:t>
            </w:r>
          </w:p>
        </w:tc>
        <w:tc>
          <w:tcPr>
            <w:tcW w:type="dxa" w:w="1000"/>
            <w:vAlign w:val="center"/>
          </w:tcPr>
          <w:p>
            <w:r>
              <w:rPr>
                <w:b w:val="false"/>
                <w:bCs w:val="false"/>
                <w:color w:val="000000"/>
                <w:sz w:val="17"/>
                <w:szCs w:val="17"/>
              </w:rPr>
              <w:t xml:space="preserve">At baseline; movement pending both Work Packages.</w:t>
            </w:r>
          </w:p>
        </w:tc>
      </w:tr>
      <w:tr>
        <w:tc>
          <w:tcPr>
            <w:tcW w:type="dxa" w:w="700"/>
            <w:shd w:fill="F2F2F2" w:val="clear"/>
            <w:vAlign w:val="center"/>
          </w:tcPr>
          <w:p>
            <w:r>
              <w:rPr>
                <w:b w:val="false"/>
                <w:bCs w:val="false"/>
                <w:color w:val="000000"/>
                <w:sz w:val="17"/>
                <w:szCs w:val="17"/>
              </w:rPr>
              <w:t xml:space="preserve">KPI-04</w:t>
            </w:r>
          </w:p>
        </w:tc>
        <w:tc>
          <w:tcPr>
            <w:tcW w:type="dxa" w:w="1900"/>
            <w:shd w:fill="F2F2F2" w:val="clear"/>
            <w:vAlign w:val="center"/>
          </w:tcPr>
          <w:p>
            <w:r>
              <w:rPr>
                <w:b w:val="false"/>
                <w:bCs w:val="false"/>
                <w:color w:val="000000"/>
                <w:sz w:val="17"/>
                <w:szCs w:val="17"/>
              </w:rPr>
              <w:t xml:space="preserve">Approved Variances (count)</w:t>
            </w:r>
          </w:p>
        </w:tc>
        <w:tc>
          <w:tcPr>
            <w:tcW w:type="dxa" w:w="1500"/>
            <w:shd w:fill="F2F2F2" w:val="clear"/>
            <w:vAlign w:val="center"/>
          </w:tcPr>
          <w:p>
            <w:r>
              <w:rPr>
                <w:b w:val="false"/>
                <w:bCs w:val="false"/>
                <w:color w:val="000000"/>
                <w:sz w:val="17"/>
                <w:szCs w:val="17"/>
              </w:rPr>
              <w:t xml:space="preserve">4 (VAR-01–04)</w:t>
            </w:r>
          </w:p>
        </w:tc>
        <w:tc>
          <w:tcPr>
            <w:tcW w:type="dxa" w:w="1750"/>
            <w:shd w:fill="F2F2F2" w:val="clear"/>
            <w:vAlign w:val="center"/>
          </w:tcPr>
          <w:p>
            <w:r>
              <w:rPr>
                <w:b w:val="false"/>
                <w:bCs w:val="false"/>
                <w:color w:val="000000"/>
                <w:sz w:val="17"/>
                <w:szCs w:val="17"/>
              </w:rPr>
              <w:t xml:space="preserve">4 (unchanged)</w:t>
            </w:r>
          </w:p>
        </w:tc>
        <w:tc>
          <w:tcPr>
            <w:tcW w:type="dxa" w:w="1400"/>
            <w:shd w:fill="F2F2F2" w:val="clear"/>
            <w:vAlign w:val="center"/>
          </w:tcPr>
          <w:p>
            <w:r>
              <w:rPr>
                <w:b w:val="false"/>
                <w:bCs w:val="false"/>
                <w:color w:val="000000"/>
                <w:sz w:val="17"/>
                <w:szCs w:val="17"/>
              </w:rPr>
              <w:t xml:space="preserve">Stable or declining</w:t>
            </w:r>
          </w:p>
        </w:tc>
        <w:tc>
          <w:tcPr>
            <w:tcW w:type="dxa" w:w="1100"/>
            <w:shd w:fill="F2F2F2" w:val="clear"/>
            <w:vAlign w:val="center"/>
          </w:tcPr>
          <w:p>
            <w:r>
              <w:rPr>
                <w:b w:val="false"/>
                <w:bCs w:val="false"/>
                <w:color w:val="000000"/>
                <w:sz w:val="17"/>
                <w:szCs w:val="17"/>
              </w:rPr>
              <w:t xml:space="preserve">WP-0004</w:t>
            </w:r>
          </w:p>
        </w:tc>
        <w:tc>
          <w:tcPr>
            <w:tcW w:type="dxa" w:w="1000"/>
            <w:shd w:fill="F2F2F2" w:val="clear"/>
            <w:vAlign w:val="center"/>
          </w:tcPr>
          <w:p>
            <w:r>
              <w:rPr>
                <w:b w:val="false"/>
                <w:bCs w:val="false"/>
                <w:color w:val="000000"/>
                <w:sz w:val="17"/>
                <w:szCs w:val="17"/>
              </w:rPr>
              <w:t xml:space="preserve">Stable — no adverse movement.</w:t>
            </w:r>
          </w:p>
        </w:tc>
      </w:tr>
      <w:tr>
        <w:tc>
          <w:tcPr>
            <w:tcW w:type="dxa" w:w="700"/>
            <w:vAlign w:val="center"/>
          </w:tcPr>
          <w:p>
            <w:r>
              <w:rPr>
                <w:b w:val="false"/>
                <w:bCs w:val="false"/>
                <w:color w:val="000000"/>
                <w:sz w:val="17"/>
                <w:szCs w:val="17"/>
              </w:rPr>
              <w:t xml:space="preserve">KPI-05</w:t>
            </w:r>
          </w:p>
        </w:tc>
        <w:tc>
          <w:tcPr>
            <w:tcW w:type="dxa" w:w="1900"/>
            <w:vAlign w:val="center"/>
          </w:tcPr>
          <w:p>
            <w:r>
              <w:rPr>
                <w:b w:val="false"/>
                <w:bCs w:val="false"/>
                <w:color w:val="000000"/>
                <w:sz w:val="17"/>
                <w:szCs w:val="17"/>
              </w:rPr>
              <w:t xml:space="preserve">Deferred Decisions (count)</w:t>
            </w:r>
          </w:p>
        </w:tc>
        <w:tc>
          <w:tcPr>
            <w:tcW w:type="dxa" w:w="1500"/>
            <w:vAlign w:val="center"/>
          </w:tcPr>
          <w:p>
            <w:r>
              <w:rPr>
                <w:b w:val="false"/>
                <w:bCs w:val="false"/>
                <w:color w:val="000000"/>
                <w:sz w:val="17"/>
                <w:szCs w:val="17"/>
              </w:rPr>
              <w:t xml:space="preserve">4 (EGD-0001,0004,0005,0006)</w:t>
            </w:r>
          </w:p>
        </w:tc>
        <w:tc>
          <w:tcPr>
            <w:tcW w:type="dxa" w:w="1750"/>
            <w:vAlign w:val="center"/>
          </w:tcPr>
          <w:p>
            <w:r>
              <w:rPr>
                <w:b w:val="false"/>
                <w:bCs w:val="false"/>
                <w:color w:val="000000"/>
                <w:sz w:val="17"/>
                <w:szCs w:val="17"/>
              </w:rPr>
              <w:t xml:space="preserve">4 (unchanged)</w:t>
            </w:r>
          </w:p>
        </w:tc>
        <w:tc>
          <w:tcPr>
            <w:tcW w:type="dxa" w:w="1400"/>
            <w:vAlign w:val="center"/>
          </w:tcPr>
          <w:p>
            <w:r>
              <w:rPr>
                <w:b w:val="false"/>
                <w:bCs w:val="false"/>
                <w:color w:val="000000"/>
                <w:sz w:val="17"/>
                <w:szCs w:val="17"/>
              </w:rPr>
              <w:t xml:space="preserve">Declining as triggers fire</w:t>
            </w:r>
          </w:p>
        </w:tc>
        <w:tc>
          <w:tcPr>
            <w:tcW w:type="dxa" w:w="1100"/>
            <w:vAlign w:val="center"/>
          </w:tcPr>
          <w:p>
            <w:r>
              <w:rPr>
                <w:b w:val="false"/>
                <w:bCs w:val="false"/>
                <w:color w:val="000000"/>
                <w:sz w:val="17"/>
                <w:szCs w:val="17"/>
              </w:rPr>
              <w:t xml:space="preserve">WP-0003 (trigger-linked)</w:t>
            </w:r>
          </w:p>
        </w:tc>
        <w:tc>
          <w:tcPr>
            <w:tcW w:type="dxa" w:w="1000"/>
            <w:vAlign w:val="center"/>
          </w:tcPr>
          <w:p>
            <w:r>
              <w:rPr>
                <w:b w:val="false"/>
                <w:bCs w:val="false"/>
                <w:color w:val="000000"/>
                <w:sz w:val="17"/>
                <w:szCs w:val="17"/>
              </w:rPr>
              <w:t xml:space="preserve">Stable; declines only as external triggers fire.</w:t>
            </w:r>
          </w:p>
        </w:tc>
      </w:tr>
      <w:tr>
        <w:tc>
          <w:tcPr>
            <w:tcW w:type="dxa" w:w="700"/>
            <w:shd w:fill="F2F2F2" w:val="clear"/>
            <w:vAlign w:val="center"/>
          </w:tcPr>
          <w:p>
            <w:r>
              <w:rPr>
                <w:b w:val="false"/>
                <w:bCs w:val="false"/>
                <w:color w:val="000000"/>
                <w:sz w:val="17"/>
                <w:szCs w:val="17"/>
              </w:rPr>
              <w:t xml:space="preserve">KPI-06</w:t>
            </w:r>
          </w:p>
        </w:tc>
        <w:tc>
          <w:tcPr>
            <w:tcW w:type="dxa" w:w="1900"/>
            <w:shd w:fill="F2F2F2" w:val="clear"/>
            <w:vAlign w:val="center"/>
          </w:tcPr>
          <w:p>
            <w:r>
              <w:rPr>
                <w:b w:val="false"/>
                <w:bCs w:val="false"/>
                <w:color w:val="000000"/>
                <w:sz w:val="17"/>
                <w:szCs w:val="17"/>
              </w:rPr>
              <w:t xml:space="preserve">RLS Coverage %</w:t>
            </w:r>
          </w:p>
        </w:tc>
        <w:tc>
          <w:tcPr>
            <w:tcW w:type="dxa" w:w="1500"/>
            <w:shd w:fill="F2F2F2" w:val="clear"/>
            <w:vAlign w:val="center"/>
          </w:tcPr>
          <w:p>
            <w:r>
              <w:rPr>
                <w:b w:val="false"/>
                <w:bCs w:val="false"/>
                <w:color w:val="000000"/>
                <w:sz w:val="17"/>
                <w:szCs w:val="17"/>
              </w:rPr>
              <w:t xml:space="preserve">Confirmed on 2 tables; unverified elsewhere</w:t>
            </w:r>
          </w:p>
        </w:tc>
        <w:tc>
          <w:tcPr>
            <w:tcW w:type="dxa" w:w="1750"/>
            <w:shd w:fill="F2F2F2" w:val="clear"/>
            <w:vAlign w:val="center"/>
          </w:tcPr>
          <w:p>
            <w:r>
              <w:rPr>
                <w:b w:val="false"/>
                <w:bCs w:val="false"/>
                <w:color w:val="000000"/>
                <w:sz w:val="17"/>
                <w:szCs w:val="17"/>
              </w:rPr>
              <w:t xml:space="preserve">Unchanged — WP-0002 not yet executed</w:t>
            </w:r>
          </w:p>
        </w:tc>
        <w:tc>
          <w:tcPr>
            <w:tcW w:type="dxa" w:w="1400"/>
            <w:shd w:fill="F2F2F2" w:val="clear"/>
            <w:vAlign w:val="center"/>
          </w:tcPr>
          <w:p>
            <w:r>
              <w:rPr>
                <w:b w:val="false"/>
                <w:bCs w:val="false"/>
                <w:color w:val="000000"/>
                <w:sz w:val="17"/>
                <w:szCs w:val="17"/>
              </w:rPr>
              <w:t xml:space="preserve">100% confirmed</w:t>
            </w:r>
          </w:p>
        </w:tc>
        <w:tc>
          <w:tcPr>
            <w:tcW w:type="dxa" w:w="1100"/>
            <w:shd w:fill="F2F2F2" w:val="clear"/>
            <w:vAlign w:val="center"/>
          </w:tcPr>
          <w:p>
            <w:r>
              <w:rPr>
                <w:b w:val="false"/>
                <w:bCs w:val="false"/>
                <w:color w:val="000000"/>
                <w:sz w:val="17"/>
                <w:szCs w:val="17"/>
              </w:rPr>
              <w:t xml:space="preserve">WP-0002, WP-0005 (ext.)</w:t>
            </w:r>
          </w:p>
        </w:tc>
        <w:tc>
          <w:tcPr>
            <w:tcW w:type="dxa" w:w="1000"/>
            <w:shd w:fill="F2F2F2" w:val="clear"/>
            <w:vAlign w:val="center"/>
          </w:tcPr>
          <w:p>
            <w:r>
              <w:rPr>
                <w:b w:val="false"/>
                <w:bCs w:val="false"/>
                <w:color w:val="000000"/>
                <w:sz w:val="17"/>
                <w:szCs w:val="17"/>
              </w:rPr>
              <w:t xml:space="preserve">At baseline; this is the program's highest-priority KPI movement pending.</w:t>
            </w:r>
          </w:p>
        </w:tc>
      </w:tr>
      <w:tr>
        <w:tc>
          <w:tcPr>
            <w:tcW w:type="dxa" w:w="700"/>
            <w:vAlign w:val="center"/>
          </w:tcPr>
          <w:p>
            <w:r>
              <w:rPr>
                <w:b w:val="false"/>
                <w:bCs w:val="false"/>
                <w:color w:val="000000"/>
                <w:sz w:val="17"/>
                <w:szCs w:val="17"/>
              </w:rPr>
              <w:t xml:space="preserve">KPI-07</w:t>
            </w:r>
          </w:p>
        </w:tc>
        <w:tc>
          <w:tcPr>
            <w:tcW w:type="dxa" w:w="1900"/>
            <w:vAlign w:val="center"/>
          </w:tcPr>
          <w:p>
            <w:r>
              <w:rPr>
                <w:b w:val="false"/>
                <w:bCs w:val="false"/>
                <w:color w:val="000000"/>
                <w:sz w:val="17"/>
                <w:szCs w:val="17"/>
              </w:rPr>
              <w:t xml:space="preserve">Governance Decision Traceability %</w:t>
            </w:r>
          </w:p>
        </w:tc>
        <w:tc>
          <w:tcPr>
            <w:tcW w:type="dxa" w:w="1500"/>
            <w:vAlign w:val="center"/>
          </w:tcPr>
          <w:p>
            <w:r>
              <w:rPr>
                <w:b w:val="false"/>
                <w:bCs w:val="false"/>
                <w:color w:val="000000"/>
                <w:sz w:val="17"/>
                <w:szCs w:val="17"/>
              </w:rPr>
              <w:t xml:space="preserve">70/100</w:t>
            </w:r>
          </w:p>
        </w:tc>
        <w:tc>
          <w:tcPr>
            <w:tcW w:type="dxa" w:w="1750"/>
            <w:vAlign w:val="center"/>
          </w:tcPr>
          <w:p>
            <w:r>
              <w:rPr>
                <w:b w:val="false"/>
                <w:bCs w:val="false"/>
                <w:color w:val="000000"/>
                <w:sz w:val="17"/>
                <w:szCs w:val="17"/>
              </w:rPr>
              <w:t xml:space="preserve">70/100 (unchanged)</w:t>
            </w:r>
          </w:p>
        </w:tc>
        <w:tc>
          <w:tcPr>
            <w:tcW w:type="dxa" w:w="1400"/>
            <w:vAlign w:val="center"/>
          </w:tcPr>
          <w:p>
            <w:r>
              <w:rPr>
                <w:b w:val="false"/>
                <w:bCs w:val="false"/>
                <w:color w:val="000000"/>
                <w:sz w:val="17"/>
                <w:szCs w:val="17"/>
              </w:rPr>
              <w:t xml:space="preserve">100</w:t>
            </w:r>
          </w:p>
        </w:tc>
        <w:tc>
          <w:tcPr>
            <w:tcW w:type="dxa" w:w="1100"/>
            <w:vAlign w:val="center"/>
          </w:tcPr>
          <w:p>
            <w:r>
              <w:rPr>
                <w:b w:val="false"/>
                <w:bCs w:val="false"/>
                <w:color w:val="000000"/>
                <w:sz w:val="17"/>
                <w:szCs w:val="17"/>
              </w:rPr>
              <w:t xml:space="preserve">WP-0001</w:t>
            </w:r>
          </w:p>
        </w:tc>
        <w:tc>
          <w:tcPr>
            <w:tcW w:type="dxa" w:w="1000"/>
            <w:vAlign w:val="center"/>
          </w:tcPr>
          <w:p>
            <w:r>
              <w:rPr>
                <w:b w:val="false"/>
                <w:bCs w:val="false"/>
                <w:color w:val="000000"/>
                <w:sz w:val="17"/>
                <w:szCs w:val="17"/>
              </w:rPr>
              <w:t xml:space="preserve">At baseline; movement pending WP-0001.</w:t>
            </w:r>
          </w:p>
        </w:tc>
      </w:tr>
      <w:tr>
        <w:tc>
          <w:tcPr>
            <w:tcW w:type="dxa" w:w="700"/>
            <w:shd w:fill="F2F2F2" w:val="clear"/>
            <w:vAlign w:val="center"/>
          </w:tcPr>
          <w:p>
            <w:r>
              <w:rPr>
                <w:b w:val="false"/>
                <w:bCs w:val="false"/>
                <w:color w:val="000000"/>
                <w:sz w:val="17"/>
                <w:szCs w:val="17"/>
              </w:rPr>
              <w:t xml:space="preserve">KPI-08</w:t>
            </w:r>
          </w:p>
        </w:tc>
        <w:tc>
          <w:tcPr>
            <w:tcW w:type="dxa" w:w="1900"/>
            <w:shd w:fill="F2F2F2" w:val="clear"/>
            <w:vAlign w:val="center"/>
          </w:tcPr>
          <w:p>
            <w:r>
              <w:rPr>
                <w:b w:val="false"/>
                <w:bCs w:val="false"/>
                <w:color w:val="000000"/>
                <w:sz w:val="17"/>
                <w:szCs w:val="17"/>
              </w:rPr>
              <w:t xml:space="preserve">Ownership Assignment %</w:t>
            </w:r>
          </w:p>
        </w:tc>
        <w:tc>
          <w:tcPr>
            <w:tcW w:type="dxa" w:w="1500"/>
            <w:shd w:fill="F2F2F2" w:val="clear"/>
            <w:vAlign w:val="center"/>
          </w:tcPr>
          <w:p>
            <w:r>
              <w:rPr>
                <w:b w:val="false"/>
                <w:bCs w:val="false"/>
                <w:color w:val="000000"/>
                <w:sz w:val="17"/>
                <w:szCs w:val="17"/>
              </w:rPr>
              <w:t xml:space="preserve">0%</w:t>
            </w:r>
          </w:p>
        </w:tc>
        <w:tc>
          <w:tcPr>
            <w:tcW w:type="dxa" w:w="1750"/>
            <w:shd w:fill="F2F2F2" w:val="clear"/>
            <w:vAlign w:val="center"/>
          </w:tcPr>
          <w:p>
            <w:r>
              <w:rPr>
                <w:b w:val="false"/>
                <w:bCs w:val="false"/>
                <w:color w:val="000000"/>
                <w:sz w:val="17"/>
                <w:szCs w:val="17"/>
              </w:rPr>
              <w:t xml:space="preserve">0% (unchanged)</w:t>
            </w:r>
          </w:p>
        </w:tc>
        <w:tc>
          <w:tcPr>
            <w:tcW w:type="dxa" w:w="1400"/>
            <w:shd w:fill="F2F2F2" w:val="clear"/>
            <w:vAlign w:val="center"/>
          </w:tcPr>
          <w:p>
            <w:r>
              <w:rPr>
                <w:b w:val="false"/>
                <w:bCs w:val="false"/>
                <w:color w:val="000000"/>
                <w:sz w:val="17"/>
                <w:szCs w:val="17"/>
              </w:rPr>
              <w:t xml:space="preserve">100% on WP-0006 completion</w:t>
            </w:r>
          </w:p>
        </w:tc>
        <w:tc>
          <w:tcPr>
            <w:tcW w:type="dxa" w:w="1100"/>
            <w:shd w:fill="F2F2F2" w:val="clear"/>
            <w:vAlign w:val="center"/>
          </w:tcPr>
          <w:p>
            <w:r>
              <w:rPr>
                <w:b w:val="false"/>
                <w:bCs w:val="false"/>
                <w:color w:val="000000"/>
                <w:sz w:val="17"/>
                <w:szCs w:val="17"/>
              </w:rPr>
              <w:t xml:space="preserve">WP-0006</w:t>
            </w:r>
          </w:p>
        </w:tc>
        <w:tc>
          <w:tcPr>
            <w:tcW w:type="dxa" w:w="1000"/>
            <w:shd w:fill="F2F2F2" w:val="clear"/>
            <w:vAlign w:val="center"/>
          </w:tcPr>
          <w:p>
            <w:r>
              <w:rPr>
                <w:b w:val="false"/>
                <w:bCs w:val="false"/>
                <w:color w:val="000000"/>
                <w:sz w:val="17"/>
                <w:szCs w:val="17"/>
              </w:rPr>
              <w:t xml:space="preserve">Single most critical outstanding KPI — blocks accountable execution across all other Work Packages.</w:t>
            </w:r>
          </w:p>
        </w:tc>
      </w:tr>
      <w:tr>
        <w:tc>
          <w:tcPr>
            <w:tcW w:type="dxa" w:w="700"/>
            <w:vAlign w:val="center"/>
          </w:tcPr>
          <w:p>
            <w:r>
              <w:rPr>
                <w:b w:val="false"/>
                <w:bCs w:val="false"/>
                <w:color w:val="000000"/>
                <w:sz w:val="17"/>
                <w:szCs w:val="17"/>
              </w:rPr>
              <w:t xml:space="preserve">KPI-09</w:t>
            </w:r>
          </w:p>
        </w:tc>
        <w:tc>
          <w:tcPr>
            <w:tcW w:type="dxa" w:w="1900"/>
            <w:vAlign w:val="center"/>
          </w:tcPr>
          <w:p>
            <w:r>
              <w:rPr>
                <w:b w:val="false"/>
                <w:bCs w:val="false"/>
                <w:color w:val="000000"/>
                <w:sz w:val="17"/>
                <w:szCs w:val="17"/>
              </w:rPr>
              <w:t xml:space="preserve">Technical Debt by Class (Critical/Strategic/Tactical/Acceptable)</w:t>
            </w:r>
          </w:p>
        </w:tc>
        <w:tc>
          <w:tcPr>
            <w:tcW w:type="dxa" w:w="1500"/>
            <w:vAlign w:val="center"/>
          </w:tcPr>
          <w:p>
            <w:r>
              <w:rPr>
                <w:b w:val="false"/>
                <w:bCs w:val="false"/>
                <w:color w:val="000000"/>
                <w:sz w:val="17"/>
                <w:szCs w:val="17"/>
              </w:rPr>
              <w:t xml:space="preserve">1/1/1/1</w:t>
            </w:r>
          </w:p>
        </w:tc>
        <w:tc>
          <w:tcPr>
            <w:tcW w:type="dxa" w:w="1750"/>
            <w:vAlign w:val="center"/>
          </w:tcPr>
          <w:p>
            <w:r>
              <w:rPr>
                <w:b w:val="false"/>
                <w:bCs w:val="false"/>
                <w:color w:val="000000"/>
                <w:sz w:val="17"/>
                <w:szCs w:val="17"/>
              </w:rPr>
              <w:t xml:space="preserve">1/1/1/1 (unchanged)</w:t>
            </w:r>
          </w:p>
        </w:tc>
        <w:tc>
          <w:tcPr>
            <w:tcW w:type="dxa" w:w="1400"/>
            <w:vAlign w:val="center"/>
          </w:tcPr>
          <w:p>
            <w:r>
              <w:rPr>
                <w:b w:val="false"/>
                <w:bCs w:val="false"/>
                <w:color w:val="000000"/>
                <w:sz w:val="17"/>
                <w:szCs w:val="17"/>
              </w:rPr>
              <w:t xml:space="preserve">Critical → 0 on WP-0002 completion</w:t>
            </w:r>
          </w:p>
        </w:tc>
        <w:tc>
          <w:tcPr>
            <w:tcW w:type="dxa" w:w="1100"/>
            <w:vAlign w:val="center"/>
          </w:tcPr>
          <w:p>
            <w:r>
              <w:rPr>
                <w:b w:val="false"/>
                <w:bCs w:val="false"/>
                <w:color w:val="000000"/>
                <w:sz w:val="17"/>
                <w:szCs w:val="17"/>
              </w:rPr>
              <w:t xml:space="preserve">WP-0002</w:t>
            </w:r>
          </w:p>
        </w:tc>
        <w:tc>
          <w:tcPr>
            <w:tcW w:type="dxa" w:w="1000"/>
            <w:vAlign w:val="center"/>
          </w:tcPr>
          <w:p>
            <w:r>
              <w:rPr>
                <w:b w:val="false"/>
                <w:bCs w:val="false"/>
                <w:color w:val="000000"/>
                <w:sz w:val="17"/>
                <w:szCs w:val="17"/>
              </w:rPr>
              <w:t xml:space="preserve">Critical item unresolved pending WP-0002.</w:t>
            </w:r>
          </w:p>
        </w:tc>
      </w:tr>
      <w:tr>
        <w:tc>
          <w:tcPr>
            <w:tcW w:type="dxa" w:w="700"/>
            <w:shd w:fill="F2F2F2" w:val="clear"/>
            <w:vAlign w:val="center"/>
          </w:tcPr>
          <w:p>
            <w:r>
              <w:rPr>
                <w:b w:val="false"/>
                <w:bCs w:val="false"/>
                <w:color w:val="000000"/>
                <w:sz w:val="17"/>
                <w:szCs w:val="17"/>
              </w:rPr>
              <w:t xml:space="preserve">KPI-10</w:t>
            </w:r>
          </w:p>
        </w:tc>
        <w:tc>
          <w:tcPr>
            <w:tcW w:type="dxa" w:w="1900"/>
            <w:shd w:fill="F2F2F2" w:val="clear"/>
            <w:vAlign w:val="center"/>
          </w:tcPr>
          <w:p>
            <w:r>
              <w:rPr>
                <w:b w:val="false"/>
                <w:bCs w:val="false"/>
                <w:color w:val="000000"/>
                <w:sz w:val="17"/>
                <w:szCs w:val="17"/>
              </w:rPr>
              <w:t xml:space="preserve">Architecture Review SLA</w:t>
            </w:r>
          </w:p>
        </w:tc>
        <w:tc>
          <w:tcPr>
            <w:tcW w:type="dxa" w:w="1500"/>
            <w:shd w:fill="F2F2F2" w:val="clear"/>
            <w:vAlign w:val="center"/>
          </w:tcPr>
          <w:p>
            <w:r>
              <w:rPr>
                <w:b w:val="false"/>
                <w:bCs w:val="false"/>
                <w:color w:val="000000"/>
                <w:sz w:val="17"/>
                <w:szCs w:val="17"/>
              </w:rPr>
              <w:t xml:space="preserve">Not yet defined</w:t>
            </w:r>
          </w:p>
        </w:tc>
        <w:tc>
          <w:tcPr>
            <w:tcW w:type="dxa" w:w="1750"/>
            <w:shd w:fill="F2F2F2" w:val="clear"/>
            <w:vAlign w:val="center"/>
          </w:tcPr>
          <w:p>
            <w:r>
              <w:rPr>
                <w:b w:val="false"/>
                <w:bCs w:val="false"/>
                <w:color w:val="000000"/>
                <w:sz w:val="17"/>
                <w:szCs w:val="17"/>
              </w:rPr>
              <w:t xml:space="preserve">Not yet defined</w:t>
            </w:r>
          </w:p>
        </w:tc>
        <w:tc>
          <w:tcPr>
            <w:tcW w:type="dxa" w:w="1400"/>
            <w:shd w:fill="F2F2F2" w:val="clear"/>
            <w:vAlign w:val="center"/>
          </w:tcPr>
          <w:p>
            <w:r>
              <w:rPr>
                <w:b w:val="false"/>
                <w:bCs w:val="false"/>
                <w:color w:val="000000"/>
                <w:sz w:val="17"/>
                <w:szCs w:val="17"/>
              </w:rPr>
              <w:t xml:space="preserve">Quarterly trigger review formally adopted</w:t>
            </w:r>
          </w:p>
        </w:tc>
        <w:tc>
          <w:tcPr>
            <w:tcW w:type="dxa" w:w="1100"/>
            <w:shd w:fill="F2F2F2" w:val="clear"/>
            <w:vAlign w:val="center"/>
          </w:tcPr>
          <w:p>
            <w:r>
              <w:rPr>
                <w:b w:val="false"/>
                <w:bCs w:val="false"/>
                <w:color w:val="000000"/>
                <w:sz w:val="17"/>
                <w:szCs w:val="17"/>
              </w:rPr>
              <w:t xml:space="preserve">WP-0006 (owner)</w:t>
            </w:r>
          </w:p>
        </w:tc>
        <w:tc>
          <w:tcPr>
            <w:tcW w:type="dxa" w:w="1000"/>
            <w:shd w:fill="F2F2F2" w:val="clear"/>
            <w:vAlign w:val="center"/>
          </w:tcPr>
          <w:p>
            <w:r>
              <w:rPr>
                <w:b w:val="false"/>
                <w:bCs w:val="false"/>
                <w:color w:val="000000"/>
                <w:sz w:val="17"/>
                <w:szCs w:val="17"/>
              </w:rPr>
              <w:t xml:space="preserve">Not Applicable until WP-0006 names an owner to adopt the cadence.</w:t>
            </w:r>
          </w:p>
        </w:tc>
      </w:tr>
    </w:tbl>
    <w:p>
      <w:pPr>
        <w:pStyle w:val="Heading1"/>
        <w:spacing w:after="200" w:before="400"/>
      </w:pPr>
      <w:r>
        <w:t xml:space="preserve">8. Architecture Conformance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50"/>
        <w:gridCol w:w="2100"/>
        <w:gridCol w:w="1200"/>
        <w:gridCol w:w="2650"/>
        <w:gridCol w:w="2650"/>
      </w:tblGrid>
      <w:tr>
        <w:trPr>
          <w:tblHeader/>
        </w:trPr>
        <w:tc>
          <w:tcPr>
            <w:tcW w:type="dxa" w:w="750"/>
            <w:shd w:fill="1F3864" w:val="clear"/>
            <w:vAlign w:val="center"/>
          </w:tcPr>
          <w:p>
            <w:r>
              <w:rPr>
                <w:b/>
                <w:bCs/>
                <w:color w:val="FFFFFF"/>
                <w:sz w:val="17"/>
                <w:szCs w:val="17"/>
              </w:rPr>
              <w:t xml:space="preserve">AR</w:t>
            </w:r>
          </w:p>
        </w:tc>
        <w:tc>
          <w:tcPr>
            <w:tcW w:type="dxa" w:w="2100"/>
            <w:shd w:fill="1F3864" w:val="clear"/>
            <w:vAlign w:val="center"/>
          </w:tcPr>
          <w:p>
            <w:r>
              <w:rPr>
                <w:b/>
                <w:bCs/>
                <w:color w:val="FFFFFF"/>
                <w:sz w:val="17"/>
                <w:szCs w:val="17"/>
              </w:rPr>
              <w:t xml:space="preserve">Requirement</w:t>
            </w:r>
          </w:p>
        </w:tc>
        <w:tc>
          <w:tcPr>
            <w:tcW w:type="dxa" w:w="1200"/>
            <w:shd w:fill="1F3864" w:val="clear"/>
            <w:vAlign w:val="center"/>
          </w:tcPr>
          <w:p>
            <w:r>
              <w:rPr>
                <w:b/>
                <w:bCs/>
                <w:color w:val="FFFFFF"/>
                <w:sz w:val="17"/>
                <w:szCs w:val="17"/>
              </w:rPr>
              <w:t xml:space="preserve">Cert. Level</w:t>
            </w:r>
          </w:p>
        </w:tc>
        <w:tc>
          <w:tcPr>
            <w:tcW w:type="dxa" w:w="2650"/>
            <w:shd w:fill="1F3864" w:val="clear"/>
            <w:vAlign w:val="center"/>
          </w:tcPr>
          <w:p>
            <w:r>
              <w:rPr>
                <w:b/>
                <w:bCs/>
                <w:color w:val="FFFFFF"/>
                <w:sz w:val="17"/>
                <w:szCs w:val="17"/>
              </w:rPr>
              <w:t xml:space="preserve">Conformance Status</w:t>
            </w:r>
          </w:p>
        </w:tc>
        <w:tc>
          <w:tcPr>
            <w:tcW w:type="dxa" w:w="2650"/>
            <w:shd w:fill="1F3864" w:val="clear"/>
            <w:vAlign w:val="center"/>
          </w:tcPr>
          <w:p>
            <w:r>
              <w:rPr>
                <w:b/>
                <w:bCs/>
                <w:color w:val="FFFFFF"/>
                <w:sz w:val="17"/>
                <w:szCs w:val="17"/>
              </w:rPr>
              <w:t xml:space="preserve">Outstanding Item</w:t>
            </w:r>
          </w:p>
        </w:tc>
      </w:tr>
      <w:tr>
        <w:tc>
          <w:tcPr>
            <w:tcW w:type="dxa" w:w="750"/>
            <w:vAlign w:val="center"/>
          </w:tcPr>
          <w:p>
            <w:r>
              <w:rPr>
                <w:b w:val="false"/>
                <w:bCs w:val="false"/>
                <w:color w:val="000000"/>
                <w:sz w:val="17"/>
                <w:szCs w:val="17"/>
              </w:rPr>
              <w:t xml:space="preserve">AR-0001</w:t>
            </w:r>
          </w:p>
        </w:tc>
        <w:tc>
          <w:tcPr>
            <w:tcW w:type="dxa" w:w="2100"/>
            <w:vAlign w:val="center"/>
          </w:tcPr>
          <w:p>
            <w:r>
              <w:rPr>
                <w:b w:val="false"/>
                <w:bCs w:val="false"/>
                <w:color w:val="000000"/>
                <w:sz w:val="17"/>
                <w:szCs w:val="17"/>
              </w:rPr>
              <w:t xml:space="preserve">Schema isolation</w:t>
            </w:r>
          </w:p>
        </w:tc>
        <w:tc>
          <w:tcPr>
            <w:tcW w:type="dxa" w:w="1200"/>
            <w:vAlign w:val="center"/>
          </w:tcPr>
          <w:p>
            <w:r>
              <w:rPr>
                <w:b w:val="false"/>
                <w:bCs w:val="false"/>
                <w:color w:val="000000"/>
                <w:sz w:val="17"/>
                <w:szCs w:val="17"/>
              </w:rPr>
              <w:t xml:space="preserve">L3</w:t>
            </w:r>
          </w:p>
        </w:tc>
        <w:tc>
          <w:tcPr>
            <w:tcW w:type="dxa" w:w="2650"/>
            <w:vAlign w:val="center"/>
          </w:tcPr>
          <w:p>
            <w:r>
              <w:rPr>
                <w:b w:val="false"/>
                <w:bCs w:val="false"/>
                <w:color w:val="000000"/>
                <w:sz w:val="17"/>
                <w:szCs w:val="17"/>
              </w:rPr>
              <w:t xml:space="preserve">Deferred (EGD-0001) — no trigger fired</w:t>
            </w:r>
          </w:p>
        </w:tc>
        <w:tc>
          <w:tcPr>
            <w:tcW w:type="dxa" w:w="2650"/>
            <w:vAlign w:val="center"/>
          </w:tcPr>
          <w:p>
            <w:r>
              <w:rPr>
                <w:b w:val="false"/>
                <w:bCs w:val="false"/>
                <w:color w:val="000000"/>
                <w:sz w:val="17"/>
                <w:szCs w:val="17"/>
              </w:rPr>
              <w:t xml:space="preserve">Quarterly trigger monitoring (public table count) — Reserved until trigger fires</w:t>
            </w:r>
          </w:p>
        </w:tc>
      </w:tr>
      <w:tr>
        <w:tc>
          <w:tcPr>
            <w:tcW w:type="dxa" w:w="750"/>
            <w:shd w:fill="F2F2F2" w:val="clear"/>
            <w:vAlign w:val="center"/>
          </w:tcPr>
          <w:p>
            <w:r>
              <w:rPr>
                <w:b w:val="false"/>
                <w:bCs w:val="false"/>
                <w:color w:val="000000"/>
                <w:sz w:val="17"/>
                <w:szCs w:val="17"/>
              </w:rPr>
              <w:t xml:space="preserve">AR-0002</w:t>
            </w:r>
          </w:p>
        </w:tc>
        <w:tc>
          <w:tcPr>
            <w:tcW w:type="dxa" w:w="2100"/>
            <w:shd w:fill="F2F2F2" w:val="clear"/>
            <w:vAlign w:val="center"/>
          </w:tcPr>
          <w:p>
            <w:r>
              <w:rPr>
                <w:b w:val="false"/>
                <w:bCs w:val="false"/>
                <w:color w:val="000000"/>
                <w:sz w:val="17"/>
                <w:szCs w:val="17"/>
              </w:rPr>
              <w:t xml:space="preserve">Naming governance</w:t>
            </w:r>
          </w:p>
        </w:tc>
        <w:tc>
          <w:tcPr>
            <w:tcW w:type="dxa" w:w="1200"/>
            <w:shd w:fill="F2F2F2" w:val="clear"/>
            <w:vAlign w:val="center"/>
          </w:tcPr>
          <w:p>
            <w:r>
              <w:rPr>
                <w:b w:val="false"/>
                <w:bCs w:val="false"/>
                <w:color w:val="000000"/>
                <w:sz w:val="17"/>
                <w:szCs w:val="17"/>
              </w:rPr>
              <w:t xml:space="preserve">L4 (pending)</w:t>
            </w:r>
          </w:p>
        </w:tc>
        <w:tc>
          <w:tcPr>
            <w:tcW w:type="dxa" w:w="2650"/>
            <w:shd w:fill="F2F2F2" w:val="clear"/>
            <w:vAlign w:val="center"/>
          </w:tcPr>
          <w:p>
            <w:r>
              <w:rPr>
                <w:b w:val="false"/>
                <w:bCs w:val="false"/>
                <w:color w:val="000000"/>
                <w:sz w:val="17"/>
                <w:szCs w:val="17"/>
              </w:rPr>
              <w:t xml:space="preserve">Non-conformant under canonical names; documentation revision pending</w:t>
            </w:r>
          </w:p>
        </w:tc>
        <w:tc>
          <w:tcPr>
            <w:tcW w:type="dxa" w:w="2650"/>
            <w:shd w:fill="F2F2F2" w:val="clear"/>
            <w:vAlign w:val="center"/>
          </w:tcPr>
          <w:p>
            <w:r>
              <w:rPr>
                <w:b w:val="false"/>
                <w:bCs w:val="false"/>
                <w:color w:val="000000"/>
                <w:sz w:val="17"/>
                <w:szCs w:val="17"/>
              </w:rPr>
              <w:t xml:space="preserve">WP-0001 execution and zero-discrepancy diff</w:t>
            </w:r>
          </w:p>
        </w:tc>
      </w:tr>
      <w:tr>
        <w:tc>
          <w:tcPr>
            <w:tcW w:type="dxa" w:w="750"/>
            <w:vAlign w:val="center"/>
          </w:tcPr>
          <w:p>
            <w:r>
              <w:rPr>
                <w:b w:val="false"/>
                <w:bCs w:val="false"/>
                <w:color w:val="000000"/>
                <w:sz w:val="17"/>
                <w:szCs w:val="17"/>
              </w:rPr>
              <w:t xml:space="preserve">AR-0003</w:t>
            </w:r>
          </w:p>
        </w:tc>
        <w:tc>
          <w:tcPr>
            <w:tcW w:type="dxa" w:w="2100"/>
            <w:vAlign w:val="center"/>
          </w:tcPr>
          <w:p>
            <w:r>
              <w:rPr>
                <w:b w:val="false"/>
                <w:bCs w:val="false"/>
                <w:color w:val="000000"/>
                <w:sz w:val="17"/>
                <w:szCs w:val="17"/>
              </w:rPr>
              <w:t xml:space="preserve">Taxonomy reference pattern</w:t>
            </w:r>
          </w:p>
        </w:tc>
        <w:tc>
          <w:tcPr>
            <w:tcW w:type="dxa" w:w="1200"/>
            <w:vAlign w:val="center"/>
          </w:tcPr>
          <w:p>
            <w:r>
              <w:rPr>
                <w:b w:val="false"/>
                <w:bCs w:val="false"/>
                <w:color w:val="000000"/>
                <w:sz w:val="17"/>
                <w:szCs w:val="17"/>
              </w:rPr>
              <w:t xml:space="preserve">L4 (pending)</w:t>
            </w:r>
          </w:p>
        </w:tc>
        <w:tc>
          <w:tcPr>
            <w:tcW w:type="dxa" w:w="2650"/>
            <w:vAlign w:val="center"/>
          </w:tcPr>
          <w:p>
            <w:r>
              <w:rPr>
                <w:b w:val="false"/>
                <w:bCs w:val="false"/>
                <w:color w:val="000000"/>
                <w:sz w:val="17"/>
                <w:szCs w:val="17"/>
              </w:rPr>
              <w:t xml:space="preserve">Implemented differently; accepted conditionally</w:t>
            </w:r>
          </w:p>
        </w:tc>
        <w:tc>
          <w:tcPr>
            <w:tcW w:type="dxa" w:w="2650"/>
            <w:vAlign w:val="center"/>
          </w:tcPr>
          <w:p>
            <w:r>
              <w:rPr>
                <w:b w:val="false"/>
                <w:bCs w:val="false"/>
                <w:color w:val="000000"/>
                <w:sz w:val="17"/>
                <w:szCs w:val="17"/>
              </w:rPr>
              <w:t xml:space="preserve">WP-0004 execution and operating per-release check</w:t>
            </w:r>
          </w:p>
        </w:tc>
      </w:tr>
      <w:tr>
        <w:tc>
          <w:tcPr>
            <w:tcW w:type="dxa" w:w="750"/>
            <w:shd w:fill="F2F2F2" w:val="clear"/>
            <w:vAlign w:val="center"/>
          </w:tcPr>
          <w:p>
            <w:r>
              <w:rPr>
                <w:b w:val="false"/>
                <w:bCs w:val="false"/>
                <w:color w:val="000000"/>
                <w:sz w:val="17"/>
                <w:szCs w:val="17"/>
              </w:rPr>
              <w:t xml:space="preserve">AR-0004</w:t>
            </w:r>
          </w:p>
        </w:tc>
        <w:tc>
          <w:tcPr>
            <w:tcW w:type="dxa" w:w="2100"/>
            <w:shd w:fill="F2F2F2" w:val="clear"/>
            <w:vAlign w:val="center"/>
          </w:tcPr>
          <w:p>
            <w:r>
              <w:rPr>
                <w:b w:val="false"/>
                <w:bCs w:val="false"/>
                <w:color w:val="000000"/>
                <w:sz w:val="17"/>
                <w:szCs w:val="17"/>
              </w:rPr>
              <w:t xml:space="preserve">Partitioning</w:t>
            </w:r>
          </w:p>
        </w:tc>
        <w:tc>
          <w:tcPr>
            <w:tcW w:type="dxa" w:w="1200"/>
            <w:shd w:fill="F2F2F2" w:val="clear"/>
            <w:vAlign w:val="center"/>
          </w:tcPr>
          <w:p>
            <w:r>
              <w:rPr>
                <w:b w:val="false"/>
                <w:bCs w:val="false"/>
                <w:color w:val="000000"/>
                <w:sz w:val="17"/>
                <w:szCs w:val="17"/>
              </w:rPr>
              <w:t xml:space="preserve">L3</w:t>
            </w:r>
          </w:p>
        </w:tc>
        <w:tc>
          <w:tcPr>
            <w:tcW w:type="dxa" w:w="2650"/>
            <w:shd w:fill="F2F2F2" w:val="clear"/>
            <w:vAlign w:val="center"/>
          </w:tcPr>
          <w:p>
            <w:r>
              <w:rPr>
                <w:b w:val="false"/>
                <w:bCs w:val="false"/>
                <w:color w:val="000000"/>
                <w:sz w:val="17"/>
                <w:szCs w:val="17"/>
              </w:rPr>
              <w:t xml:space="preserve">Deferred — trigger not fired</w:t>
            </w:r>
          </w:p>
        </w:tc>
        <w:tc>
          <w:tcPr>
            <w:tcW w:type="dxa" w:w="2650"/>
            <w:shd w:fill="F2F2F2" w:val="clear"/>
            <w:vAlign w:val="center"/>
          </w:tcPr>
          <w:p>
            <w:r>
              <w:rPr>
                <w:b w:val="false"/>
                <w:bCs w:val="false"/>
                <w:color w:val="000000"/>
                <w:sz w:val="17"/>
                <w:szCs w:val="17"/>
              </w:rPr>
              <w:t xml:space="preserve">EGD-0004 trigger; conditional migration if triggered</w:t>
            </w:r>
          </w:p>
        </w:tc>
      </w:tr>
      <w:tr>
        <w:tc>
          <w:tcPr>
            <w:tcW w:type="dxa" w:w="750"/>
            <w:vAlign w:val="center"/>
          </w:tcPr>
          <w:p>
            <w:r>
              <w:rPr>
                <w:b w:val="false"/>
                <w:bCs w:val="false"/>
                <w:color w:val="000000"/>
                <w:sz w:val="17"/>
                <w:szCs w:val="17"/>
              </w:rPr>
              <w:t xml:space="preserve">AR-0005</w:t>
            </w:r>
          </w:p>
        </w:tc>
        <w:tc>
          <w:tcPr>
            <w:tcW w:type="dxa" w:w="2100"/>
            <w:vAlign w:val="center"/>
          </w:tcPr>
          <w:p>
            <w:r>
              <w:rPr>
                <w:b w:val="false"/>
                <w:bCs w:val="false"/>
                <w:color w:val="000000"/>
                <w:sz w:val="17"/>
                <w:szCs w:val="17"/>
              </w:rPr>
              <w:t xml:space="preserve">Qualification/selection separation</w:t>
            </w:r>
          </w:p>
        </w:tc>
        <w:tc>
          <w:tcPr>
            <w:tcW w:type="dxa" w:w="1200"/>
            <w:vAlign w:val="center"/>
          </w:tcPr>
          <w:p>
            <w:r>
              <w:rPr>
                <w:b w:val="false"/>
                <w:bCs w:val="false"/>
                <w:color w:val="000000"/>
                <w:sz w:val="17"/>
                <w:szCs w:val="17"/>
              </w:rPr>
              <w:t xml:space="preserve">L3</w:t>
            </w:r>
          </w:p>
        </w:tc>
        <w:tc>
          <w:tcPr>
            <w:tcW w:type="dxa" w:w="2650"/>
            <w:vAlign w:val="center"/>
          </w:tcPr>
          <w:p>
            <w:r>
              <w:rPr>
                <w:b w:val="false"/>
                <w:bCs w:val="false"/>
                <w:color w:val="000000"/>
                <w:sz w:val="17"/>
                <w:szCs w:val="17"/>
              </w:rPr>
              <w:t xml:space="preserve">Deferred, accepted-for-now</w:t>
            </w:r>
          </w:p>
        </w:tc>
        <w:tc>
          <w:tcPr>
            <w:tcW w:type="dxa" w:w="2650"/>
            <w:vAlign w:val="center"/>
          </w:tcPr>
          <w:p>
            <w:r>
              <w:rPr>
                <w:b w:val="false"/>
                <w:bCs w:val="false"/>
                <w:color w:val="000000"/>
                <w:sz w:val="17"/>
                <w:szCs w:val="17"/>
              </w:rPr>
              <w:t xml:space="preserve">Reserved for Future Realization Phases — no product trigger fired</w:t>
            </w:r>
          </w:p>
        </w:tc>
      </w:tr>
      <w:tr>
        <w:tc>
          <w:tcPr>
            <w:tcW w:type="dxa" w:w="750"/>
            <w:shd w:fill="F2F2F2" w:val="clear"/>
            <w:vAlign w:val="center"/>
          </w:tcPr>
          <w:p>
            <w:r>
              <w:rPr>
                <w:b w:val="false"/>
                <w:bCs w:val="false"/>
                <w:color w:val="000000"/>
                <w:sz w:val="17"/>
                <w:szCs w:val="17"/>
              </w:rPr>
              <w:t xml:space="preserve">AR-0006</w:t>
            </w:r>
          </w:p>
        </w:tc>
        <w:tc>
          <w:tcPr>
            <w:tcW w:type="dxa" w:w="2100"/>
            <w:shd w:fill="F2F2F2" w:val="clear"/>
            <w:vAlign w:val="center"/>
          </w:tcPr>
          <w:p>
            <w:r>
              <w:rPr>
                <w:b w:val="false"/>
                <w:bCs w:val="false"/>
                <w:color w:val="000000"/>
                <w:sz w:val="17"/>
                <w:szCs w:val="17"/>
              </w:rPr>
              <w:t xml:space="preserve">Supersession/versioning model</w:t>
            </w:r>
          </w:p>
        </w:tc>
        <w:tc>
          <w:tcPr>
            <w:tcW w:type="dxa" w:w="1200"/>
            <w:shd w:fill="F2F2F2" w:val="clear"/>
            <w:vAlign w:val="center"/>
          </w:tcPr>
          <w:p>
            <w:r>
              <w:rPr>
                <w:b w:val="false"/>
                <w:bCs w:val="false"/>
                <w:color w:val="000000"/>
                <w:sz w:val="17"/>
                <w:szCs w:val="17"/>
              </w:rPr>
              <w:t xml:space="preserve">L3</w:t>
            </w:r>
          </w:p>
        </w:tc>
        <w:tc>
          <w:tcPr>
            <w:tcW w:type="dxa" w:w="2650"/>
            <w:shd w:fill="F2F2F2" w:val="clear"/>
            <w:vAlign w:val="center"/>
          </w:tcPr>
          <w:p>
            <w:r>
              <w:rPr>
                <w:b w:val="false"/>
                <w:bCs w:val="false"/>
                <w:color w:val="000000"/>
                <w:sz w:val="17"/>
                <w:szCs w:val="17"/>
              </w:rPr>
              <w:t xml:space="preserve">Deferred — irreversibility flagged</w:t>
            </w:r>
          </w:p>
        </w:tc>
        <w:tc>
          <w:tcPr>
            <w:tcW w:type="dxa" w:w="2650"/>
            <w:shd w:fill="F2F2F2" w:val="clear"/>
            <w:vAlign w:val="center"/>
          </w:tcPr>
          <w:p>
            <w:r>
              <w:rPr>
                <w:b w:val="false"/>
                <w:bCs w:val="false"/>
                <w:color w:val="000000"/>
                <w:sz w:val="17"/>
                <w:szCs w:val="17"/>
              </w:rPr>
              <w:t xml:space="preserve">Reserved for Future Realization Phases — no compliance trigger fired</w:t>
            </w:r>
          </w:p>
        </w:tc>
      </w:tr>
      <w:tr>
        <w:tc>
          <w:tcPr>
            <w:tcW w:type="dxa" w:w="750"/>
            <w:vAlign w:val="center"/>
          </w:tcPr>
          <w:p>
            <w:r>
              <w:rPr>
                <w:b w:val="false"/>
                <w:bCs w:val="false"/>
                <w:color w:val="000000"/>
                <w:sz w:val="17"/>
                <w:szCs w:val="17"/>
              </w:rPr>
              <w:t xml:space="preserve">AR-0007</w:t>
            </w:r>
          </w:p>
        </w:tc>
        <w:tc>
          <w:tcPr>
            <w:tcW w:type="dxa" w:w="2100"/>
            <w:vAlign w:val="center"/>
          </w:tcPr>
          <w:p>
            <w:r>
              <w:rPr>
                <w:b w:val="false"/>
                <w:bCs w:val="false"/>
                <w:color w:val="000000"/>
                <w:sz w:val="17"/>
                <w:szCs w:val="17"/>
              </w:rPr>
              <w:t xml:space="preserve">RLS ownership-check coverage</w:t>
            </w:r>
          </w:p>
        </w:tc>
        <w:tc>
          <w:tcPr>
            <w:tcW w:type="dxa" w:w="1200"/>
            <w:vAlign w:val="center"/>
          </w:tcPr>
          <w:p>
            <w:r>
              <w:rPr>
                <w:b w:val="false"/>
                <w:bCs w:val="false"/>
                <w:color w:val="000000"/>
                <w:sz w:val="17"/>
                <w:szCs w:val="17"/>
              </w:rPr>
              <w:t xml:space="preserve">L4 (pending)</w:t>
            </w:r>
          </w:p>
        </w:tc>
        <w:tc>
          <w:tcPr>
            <w:tcW w:type="dxa" w:w="2650"/>
            <w:vAlign w:val="center"/>
          </w:tcPr>
          <w:p>
            <w:r>
              <w:rPr>
                <w:b w:val="false"/>
                <w:bCs w:val="false"/>
                <w:color w:val="000000"/>
                <w:sz w:val="17"/>
                <w:szCs w:val="17"/>
              </w:rPr>
              <w:t xml:space="preserve">Partially conformant, partially unverified</w:t>
            </w:r>
          </w:p>
        </w:tc>
        <w:tc>
          <w:tcPr>
            <w:tcW w:type="dxa" w:w="2650"/>
            <w:vAlign w:val="center"/>
          </w:tcPr>
          <w:p>
            <w:r>
              <w:rPr>
                <w:b w:val="false"/>
                <w:bCs w:val="false"/>
                <w:color w:val="000000"/>
                <w:sz w:val="17"/>
                <w:szCs w:val="17"/>
              </w:rPr>
              <w:t xml:space="preserve">WP-0002 execution and written confirmation; WP-0005 extension</w:t>
            </w:r>
          </w:p>
        </w:tc>
      </w:tr>
      <w:tr>
        <w:tc>
          <w:tcPr>
            <w:tcW w:type="dxa" w:w="750"/>
            <w:shd w:fill="F2F2F2" w:val="clear"/>
            <w:vAlign w:val="center"/>
          </w:tcPr>
          <w:p>
            <w:r>
              <w:rPr>
                <w:b w:val="false"/>
                <w:bCs w:val="false"/>
                <w:color w:val="000000"/>
                <w:sz w:val="17"/>
                <w:szCs w:val="17"/>
              </w:rPr>
              <w:t xml:space="preserve">AR-0008</w:t>
            </w:r>
          </w:p>
        </w:tc>
        <w:tc>
          <w:tcPr>
            <w:tcW w:type="dxa" w:w="2100"/>
            <w:shd w:fill="F2F2F2" w:val="clear"/>
            <w:vAlign w:val="center"/>
          </w:tcPr>
          <w:p>
            <w:r>
              <w:rPr>
                <w:b w:val="false"/>
                <w:bCs w:val="false"/>
                <w:color w:val="000000"/>
                <w:sz w:val="17"/>
                <w:szCs w:val="17"/>
              </w:rPr>
              <w:t xml:space="preserve">UUID primary keys</w:t>
            </w:r>
          </w:p>
        </w:tc>
        <w:tc>
          <w:tcPr>
            <w:tcW w:type="dxa" w:w="1200"/>
            <w:shd w:fill="F2F2F2" w:val="clear"/>
            <w:vAlign w:val="center"/>
          </w:tcPr>
          <w:p>
            <w:r>
              <w:rPr>
                <w:b w:val="false"/>
                <w:bCs w:val="false"/>
                <w:color w:val="000000"/>
                <w:sz w:val="17"/>
                <w:szCs w:val="17"/>
              </w:rPr>
              <w:t xml:space="preserve">L4 (met)</w:t>
            </w:r>
          </w:p>
        </w:tc>
        <w:tc>
          <w:tcPr>
            <w:tcW w:type="dxa" w:w="2650"/>
            <w:shd w:fill="F2F2F2" w:val="clear"/>
            <w:vAlign w:val="center"/>
          </w:tcPr>
          <w:p>
            <w:r>
              <w:rPr>
                <w:b w:val="false"/>
                <w:bCs w:val="false"/>
                <w:color w:val="000000"/>
                <w:sz w:val="17"/>
                <w:szCs w:val="17"/>
              </w:rPr>
              <w:t xml:space="preserve">Conformant, exceeds bar</w:t>
            </w:r>
          </w:p>
        </w:tc>
        <w:tc>
          <w:tcPr>
            <w:tcW w:type="dxa" w:w="2650"/>
            <w:shd w:fill="F2F2F2" w:val="clear"/>
            <w:vAlign w:val="center"/>
          </w:tcPr>
          <w:p>
            <w:r>
              <w:rPr>
                <w:b w:val="false"/>
                <w:bCs w:val="false"/>
                <w:color w:val="000000"/>
                <w:sz w:val="17"/>
                <w:szCs w:val="17"/>
              </w:rPr>
              <w:t xml:space="preserve">None — standing standard</w:t>
            </w:r>
          </w:p>
        </w:tc>
      </w:tr>
      <w:tr>
        <w:tc>
          <w:tcPr>
            <w:tcW w:type="dxa" w:w="750"/>
            <w:vAlign w:val="center"/>
          </w:tcPr>
          <w:p>
            <w:r>
              <w:rPr>
                <w:b w:val="false"/>
                <w:bCs w:val="false"/>
                <w:color w:val="000000"/>
                <w:sz w:val="17"/>
                <w:szCs w:val="17"/>
              </w:rPr>
              <w:t xml:space="preserve">AR-0009</w:t>
            </w:r>
          </w:p>
        </w:tc>
        <w:tc>
          <w:tcPr>
            <w:tcW w:type="dxa" w:w="2100"/>
            <w:vAlign w:val="center"/>
          </w:tcPr>
          <w:p>
            <w:r>
              <w:rPr>
                <w:b w:val="false"/>
                <w:bCs w:val="false"/>
                <w:color w:val="000000"/>
                <w:sz w:val="17"/>
                <w:szCs w:val="17"/>
              </w:rPr>
              <w:t xml:space="preserve">timestamptz discipline</w:t>
            </w:r>
          </w:p>
        </w:tc>
        <w:tc>
          <w:tcPr>
            <w:tcW w:type="dxa" w:w="1200"/>
            <w:vAlign w:val="center"/>
          </w:tcPr>
          <w:p>
            <w:r>
              <w:rPr>
                <w:b w:val="false"/>
                <w:bCs w:val="false"/>
                <w:color w:val="000000"/>
                <w:sz w:val="17"/>
                <w:szCs w:val="17"/>
              </w:rPr>
              <w:t xml:space="preserve">L4 (met)</w:t>
            </w:r>
          </w:p>
        </w:tc>
        <w:tc>
          <w:tcPr>
            <w:tcW w:type="dxa" w:w="2650"/>
            <w:vAlign w:val="center"/>
          </w:tcPr>
          <w:p>
            <w:r>
              <w:rPr>
                <w:b w:val="false"/>
                <w:bCs w:val="false"/>
                <w:color w:val="000000"/>
                <w:sz w:val="17"/>
                <w:szCs w:val="17"/>
              </w:rPr>
              <w:t xml:space="preserve">Conformant, exceeds bar</w:t>
            </w:r>
          </w:p>
        </w:tc>
        <w:tc>
          <w:tcPr>
            <w:tcW w:type="dxa" w:w="2650"/>
            <w:vAlign w:val="center"/>
          </w:tcPr>
          <w:p>
            <w:r>
              <w:rPr>
                <w:b w:val="false"/>
                <w:bCs w:val="false"/>
                <w:color w:val="000000"/>
                <w:sz w:val="17"/>
                <w:szCs w:val="17"/>
              </w:rPr>
              <w:t xml:space="preserve">None — standing standard</w:t>
            </w:r>
          </w:p>
        </w:tc>
      </w:tr>
      <w:tr>
        <w:tc>
          <w:tcPr>
            <w:tcW w:type="dxa" w:w="750"/>
            <w:shd w:fill="F2F2F2" w:val="clear"/>
            <w:vAlign w:val="center"/>
          </w:tcPr>
          <w:p>
            <w:r>
              <w:rPr>
                <w:b w:val="false"/>
                <w:bCs w:val="false"/>
                <w:color w:val="000000"/>
                <w:sz w:val="17"/>
                <w:szCs w:val="17"/>
              </w:rPr>
              <w:t xml:space="preserve">AR-0010</w:t>
            </w:r>
          </w:p>
        </w:tc>
        <w:tc>
          <w:tcPr>
            <w:tcW w:type="dxa" w:w="2100"/>
            <w:shd w:fill="F2F2F2" w:val="clear"/>
            <w:vAlign w:val="center"/>
          </w:tcPr>
          <w:p>
            <w:r>
              <w:rPr>
                <w:b w:val="false"/>
                <w:bCs w:val="false"/>
                <w:color w:val="000000"/>
                <w:sz w:val="17"/>
                <w:szCs w:val="17"/>
              </w:rPr>
              <w:t xml:space="preserve">Migration idempotency/rollback</w:t>
            </w:r>
          </w:p>
        </w:tc>
        <w:tc>
          <w:tcPr>
            <w:tcW w:type="dxa" w:w="1200"/>
            <w:shd w:fill="F2F2F2" w:val="clear"/>
            <w:vAlign w:val="center"/>
          </w:tcPr>
          <w:p>
            <w:r>
              <w:rPr>
                <w:b w:val="false"/>
                <w:bCs w:val="false"/>
                <w:color w:val="000000"/>
                <w:sz w:val="17"/>
                <w:szCs w:val="17"/>
              </w:rPr>
              <w:t xml:space="preserve">L4 (met)</w:t>
            </w:r>
          </w:p>
        </w:tc>
        <w:tc>
          <w:tcPr>
            <w:tcW w:type="dxa" w:w="2650"/>
            <w:shd w:fill="F2F2F2" w:val="clear"/>
            <w:vAlign w:val="center"/>
          </w:tcPr>
          <w:p>
            <w:r>
              <w:rPr>
                <w:b w:val="false"/>
                <w:bCs w:val="false"/>
                <w:color w:val="000000"/>
                <w:sz w:val="17"/>
                <w:szCs w:val="17"/>
              </w:rPr>
              <w:t xml:space="preserve">Conformant, exceeds bar</w:t>
            </w:r>
          </w:p>
        </w:tc>
        <w:tc>
          <w:tcPr>
            <w:tcW w:type="dxa" w:w="2650"/>
            <w:shd w:fill="F2F2F2" w:val="clear"/>
            <w:vAlign w:val="center"/>
          </w:tcPr>
          <w:p>
            <w:r>
              <w:rPr>
                <w:b w:val="false"/>
                <w:bCs w:val="false"/>
                <w:color w:val="000000"/>
                <w:sz w:val="17"/>
                <w:szCs w:val="17"/>
              </w:rPr>
              <w:t xml:space="preserve">None — standing standard</w:t>
            </w:r>
          </w:p>
        </w:tc>
      </w:tr>
    </w:tbl>
    <w:p>
      <w:pPr>
        <w:pStyle w:val="Heading2"/>
        <w:spacing w:after="150" w:before="300"/>
      </w:pPr>
      <w:r>
        <w:t xml:space="preserve">Certification Level Summary</w:t>
      </w:r>
    </w:p>
    <w:p>
      <w:pPr>
        <w:pStyle w:val="ListParagraph"/>
        <w:numPr>
          <w:ilvl w:val="0"/>
          <w:numId w:val="1"/>
        </w:numPr>
        <w:spacing w:after="80"/>
      </w:pPr>
      <w:r>
        <w:t xml:space="preserve">L1 — Architecture Baseline Established: MET (Phase A.3 §11).</w:t>
      </w:r>
    </w:p>
    <w:p>
      <w:pPr>
        <w:pStyle w:val="ListParagraph"/>
        <w:numPr>
          <w:ilvl w:val="0"/>
          <w:numId w:val="1"/>
        </w:numPr>
        <w:spacing w:after="80"/>
      </w:pPr>
      <w:r>
        <w:t xml:space="preserve">L2 — Governance Complete: MET — every AR has a dispositioned EGD, zero open gaps.</w:t>
      </w:r>
    </w:p>
    <w:p>
      <w:pPr>
        <w:pStyle w:val="ListParagraph"/>
        <w:numPr>
          <w:ilvl w:val="0"/>
          <w:numId w:val="1"/>
        </w:numPr>
        <w:spacing w:after="80"/>
      </w:pPr>
      <w:r>
        <w:t xml:space="preserve">L3 — Implementation Traceable: MET — full Traceability Matrix established (Phase A.3 §7).</w:t>
      </w:r>
    </w:p>
    <w:p>
      <w:pPr>
        <w:pStyle w:val="ListParagraph"/>
        <w:numPr>
          <w:ilvl w:val="0"/>
          <w:numId w:val="1"/>
        </w:numPr>
        <w:spacing w:after="80"/>
      </w:pPr>
      <w:r>
        <w:t xml:space="preserve">L4 — Implementation Verified: NOT MET — pending WP-0001 (documentation) and WP-0002 (RLS verification).</w:t>
      </w:r>
    </w:p>
    <w:p>
      <w:pPr>
        <w:pStyle w:val="ListParagraph"/>
        <w:numPr>
          <w:ilvl w:val="0"/>
          <w:numId w:val="1"/>
        </w:numPr>
        <w:spacing w:after="80"/>
      </w:pPr>
      <w:r>
        <w:t xml:space="preserve">L5 — Architecture Certified: NOT MET — pending L4 and a future closed-loop re-assessment (Phase A.2 §9).</w:t>
      </w:r>
    </w:p>
    <w:p>
      <w:pPr>
        <w:spacing w:after="150"/>
      </w:pPr>
      <w:r>
        <w:t xml:space="preserve">Overall conformance readiness: engineering execution of WP-0001–WP-0006 can be verified, measured, and governed entirely within the approved baseline; WP-0006's ownership assignment remains the single precondition for full conformance-governance execution across the other five Work Packages (Section 6 §“Executive Summary”).</w:t>
      </w:r>
    </w:p>
    <w:p>
      <w:pPr>
        <w:pStyle w:val="Heading1"/>
        <w:spacing w:after="200" w:before="400"/>
      </w:pPr>
      <w:r>
        <w:t xml:space="preserve">9. Engineering Verification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50"/>
        <w:gridCol w:w="3000"/>
        <w:gridCol w:w="2200"/>
        <w:gridCol w:w="3400"/>
      </w:tblGrid>
      <w:tr>
        <w:trPr>
          <w:tblHeader/>
        </w:trPr>
        <w:tc>
          <w:tcPr>
            <w:tcW w:type="dxa" w:w="750"/>
            <w:shd w:fill="1F3864" w:val="clear"/>
            <w:vAlign w:val="center"/>
          </w:tcPr>
          <w:p>
            <w:r>
              <w:rPr>
                <w:b/>
                <w:bCs/>
                <w:color w:val="FFFFFF"/>
                <w:sz w:val="17"/>
                <w:szCs w:val="17"/>
              </w:rPr>
              <w:t xml:space="preserve">WP</w:t>
            </w:r>
          </w:p>
        </w:tc>
        <w:tc>
          <w:tcPr>
            <w:tcW w:type="dxa" w:w="3000"/>
            <w:shd w:fill="1F3864" w:val="clear"/>
            <w:vAlign w:val="center"/>
          </w:tcPr>
          <w:p>
            <w:r>
              <w:rPr>
                <w:b/>
                <w:bCs/>
                <w:color w:val="FFFFFF"/>
                <w:sz w:val="17"/>
                <w:szCs w:val="17"/>
              </w:rPr>
              <w:t xml:space="preserve">Verification Method</w:t>
            </w:r>
          </w:p>
        </w:tc>
        <w:tc>
          <w:tcPr>
            <w:tcW w:type="dxa" w:w="2200"/>
            <w:shd w:fill="1F3864" w:val="clear"/>
            <w:vAlign w:val="center"/>
          </w:tcPr>
          <w:p>
            <w:r>
              <w:rPr>
                <w:b/>
                <w:bCs/>
                <w:color w:val="FFFFFF"/>
                <w:sz w:val="17"/>
                <w:szCs w:val="17"/>
              </w:rPr>
              <w:t xml:space="preserve">Readiness</w:t>
            </w:r>
          </w:p>
        </w:tc>
        <w:tc>
          <w:tcPr>
            <w:tcW w:type="dxa" w:w="3400"/>
            <w:shd w:fill="1F3864" w:val="clear"/>
            <w:vAlign w:val="center"/>
          </w:tcPr>
          <w:p>
            <w:r>
              <w:rPr>
                <w:b/>
                <w:bCs/>
                <w:color w:val="FFFFFF"/>
                <w:sz w:val="17"/>
                <w:szCs w:val="17"/>
              </w:rPr>
              <w:t xml:space="preserve">Outstanding Activity</w:t>
            </w:r>
          </w:p>
        </w:tc>
      </w:tr>
      <w:tr>
        <w:tc>
          <w:tcPr>
            <w:tcW w:type="dxa" w:w="750"/>
            <w:vAlign w:val="center"/>
          </w:tcPr>
          <w:p>
            <w:r>
              <w:rPr>
                <w:b w:val="false"/>
                <w:bCs w:val="false"/>
                <w:color w:val="000000"/>
                <w:sz w:val="17"/>
                <w:szCs w:val="17"/>
              </w:rPr>
              <w:t xml:space="preserve">WP-0001</w:t>
            </w:r>
          </w:p>
        </w:tc>
        <w:tc>
          <w:tcPr>
            <w:tcW w:type="dxa" w:w="3000"/>
            <w:vAlign w:val="center"/>
          </w:tcPr>
          <w:p>
            <w:r>
              <w:rPr>
                <w:b w:val="false"/>
                <w:bCs w:val="false"/>
                <w:color w:val="000000"/>
                <w:sz w:val="17"/>
                <w:szCs w:val="17"/>
              </w:rPr>
              <w:t xml:space="preserve">Table-inventory diff (manual)</w:t>
            </w:r>
          </w:p>
        </w:tc>
        <w:tc>
          <w:tcPr>
            <w:tcW w:type="dxa" w:w="2200"/>
            <w:vAlign w:val="center"/>
          </w:tcPr>
          <w:p>
            <w:r>
              <w:rPr>
                <w:b w:val="false"/>
                <w:bCs w:val="false"/>
                <w:color w:val="000000"/>
                <w:sz w:val="17"/>
                <w:szCs w:val="17"/>
              </w:rPr>
              <w:t xml:space="preserve">Ready to execute (Wave 2)</w:t>
            </w:r>
          </w:p>
        </w:tc>
        <w:tc>
          <w:tcPr>
            <w:tcW w:type="dxa" w:w="3400"/>
            <w:vAlign w:val="center"/>
          </w:tcPr>
          <w:p>
            <w:r>
              <w:rPr>
                <w:b w:val="false"/>
                <w:bCs w:val="false"/>
                <w:color w:val="000000"/>
                <w:sz w:val="17"/>
                <w:szCs w:val="17"/>
              </w:rPr>
              <w:t xml:space="preserve">Method fully specified; not yet executed</w:t>
            </w:r>
          </w:p>
        </w:tc>
      </w:tr>
      <w:tr>
        <w:tc>
          <w:tcPr>
            <w:tcW w:type="dxa" w:w="750"/>
            <w:shd w:fill="F2F2F2" w:val="clear"/>
            <w:vAlign w:val="center"/>
          </w:tcPr>
          <w:p>
            <w:r>
              <w:rPr>
                <w:b w:val="false"/>
                <w:bCs w:val="false"/>
                <w:color w:val="000000"/>
                <w:sz w:val="17"/>
                <w:szCs w:val="17"/>
              </w:rPr>
              <w:t xml:space="preserve">WP-0002</w:t>
            </w:r>
          </w:p>
        </w:tc>
        <w:tc>
          <w:tcPr>
            <w:tcW w:type="dxa" w:w="3000"/>
            <w:shd w:fill="F2F2F2" w:val="clear"/>
            <w:vAlign w:val="center"/>
          </w:tcPr>
          <w:p>
            <w:r>
              <w:rPr>
                <w:b w:val="false"/>
                <w:bCs w:val="false"/>
                <w:color w:val="000000"/>
                <w:sz w:val="17"/>
                <w:szCs w:val="17"/>
              </w:rPr>
              <w:t xml:space="preserve">Query-based verification (repeatable template)</w:t>
            </w:r>
          </w:p>
        </w:tc>
        <w:tc>
          <w:tcPr>
            <w:tcW w:type="dxa" w:w="2200"/>
            <w:shd w:fill="F2F2F2" w:val="clear"/>
            <w:vAlign w:val="center"/>
          </w:tcPr>
          <w:p>
            <w:r>
              <w:rPr>
                <w:b w:val="false"/>
                <w:bCs w:val="false"/>
                <w:color w:val="000000"/>
                <w:sz w:val="17"/>
                <w:szCs w:val="17"/>
              </w:rPr>
              <w:t xml:space="preserve">Ready to execute (Wave 1)</w:t>
            </w:r>
          </w:p>
        </w:tc>
        <w:tc>
          <w:tcPr>
            <w:tcW w:type="dxa" w:w="3400"/>
            <w:shd w:fill="F2F2F2" w:val="clear"/>
            <w:vAlign w:val="center"/>
          </w:tcPr>
          <w:p>
            <w:r>
              <w:rPr>
                <w:b w:val="false"/>
                <w:bCs w:val="false"/>
                <w:color w:val="000000"/>
                <w:sz w:val="17"/>
                <w:szCs w:val="17"/>
              </w:rPr>
              <w:t xml:space="preserve">Method fully specified; not yet executed — highest verification readiness in the catalog</w:t>
            </w:r>
          </w:p>
        </w:tc>
      </w:tr>
      <w:tr>
        <w:tc>
          <w:tcPr>
            <w:tcW w:type="dxa" w:w="750"/>
            <w:vAlign w:val="center"/>
          </w:tcPr>
          <w:p>
            <w:r>
              <w:rPr>
                <w:b w:val="false"/>
                <w:bCs w:val="false"/>
                <w:color w:val="000000"/>
                <w:sz w:val="17"/>
                <w:szCs w:val="17"/>
              </w:rPr>
              <w:t xml:space="preserve">WP-0003</w:t>
            </w:r>
          </w:p>
        </w:tc>
        <w:tc>
          <w:tcPr>
            <w:tcW w:type="dxa" w:w="3000"/>
            <w:vAlign w:val="center"/>
          </w:tcPr>
          <w:p>
            <w:r>
              <w:rPr>
                <w:b w:val="false"/>
                <w:bCs w:val="false"/>
                <w:color w:val="000000"/>
                <w:sz w:val="17"/>
                <w:szCs w:val="17"/>
              </w:rPr>
              <w:t xml:space="preserve">Quarterly check (dormant); migration + rollback if triggered</w:t>
            </w:r>
          </w:p>
        </w:tc>
        <w:tc>
          <w:tcPr>
            <w:tcW w:type="dxa" w:w="2200"/>
            <w:vAlign w:val="center"/>
          </w:tcPr>
          <w:p>
            <w:r>
              <w:rPr>
                <w:b w:val="false"/>
                <w:bCs w:val="false"/>
                <w:color w:val="000000"/>
                <w:sz w:val="17"/>
                <w:szCs w:val="17"/>
              </w:rPr>
              <w:t xml:space="preserve">Monitoring-ready (Wave 3)</w:t>
            </w:r>
          </w:p>
        </w:tc>
        <w:tc>
          <w:tcPr>
            <w:tcW w:type="dxa" w:w="3400"/>
            <w:vAlign w:val="center"/>
          </w:tcPr>
          <w:p>
            <w:r>
              <w:rPr>
                <w:b w:val="false"/>
                <w:bCs w:val="false"/>
                <w:color w:val="000000"/>
                <w:sz w:val="17"/>
                <w:szCs w:val="17"/>
              </w:rPr>
              <w:t xml:space="preserve">Dormant by design (AP-008) — not yet due</w:t>
            </w:r>
          </w:p>
        </w:tc>
      </w:tr>
      <w:tr>
        <w:tc>
          <w:tcPr>
            <w:tcW w:type="dxa" w:w="750"/>
            <w:shd w:fill="F2F2F2" w:val="clear"/>
            <w:vAlign w:val="center"/>
          </w:tcPr>
          <w:p>
            <w:r>
              <w:rPr>
                <w:b w:val="false"/>
                <w:bCs w:val="false"/>
                <w:color w:val="000000"/>
                <w:sz w:val="17"/>
                <w:szCs w:val="17"/>
              </w:rPr>
              <w:t xml:space="preserve">WP-0004</w:t>
            </w:r>
          </w:p>
        </w:tc>
        <w:tc>
          <w:tcPr>
            <w:tcW w:type="dxa" w:w="3000"/>
            <w:shd w:fill="F2F2F2" w:val="clear"/>
            <w:vAlign w:val="center"/>
          </w:tcPr>
          <w:p>
            <w:r>
              <w:rPr>
                <w:b w:val="false"/>
                <w:bCs w:val="false"/>
                <w:color w:val="000000"/>
                <w:sz w:val="17"/>
                <w:szCs w:val="17"/>
              </w:rPr>
              <w:t xml:space="preserve">Per-release automated check</w:t>
            </w:r>
          </w:p>
        </w:tc>
        <w:tc>
          <w:tcPr>
            <w:tcW w:type="dxa" w:w="2200"/>
            <w:shd w:fill="F2F2F2" w:val="clear"/>
            <w:vAlign w:val="center"/>
          </w:tcPr>
          <w:p>
            <w:r>
              <w:rPr>
                <w:b w:val="false"/>
                <w:bCs w:val="false"/>
                <w:color w:val="000000"/>
                <w:sz w:val="17"/>
                <w:szCs w:val="17"/>
              </w:rPr>
              <w:t xml:space="preserve">Ready to execute (Wave 2)</w:t>
            </w:r>
          </w:p>
        </w:tc>
        <w:tc>
          <w:tcPr>
            <w:tcW w:type="dxa" w:w="3400"/>
            <w:shd w:fill="F2F2F2" w:val="clear"/>
            <w:vAlign w:val="center"/>
          </w:tcPr>
          <w:p>
            <w:r>
              <w:rPr>
                <w:b w:val="false"/>
                <w:bCs w:val="false"/>
                <w:color w:val="000000"/>
                <w:sz w:val="17"/>
                <w:szCs w:val="17"/>
              </w:rPr>
              <w:t xml:space="preserve">Method fully specified; not yet executed</w:t>
            </w:r>
          </w:p>
        </w:tc>
      </w:tr>
      <w:tr>
        <w:tc>
          <w:tcPr>
            <w:tcW w:type="dxa" w:w="750"/>
            <w:vAlign w:val="center"/>
          </w:tcPr>
          <w:p>
            <w:r>
              <w:rPr>
                <w:b w:val="false"/>
                <w:bCs w:val="false"/>
                <w:color w:val="000000"/>
                <w:sz w:val="17"/>
                <w:szCs w:val="17"/>
              </w:rPr>
              <w:t xml:space="preserve">WP-0005</w:t>
            </w:r>
          </w:p>
        </w:tc>
        <w:tc>
          <w:tcPr>
            <w:tcW w:type="dxa" w:w="3000"/>
            <w:vAlign w:val="center"/>
          </w:tcPr>
          <w:p>
            <w:r>
              <w:rPr>
                <w:b w:val="false"/>
                <w:bCs w:val="false"/>
                <w:color w:val="000000"/>
                <w:sz w:val="17"/>
                <w:szCs w:val="17"/>
              </w:rPr>
              <w:t xml:space="preserve">Manual review, WP-0002 template</w:t>
            </w:r>
          </w:p>
        </w:tc>
        <w:tc>
          <w:tcPr>
            <w:tcW w:type="dxa" w:w="2200"/>
            <w:vAlign w:val="center"/>
          </w:tcPr>
          <w:p>
            <w:r>
              <w:rPr>
                <w:b w:val="false"/>
                <w:bCs w:val="false"/>
                <w:color w:val="000000"/>
                <w:sz w:val="17"/>
                <w:szCs w:val="17"/>
              </w:rPr>
              <w:t xml:space="preserve">Ready to execute (Wave 2)</w:t>
            </w:r>
          </w:p>
        </w:tc>
        <w:tc>
          <w:tcPr>
            <w:tcW w:type="dxa" w:w="3400"/>
            <w:vAlign w:val="center"/>
          </w:tcPr>
          <w:p>
            <w:r>
              <w:rPr>
                <w:b w:val="false"/>
                <w:bCs w:val="false"/>
                <w:color w:val="000000"/>
                <w:sz w:val="17"/>
                <w:szCs w:val="17"/>
              </w:rPr>
              <w:t xml:space="preserve">Method fully specified; reuses WP-0002 template</w:t>
            </w:r>
          </w:p>
        </w:tc>
      </w:tr>
      <w:tr>
        <w:tc>
          <w:tcPr>
            <w:tcW w:type="dxa" w:w="750"/>
            <w:shd w:fill="F2F2F2" w:val="clear"/>
            <w:vAlign w:val="center"/>
          </w:tcPr>
          <w:p>
            <w:r>
              <w:rPr>
                <w:b w:val="false"/>
                <w:bCs w:val="false"/>
                <w:color w:val="000000"/>
                <w:sz w:val="17"/>
                <w:szCs w:val="17"/>
              </w:rPr>
              <w:t xml:space="preserve">WP-0006</w:t>
            </w:r>
          </w:p>
        </w:tc>
        <w:tc>
          <w:tcPr>
            <w:tcW w:type="dxa" w:w="3000"/>
            <w:shd w:fill="F2F2F2" w:val="clear"/>
            <w:vAlign w:val="center"/>
          </w:tcPr>
          <w:p>
            <w:r>
              <w:rPr>
                <w:b w:val="false"/>
                <w:bCs w:val="false"/>
                <w:color w:val="000000"/>
                <w:sz w:val="17"/>
                <w:szCs w:val="17"/>
              </w:rPr>
              <w:t xml:space="preserve">Direct KPI-08 measurement</w:t>
            </w:r>
          </w:p>
        </w:tc>
        <w:tc>
          <w:tcPr>
            <w:tcW w:type="dxa" w:w="2200"/>
            <w:shd w:fill="F2F2F2" w:val="clear"/>
            <w:vAlign w:val="center"/>
          </w:tcPr>
          <w:p>
            <w:r>
              <w:rPr>
                <w:b w:val="false"/>
                <w:bCs w:val="false"/>
                <w:color w:val="000000"/>
                <w:sz w:val="17"/>
                <w:szCs w:val="17"/>
              </w:rPr>
              <w:t xml:space="preserve">Ready to execute (Wave 1)</w:t>
            </w:r>
          </w:p>
        </w:tc>
        <w:tc>
          <w:tcPr>
            <w:tcW w:type="dxa" w:w="3400"/>
            <w:shd w:fill="F2F2F2" w:val="clear"/>
            <w:vAlign w:val="center"/>
          </w:tcPr>
          <w:p>
            <w:r>
              <w:rPr>
                <w:b w:val="false"/>
                <w:bCs w:val="false"/>
                <w:color w:val="000000"/>
                <w:sz w:val="17"/>
                <w:szCs w:val="17"/>
              </w:rPr>
              <w:t xml:space="preserve">Method fully specified; not yet executed</w:t>
            </w:r>
          </w:p>
        </w:tc>
      </w:tr>
    </w:tbl>
    <w:p>
      <w:pPr>
        <w:pStyle w:val="Heading2"/>
        <w:spacing w:after="150" w:before="300"/>
      </w:pPr>
      <w:r>
        <w:t xml:space="preserve">Verification Maturity</w:t>
      </w:r>
    </w:p>
    <w:p>
      <w:pPr>
        <w:spacing w:after="150"/>
      </w:pPr>
      <w:r>
        <w:t xml:space="preserve">Repository verification readiness is exact — scoped only to Documentation, Database, and Test repositories, with no verification claim for Backend, Frontend, Integration, AI, or Infrastructure. Governance verification readiness is not yet met (KPI-08 = 0%). Overall verification readiness is startable, not yet fully executable, for the same reason identified across Sections 1, 5, 6, and 7: WP-0006's ownership assignment gates full execution of every other Work Package's approval step (Section 7 §“Overall verification readiness”).</w:t>
      </w:r>
    </w:p>
    <w:p>
      <w:pPr>
        <w:pStyle w:val="Heading1"/>
        <w:spacing w:after="200" w:before="400"/>
      </w:pPr>
      <w:r>
        <w:t xml:space="preserve">10. Enterprise Risk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1500"/>
        <w:gridCol w:w="2400"/>
        <w:gridCol w:w="1250"/>
      </w:tblGrid>
      <w:tr>
        <w:trPr>
          <w:tblHeader/>
        </w:trPr>
        <w:tc>
          <w:tcPr>
            <w:tcW w:type="dxa" w:w="1300"/>
            <w:shd w:fill="1F3864" w:val="clear"/>
            <w:vAlign w:val="center"/>
          </w:tcPr>
          <w:p>
            <w:r>
              <w:rPr>
                <w:b/>
                <w:bCs/>
                <w:color w:val="FFFFFF"/>
                <w:sz w:val="17"/>
                <w:szCs w:val="17"/>
              </w:rPr>
              <w:t xml:space="preserve">Rating</w:t>
            </w:r>
          </w:p>
        </w:tc>
        <w:tc>
          <w:tcPr>
            <w:tcW w:type="dxa" w:w="2900"/>
            <w:shd w:fill="1F3864" w:val="clear"/>
            <w:vAlign w:val="center"/>
          </w:tcPr>
          <w:p>
            <w:r>
              <w:rPr>
                <w:b/>
                <w:bCs/>
                <w:color w:val="FFFFFF"/>
                <w:sz w:val="17"/>
                <w:szCs w:val="17"/>
              </w:rPr>
              <w:t xml:space="preserve">Risk</w:t>
            </w:r>
          </w:p>
        </w:tc>
        <w:tc>
          <w:tcPr>
            <w:tcW w:type="dxa" w:w="1500"/>
            <w:shd w:fill="1F3864" w:val="clear"/>
            <w:vAlign w:val="center"/>
          </w:tcPr>
          <w:p>
            <w:r>
              <w:rPr>
                <w:b/>
                <w:bCs/>
                <w:color w:val="FFFFFF"/>
                <w:sz w:val="17"/>
                <w:szCs w:val="17"/>
              </w:rPr>
              <w:t xml:space="preserve">Category</w:t>
            </w:r>
          </w:p>
        </w:tc>
        <w:tc>
          <w:tcPr>
            <w:tcW w:type="dxa" w:w="2400"/>
            <w:shd w:fill="1F3864" w:val="clear"/>
            <w:vAlign w:val="center"/>
          </w:tcPr>
          <w:p>
            <w:r>
              <w:rPr>
                <w:b/>
                <w:bCs/>
                <w:color w:val="FFFFFF"/>
                <w:sz w:val="17"/>
                <w:szCs w:val="17"/>
              </w:rPr>
              <w:t xml:space="preserve">Mitigation / Next Action</w:t>
            </w:r>
          </w:p>
        </w:tc>
        <w:tc>
          <w:tcPr>
            <w:tcW w:type="dxa" w:w="1250"/>
            <w:shd w:fill="1F3864" w:val="clear"/>
            <w:vAlign w:val="center"/>
          </w:tcPr>
          <w:p>
            <w:r>
              <w:rPr>
                <w:b/>
                <w:bCs/>
                <w:color w:val="FFFFFF"/>
                <w:sz w:val="17"/>
                <w:szCs w:val="17"/>
              </w:rPr>
              <w:t xml:space="preserve">Owner</w:t>
            </w:r>
          </w:p>
        </w:tc>
      </w:tr>
      <w:tr>
        <w:tc>
          <w:tcPr>
            <w:tcW w:type="dxa" w:w="1300"/>
            <w:vAlign w:val="center"/>
          </w:tcPr>
          <w:p>
            <w:r>
              <w:rPr>
                <w:b w:val="false"/>
                <w:bCs w:val="false"/>
                <w:color w:val="000000"/>
                <w:sz w:val="17"/>
                <w:szCs w:val="17"/>
              </w:rPr>
              <w:t xml:space="preserve">Critical</w:t>
            </w:r>
          </w:p>
        </w:tc>
        <w:tc>
          <w:tcPr>
            <w:tcW w:type="dxa" w:w="2900"/>
            <w:vAlign w:val="center"/>
          </w:tcPr>
          <w:p>
            <w:r>
              <w:rPr>
                <w:b w:val="false"/>
                <w:bCs w:val="false"/>
                <w:color w:val="000000"/>
                <w:sz w:val="17"/>
                <w:szCs w:val="17"/>
              </w:rPr>
              <w:t xml:space="preserve">No accountable owner for any governance decision</w:t>
            </w:r>
          </w:p>
        </w:tc>
        <w:tc>
          <w:tcPr>
            <w:tcW w:type="dxa" w:w="1500"/>
            <w:vAlign w:val="center"/>
          </w:tcPr>
          <w:p>
            <w:r>
              <w:rPr>
                <w:b w:val="false"/>
                <w:bCs w:val="false"/>
                <w:color w:val="000000"/>
                <w:sz w:val="17"/>
                <w:szCs w:val="17"/>
              </w:rPr>
              <w:t xml:space="preserve">Governance / Delivery</w:t>
            </w:r>
          </w:p>
        </w:tc>
        <w:tc>
          <w:tcPr>
            <w:tcW w:type="dxa" w:w="2400"/>
            <w:vAlign w:val="center"/>
          </w:tcPr>
          <w:p>
            <w:r>
              <w:rPr>
                <w:b w:val="false"/>
                <w:bCs w:val="false"/>
                <w:color w:val="000000"/>
                <w:sz w:val="17"/>
                <w:szCs w:val="17"/>
              </w:rPr>
              <w:t xml:space="preserve">WP-0006 — assign named owners immediately</w:t>
            </w:r>
          </w:p>
        </w:tc>
        <w:tc>
          <w:tcPr>
            <w:tcW w:type="dxa" w:w="1250"/>
            <w:vAlign w:val="center"/>
          </w:tcPr>
          <w:p>
            <w:r>
              <w:rPr>
                <w:b w:val="false"/>
                <w:bCs w:val="false"/>
                <w:color w:val="000000"/>
                <w:sz w:val="17"/>
                <w:szCs w:val="17"/>
              </w:rPr>
              <w:t xml:space="preserve">Executive Sponsor</w:t>
            </w:r>
          </w:p>
        </w:tc>
      </w:tr>
      <w:tr>
        <w:tc>
          <w:tcPr>
            <w:tcW w:type="dxa" w:w="1300"/>
            <w:shd w:fill="F2F2F2" w:val="clear"/>
            <w:vAlign w:val="center"/>
          </w:tcPr>
          <w:p>
            <w:r>
              <w:rPr>
                <w:b w:val="false"/>
                <w:bCs w:val="false"/>
                <w:color w:val="000000"/>
                <w:sz w:val="17"/>
                <w:szCs w:val="17"/>
              </w:rPr>
              <w:t xml:space="preserve">High</w:t>
            </w:r>
          </w:p>
        </w:tc>
        <w:tc>
          <w:tcPr>
            <w:tcW w:type="dxa" w:w="2900"/>
            <w:shd w:fill="F2F2F2" w:val="clear"/>
            <w:vAlign w:val="center"/>
          </w:tcPr>
          <w:p>
            <w:r>
              <w:rPr>
                <w:b w:val="false"/>
                <w:bCs w:val="false"/>
                <w:color w:val="000000"/>
                <w:sz w:val="17"/>
                <w:szCs w:val="17"/>
              </w:rPr>
              <w:t xml:space="preserve">Documentation describes a schema never built</w:t>
            </w:r>
          </w:p>
        </w:tc>
        <w:tc>
          <w:tcPr>
            <w:tcW w:type="dxa" w:w="1500"/>
            <w:shd w:fill="F2F2F2" w:val="clear"/>
            <w:vAlign w:val="center"/>
          </w:tcPr>
          <w:p>
            <w:r>
              <w:rPr>
                <w:b w:val="false"/>
                <w:bCs w:val="false"/>
                <w:color w:val="000000"/>
                <w:sz w:val="17"/>
                <w:szCs w:val="17"/>
              </w:rPr>
              <w:t xml:space="preserve">Delivery / Governance</w:t>
            </w:r>
          </w:p>
        </w:tc>
        <w:tc>
          <w:tcPr>
            <w:tcW w:type="dxa" w:w="2400"/>
            <w:shd w:fill="F2F2F2" w:val="clear"/>
            <w:vAlign w:val="center"/>
          </w:tcPr>
          <w:p>
            <w:r>
              <w:rPr>
                <w:b w:val="false"/>
                <w:bCs w:val="false"/>
                <w:color w:val="000000"/>
                <w:sz w:val="17"/>
                <w:szCs w:val="17"/>
              </w:rPr>
              <w:t xml:space="preserve">WP-0001 — publish revised Phase A document</w:t>
            </w:r>
          </w:p>
        </w:tc>
        <w:tc>
          <w:tcPr>
            <w:tcW w:type="dxa" w:w="1250"/>
            <w:shd w:fill="F2F2F2" w:val="clear"/>
            <w:vAlign w:val="center"/>
          </w:tcPr>
          <w:p>
            <w:r>
              <w:rPr>
                <w:b w:val="false"/>
                <w:bCs w:val="false"/>
                <w:color w:val="000000"/>
                <w:sz w:val="17"/>
                <w:szCs w:val="17"/>
              </w:rPr>
              <w:t xml:space="preserve">Enterprise Architecture Owner</w:t>
            </w:r>
          </w:p>
        </w:tc>
      </w:tr>
      <w:tr>
        <w:tc>
          <w:tcPr>
            <w:tcW w:type="dxa" w:w="1300"/>
            <w:vAlign w:val="center"/>
          </w:tcPr>
          <w:p>
            <w:r>
              <w:rPr>
                <w:b w:val="false"/>
                <w:bCs w:val="false"/>
                <w:color w:val="000000"/>
                <w:sz w:val="17"/>
                <w:szCs w:val="17"/>
              </w:rPr>
              <w:t xml:space="preserve">High if confirmed</w:t>
            </w:r>
          </w:p>
        </w:tc>
        <w:tc>
          <w:tcPr>
            <w:tcW w:type="dxa" w:w="2900"/>
            <w:vAlign w:val="center"/>
          </w:tcPr>
          <w:p>
            <w:r>
              <w:rPr>
                <w:b w:val="false"/>
                <w:bCs w:val="false"/>
                <w:color w:val="000000"/>
                <w:sz w:val="17"/>
                <w:szCs w:val="17"/>
              </w:rPr>
              <w:t xml:space="preserve">RLS may be missing on activity/cognitive/signal tables</w:t>
            </w:r>
          </w:p>
        </w:tc>
        <w:tc>
          <w:tcPr>
            <w:tcW w:type="dxa" w:w="1500"/>
            <w:vAlign w:val="center"/>
          </w:tcPr>
          <w:p>
            <w:r>
              <w:rPr>
                <w:b w:val="false"/>
                <w:bCs w:val="false"/>
                <w:color w:val="000000"/>
                <w:sz w:val="17"/>
                <w:szCs w:val="17"/>
              </w:rPr>
              <w:t xml:space="preserve">Security</w:t>
            </w:r>
          </w:p>
        </w:tc>
        <w:tc>
          <w:tcPr>
            <w:tcW w:type="dxa" w:w="2400"/>
            <w:vAlign w:val="center"/>
          </w:tcPr>
          <w:p>
            <w:r>
              <w:rPr>
                <w:b w:val="false"/>
                <w:bCs w:val="false"/>
                <w:color w:val="000000"/>
                <w:sz w:val="17"/>
                <w:szCs w:val="17"/>
              </w:rPr>
              <w:t xml:space="preserve">WP-0002 — immediate verification</w:t>
            </w:r>
          </w:p>
        </w:tc>
        <w:tc>
          <w:tcPr>
            <w:tcW w:type="dxa" w:w="1250"/>
            <w:vAlign w:val="center"/>
          </w:tcPr>
          <w:p>
            <w:r>
              <w:rPr>
                <w:b w:val="false"/>
                <w:bCs w:val="false"/>
                <w:color w:val="000000"/>
                <w:sz w:val="17"/>
                <w:szCs w:val="17"/>
              </w:rPr>
              <w:t xml:space="preserve">Security/Platform Engineer</w:t>
            </w:r>
          </w:p>
        </w:tc>
      </w:tr>
      <w:tr>
        <w:tc>
          <w:tcPr>
            <w:tcW w:type="dxa" w:w="1300"/>
            <w:shd w:fill="F2F2F2" w:val="clear"/>
            <w:vAlign w:val="center"/>
          </w:tcPr>
          <w:p>
            <w:r>
              <w:rPr>
                <w:b w:val="false"/>
                <w:bCs w:val="false"/>
                <w:color w:val="000000"/>
                <w:sz w:val="17"/>
                <w:szCs w:val="17"/>
              </w:rPr>
              <w:t xml:space="preserve">Medium, growing</w:t>
            </w:r>
          </w:p>
        </w:tc>
        <w:tc>
          <w:tcPr>
            <w:tcW w:type="dxa" w:w="2900"/>
            <w:shd w:fill="F2F2F2" w:val="clear"/>
            <w:vAlign w:val="center"/>
          </w:tcPr>
          <w:p>
            <w:r>
              <w:rPr>
                <w:b w:val="false"/>
                <w:bCs w:val="false"/>
                <w:color w:val="000000"/>
                <w:sz w:val="17"/>
                <w:szCs w:val="17"/>
              </w:rPr>
              <w:t xml:space="preserve">Unpartitioned tables degrade under continued growth</w:t>
            </w:r>
          </w:p>
        </w:tc>
        <w:tc>
          <w:tcPr>
            <w:tcW w:type="dxa" w:w="1500"/>
            <w:shd w:fill="F2F2F2" w:val="clear"/>
            <w:vAlign w:val="center"/>
          </w:tcPr>
          <w:p>
            <w:r>
              <w:rPr>
                <w:b w:val="false"/>
                <w:bCs w:val="false"/>
                <w:color w:val="000000"/>
                <w:sz w:val="17"/>
                <w:szCs w:val="17"/>
              </w:rPr>
              <w:t xml:space="preserve">Technical / Performance</w:t>
            </w:r>
          </w:p>
        </w:tc>
        <w:tc>
          <w:tcPr>
            <w:tcW w:type="dxa" w:w="2400"/>
            <w:shd w:fill="F2F2F2" w:val="clear"/>
            <w:vAlign w:val="center"/>
          </w:tcPr>
          <w:p>
            <w:r>
              <w:rPr>
                <w:b w:val="false"/>
                <w:bCs w:val="false"/>
                <w:color w:val="000000"/>
                <w:sz w:val="17"/>
                <w:szCs w:val="17"/>
              </w:rPr>
              <w:t xml:space="preserve">Quarterly monitoring against EGD-0004's trigger</w:t>
            </w:r>
          </w:p>
        </w:tc>
        <w:tc>
          <w:tcPr>
            <w:tcW w:type="dxa" w:w="1250"/>
            <w:shd w:fill="F2F2F2" w:val="clear"/>
            <w:vAlign w:val="center"/>
          </w:tcPr>
          <w:p>
            <w:r>
              <w:rPr>
                <w:b w:val="false"/>
                <w:bCs w:val="false"/>
                <w:color w:val="000000"/>
                <w:sz w:val="17"/>
                <w:szCs w:val="17"/>
              </w:rPr>
              <w:t xml:space="preserve">Platform Engineering Lead</w:t>
            </w:r>
          </w:p>
        </w:tc>
      </w:tr>
      <w:tr>
        <w:tc>
          <w:tcPr>
            <w:tcW w:type="dxa" w:w="1300"/>
            <w:vAlign w:val="center"/>
          </w:tcPr>
          <w:p>
            <w:r>
              <w:rPr>
                <w:b w:val="false"/>
                <w:bCs w:val="false"/>
                <w:color w:val="000000"/>
                <w:sz w:val="17"/>
                <w:szCs w:val="17"/>
              </w:rPr>
              <w:t xml:space="preserve">Medium, latent</w:t>
            </w:r>
          </w:p>
        </w:tc>
        <w:tc>
          <w:tcPr>
            <w:tcW w:type="dxa" w:w="2900"/>
            <w:vAlign w:val="center"/>
          </w:tcPr>
          <w:p>
            <w:r>
              <w:rPr>
                <w:b w:val="false"/>
                <w:bCs w:val="false"/>
                <w:color w:val="000000"/>
                <w:sz w:val="17"/>
                <w:szCs w:val="17"/>
              </w:rPr>
              <w:t xml:space="preserve">Taxonomy facts could later be denormalized onto student-owned rows</w:t>
            </w:r>
          </w:p>
        </w:tc>
        <w:tc>
          <w:tcPr>
            <w:tcW w:type="dxa" w:w="1500"/>
            <w:vAlign w:val="center"/>
          </w:tcPr>
          <w:p>
            <w:r>
              <w:rPr>
                <w:b w:val="false"/>
                <w:bCs w:val="false"/>
                <w:color w:val="000000"/>
                <w:sz w:val="17"/>
                <w:szCs w:val="17"/>
              </w:rPr>
              <w:t xml:space="preserve">Data Governance</w:t>
            </w:r>
          </w:p>
        </w:tc>
        <w:tc>
          <w:tcPr>
            <w:tcW w:type="dxa" w:w="2400"/>
            <w:vAlign w:val="center"/>
          </w:tcPr>
          <w:p>
            <w:r>
              <w:rPr>
                <w:b w:val="false"/>
                <w:bCs w:val="false"/>
                <w:color w:val="000000"/>
                <w:sz w:val="17"/>
                <w:szCs w:val="17"/>
              </w:rPr>
              <w:t xml:space="preserve">WP-0004 — per-release automated check</w:t>
            </w:r>
          </w:p>
        </w:tc>
        <w:tc>
          <w:tcPr>
            <w:tcW w:type="dxa" w:w="1250"/>
            <w:vAlign w:val="center"/>
          </w:tcPr>
          <w:p>
            <w:r>
              <w:rPr>
                <w:b w:val="false"/>
                <w:bCs w:val="false"/>
                <w:color w:val="000000"/>
                <w:sz w:val="17"/>
                <w:szCs w:val="17"/>
              </w:rPr>
              <w:t xml:space="preserve">Data Governance Owner</w:t>
            </w:r>
          </w:p>
        </w:tc>
      </w:tr>
      <w:tr>
        <w:tc>
          <w:tcPr>
            <w:tcW w:type="dxa" w:w="1300"/>
            <w:shd w:fill="F2F2F2" w:val="clear"/>
            <w:vAlign w:val="center"/>
          </w:tcPr>
          <w:p>
            <w:r>
              <w:rPr>
                <w:b w:val="false"/>
                <w:bCs w:val="false"/>
                <w:color w:val="000000"/>
                <w:sz w:val="17"/>
                <w:szCs w:val="17"/>
              </w:rPr>
              <w:t xml:space="preserve">High if triggered late</w:t>
            </w:r>
          </w:p>
        </w:tc>
        <w:tc>
          <w:tcPr>
            <w:tcW w:type="dxa" w:w="2900"/>
            <w:shd w:fill="F2F2F2" w:val="clear"/>
            <w:vAlign w:val="center"/>
          </w:tcPr>
          <w:p>
            <w:r>
              <w:rPr>
                <w:b w:val="false"/>
                <w:bCs w:val="false"/>
                <w:color w:val="000000"/>
                <w:sz w:val="17"/>
                <w:szCs w:val="17"/>
              </w:rPr>
              <w:t xml:space="preserve">Supersession/versioning retrofit becomes non-recoverable if deferred past a compliance trigger</w:t>
            </w:r>
          </w:p>
        </w:tc>
        <w:tc>
          <w:tcPr>
            <w:tcW w:type="dxa" w:w="1500"/>
            <w:shd w:fill="F2F2F2" w:val="clear"/>
            <w:vAlign w:val="center"/>
          </w:tcPr>
          <w:p>
            <w:r>
              <w:rPr>
                <w:b w:val="false"/>
                <w:bCs w:val="false"/>
                <w:color w:val="000000"/>
                <w:sz w:val="17"/>
                <w:szCs w:val="17"/>
              </w:rPr>
              <w:t xml:space="preserve">Compliance</w:t>
            </w:r>
          </w:p>
        </w:tc>
        <w:tc>
          <w:tcPr>
            <w:tcW w:type="dxa" w:w="2400"/>
            <w:shd w:fill="F2F2F2" w:val="clear"/>
            <w:vAlign w:val="center"/>
          </w:tcPr>
          <w:p>
            <w:r>
              <w:rPr>
                <w:b w:val="false"/>
                <w:bCs w:val="false"/>
                <w:color w:val="000000"/>
                <w:sz w:val="17"/>
                <w:szCs w:val="17"/>
              </w:rPr>
              <w:t xml:space="preserve">Explicit executive awareness; monitor for compliance-scope changes</w:t>
            </w:r>
          </w:p>
        </w:tc>
        <w:tc>
          <w:tcPr>
            <w:tcW w:type="dxa" w:w="1250"/>
            <w:shd w:fill="F2F2F2" w:val="clear"/>
            <w:vAlign w:val="center"/>
          </w:tcPr>
          <w:p>
            <w:r>
              <w:rPr>
                <w:b w:val="false"/>
                <w:bCs w:val="false"/>
                <w:color w:val="000000"/>
                <w:sz w:val="17"/>
                <w:szCs w:val="17"/>
              </w:rPr>
              <w:t xml:space="preserve">Data Governance Owner</w:t>
            </w:r>
          </w:p>
        </w:tc>
      </w:tr>
    </w:tbl>
    <w:p>
      <w:pPr>
        <w:pStyle w:val="Heading2"/>
        <w:spacing w:after="150" w:before="300"/>
      </w:pPr>
      <w:r>
        <w:t xml:space="preserve">Risk Readiness and Mitigation Status</w:t>
      </w:r>
    </w:p>
    <w:p>
      <w:pPr>
        <w:spacing w:after="150"/>
      </w:pPr>
      <w:r>
        <w:t xml:space="preserve">Every risk above already carries an assigned mitigation Work Package or a defined monitoring cadence — no risk in this baseline is unmitigated or unowned in principle, though every owner field remains unassigned in practice pending WP-0006 (KPI-08 = 0%).</w:t>
      </w:r>
    </w:p>
    <w:p>
      <w:pPr>
        <w:pStyle w:val="Heading2"/>
        <w:spacing w:after="150" w:before="300"/>
      </w:pPr>
      <w:r>
        <w:t xml:space="preserve">Overall Risk Posture</w:t>
      </w:r>
    </w:p>
    <w:p>
      <w:pPr>
        <w:spacing w:after="150"/>
      </w:pPr>
      <w:r>
        <w:t xml:space="preserve">READY WITH CONDITIONS — Wave 1 (WP-0002, WP-0006) may begin immediately; both are fully specified and directly address this baseline's two highest-rated risks. The single condition is Resource Readiness: 0% ownership assigned (Section 8 §“Overall realization risk posture”).</w:t>
      </w:r>
    </w:p>
    <w:p>
      <w:pPr>
        <w:pStyle w:val="Heading1"/>
        <w:spacing w:after="200" w:before="400"/>
      </w:pPr>
      <w:r>
        <w:t xml:space="preserve">11. Engineering Acceptance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50"/>
        <w:gridCol w:w="1550"/>
        <w:gridCol w:w="2000"/>
        <w:gridCol w:w="3200"/>
        <w:gridCol w:w="1850"/>
      </w:tblGrid>
      <w:tr>
        <w:trPr>
          <w:tblHeader/>
        </w:trPr>
        <w:tc>
          <w:tcPr>
            <w:tcW w:type="dxa" w:w="750"/>
            <w:shd w:fill="1F3864" w:val="clear"/>
            <w:vAlign w:val="center"/>
          </w:tcPr>
          <w:p>
            <w:r>
              <w:rPr>
                <w:b/>
                <w:bCs/>
                <w:color w:val="FFFFFF"/>
                <w:sz w:val="17"/>
                <w:szCs w:val="17"/>
              </w:rPr>
              <w:t xml:space="preserve">WP</w:t>
            </w:r>
          </w:p>
        </w:tc>
        <w:tc>
          <w:tcPr>
            <w:tcW w:type="dxa" w:w="1550"/>
            <w:shd w:fill="1F3864" w:val="clear"/>
            <w:vAlign w:val="center"/>
          </w:tcPr>
          <w:p>
            <w:r>
              <w:rPr>
                <w:b/>
                <w:bCs/>
                <w:color w:val="FFFFFF"/>
                <w:sz w:val="17"/>
                <w:szCs w:val="17"/>
              </w:rPr>
              <w:t xml:space="preserve">Acceptance Status</w:t>
            </w:r>
          </w:p>
        </w:tc>
        <w:tc>
          <w:tcPr>
            <w:tcW w:type="dxa" w:w="2000"/>
            <w:shd w:fill="1F3864" w:val="clear"/>
            <w:vAlign w:val="center"/>
          </w:tcPr>
          <w:p>
            <w:r>
              <w:rPr>
                <w:b/>
                <w:bCs/>
                <w:color w:val="FFFFFF"/>
                <w:sz w:val="17"/>
                <w:szCs w:val="17"/>
              </w:rPr>
              <w:t xml:space="preserve">Acceptance Readiness</w:t>
            </w:r>
          </w:p>
        </w:tc>
        <w:tc>
          <w:tcPr>
            <w:tcW w:type="dxa" w:w="3200"/>
            <w:shd w:fill="1F3864" w:val="clear"/>
            <w:vAlign w:val="center"/>
          </w:tcPr>
          <w:p>
            <w:r>
              <w:rPr>
                <w:b/>
                <w:bCs/>
                <w:color w:val="FFFFFF"/>
                <w:sz w:val="17"/>
                <w:szCs w:val="17"/>
              </w:rPr>
              <w:t xml:space="preserve">Outstanding Acceptance Condition</w:t>
            </w:r>
          </w:p>
        </w:tc>
        <w:tc>
          <w:tcPr>
            <w:tcW w:type="dxa" w:w="1850"/>
            <w:shd w:fill="1F3864" w:val="clear"/>
            <w:vAlign w:val="center"/>
          </w:tcPr>
          <w:p>
            <w:r>
              <w:rPr>
                <w:b/>
                <w:bCs/>
                <w:color w:val="FFFFFF"/>
                <w:sz w:val="17"/>
                <w:szCs w:val="17"/>
              </w:rPr>
              <w:t xml:space="preserve">Cert. Readiness</w:t>
            </w:r>
          </w:p>
        </w:tc>
      </w:tr>
      <w:tr>
        <w:tc>
          <w:tcPr>
            <w:tcW w:type="dxa" w:w="750"/>
            <w:vAlign w:val="center"/>
          </w:tcPr>
          <w:p>
            <w:r>
              <w:rPr>
                <w:b w:val="false"/>
                <w:bCs w:val="false"/>
                <w:color w:val="000000"/>
                <w:sz w:val="17"/>
                <w:szCs w:val="17"/>
              </w:rPr>
              <w:t xml:space="preserve">WP-0001</w:t>
            </w:r>
          </w:p>
        </w:tc>
        <w:tc>
          <w:tcPr>
            <w:tcW w:type="dxa" w:w="1550"/>
            <w:vAlign w:val="center"/>
          </w:tcPr>
          <w:p>
            <w:r>
              <w:rPr>
                <w:b w:val="false"/>
                <w:bCs w:val="false"/>
                <w:color w:val="000000"/>
                <w:sz w:val="17"/>
                <w:szCs w:val="17"/>
              </w:rPr>
              <w:t xml:space="preserve">Not accepted</w:t>
            </w:r>
          </w:p>
        </w:tc>
        <w:tc>
          <w:tcPr>
            <w:tcW w:type="dxa" w:w="2000"/>
            <w:vAlign w:val="center"/>
          </w:tcPr>
          <w:p>
            <w:r>
              <w:rPr>
                <w:b w:val="false"/>
                <w:bCs w:val="false"/>
                <w:color w:val="000000"/>
                <w:sz w:val="17"/>
                <w:szCs w:val="17"/>
              </w:rPr>
              <w:t xml:space="preserve">Ready (Wave 2)</w:t>
            </w:r>
          </w:p>
        </w:tc>
        <w:tc>
          <w:tcPr>
            <w:tcW w:type="dxa" w:w="3200"/>
            <w:vAlign w:val="center"/>
          </w:tcPr>
          <w:p>
            <w:r>
              <w:rPr>
                <w:b w:val="false"/>
                <w:bCs w:val="false"/>
                <w:color w:val="000000"/>
                <w:sz w:val="17"/>
                <w:szCs w:val="17"/>
              </w:rPr>
              <w:t xml:space="preserve">Documentation not yet published; zero-discrepancy diff not yet run</w:t>
            </w:r>
          </w:p>
        </w:tc>
        <w:tc>
          <w:tcPr>
            <w:tcW w:type="dxa" w:w="1850"/>
            <w:vAlign w:val="center"/>
          </w:tcPr>
          <w:p>
            <w:r>
              <w:rPr>
                <w:b w:val="false"/>
                <w:bCs w:val="false"/>
                <w:color w:val="000000"/>
                <w:sz w:val="17"/>
                <w:szCs w:val="17"/>
              </w:rPr>
              <w:t xml:space="preserve">L4 pending</w:t>
            </w:r>
          </w:p>
        </w:tc>
      </w:tr>
      <w:tr>
        <w:tc>
          <w:tcPr>
            <w:tcW w:type="dxa" w:w="750"/>
            <w:shd w:fill="F2F2F2" w:val="clear"/>
            <w:vAlign w:val="center"/>
          </w:tcPr>
          <w:p>
            <w:r>
              <w:rPr>
                <w:b w:val="false"/>
                <w:bCs w:val="false"/>
                <w:color w:val="000000"/>
                <w:sz w:val="17"/>
                <w:szCs w:val="17"/>
              </w:rPr>
              <w:t xml:space="preserve">WP-0002</w:t>
            </w:r>
          </w:p>
        </w:tc>
        <w:tc>
          <w:tcPr>
            <w:tcW w:type="dxa" w:w="1550"/>
            <w:shd w:fill="F2F2F2" w:val="clear"/>
            <w:vAlign w:val="center"/>
          </w:tcPr>
          <w:p>
            <w:r>
              <w:rPr>
                <w:b w:val="false"/>
                <w:bCs w:val="false"/>
                <w:color w:val="000000"/>
                <w:sz w:val="17"/>
                <w:szCs w:val="17"/>
              </w:rPr>
              <w:t xml:space="preserve">Not accepted</w:t>
            </w:r>
          </w:p>
        </w:tc>
        <w:tc>
          <w:tcPr>
            <w:tcW w:type="dxa" w:w="2000"/>
            <w:shd w:fill="F2F2F2" w:val="clear"/>
            <w:vAlign w:val="center"/>
          </w:tcPr>
          <w:p>
            <w:r>
              <w:rPr>
                <w:b w:val="false"/>
                <w:bCs w:val="false"/>
                <w:color w:val="000000"/>
                <w:sz w:val="17"/>
                <w:szCs w:val="17"/>
              </w:rPr>
              <w:t xml:space="preserve">Ready (Wave 1)</w:t>
            </w:r>
          </w:p>
        </w:tc>
        <w:tc>
          <w:tcPr>
            <w:tcW w:type="dxa" w:w="3200"/>
            <w:shd w:fill="F2F2F2" w:val="clear"/>
            <w:vAlign w:val="center"/>
          </w:tcPr>
          <w:p>
            <w:r>
              <w:rPr>
                <w:b w:val="false"/>
                <w:bCs w:val="false"/>
                <w:color w:val="000000"/>
                <w:sz w:val="17"/>
                <w:szCs w:val="17"/>
              </w:rPr>
              <w:t xml:space="preserve">RLS confirmed only on 2 of 4 table groups</w:t>
            </w:r>
          </w:p>
        </w:tc>
        <w:tc>
          <w:tcPr>
            <w:tcW w:type="dxa" w:w="1850"/>
            <w:shd w:fill="F2F2F2" w:val="clear"/>
            <w:vAlign w:val="center"/>
          </w:tcPr>
          <w:p>
            <w:r>
              <w:rPr>
                <w:b w:val="false"/>
                <w:bCs w:val="false"/>
                <w:color w:val="000000"/>
                <w:sz w:val="17"/>
                <w:szCs w:val="17"/>
              </w:rPr>
              <w:t xml:space="preserve">L4 pending</w:t>
            </w:r>
          </w:p>
        </w:tc>
      </w:tr>
      <w:tr>
        <w:tc>
          <w:tcPr>
            <w:tcW w:type="dxa" w:w="750"/>
            <w:vAlign w:val="center"/>
          </w:tcPr>
          <w:p>
            <w:r>
              <w:rPr>
                <w:b w:val="false"/>
                <w:bCs w:val="false"/>
                <w:color w:val="000000"/>
                <w:sz w:val="17"/>
                <w:szCs w:val="17"/>
              </w:rPr>
              <w:t xml:space="preserve">WP-0003</w:t>
            </w:r>
          </w:p>
        </w:tc>
        <w:tc>
          <w:tcPr>
            <w:tcW w:type="dxa" w:w="1550"/>
            <w:vAlign w:val="center"/>
          </w:tcPr>
          <w:p>
            <w:r>
              <w:rPr>
                <w:b w:val="false"/>
                <w:bCs w:val="false"/>
                <w:color w:val="000000"/>
                <w:sz w:val="17"/>
                <w:szCs w:val="17"/>
              </w:rPr>
              <w:t xml:space="preserve">Not accepted — trigger-gated</w:t>
            </w:r>
          </w:p>
        </w:tc>
        <w:tc>
          <w:tcPr>
            <w:tcW w:type="dxa" w:w="2000"/>
            <w:vAlign w:val="center"/>
          </w:tcPr>
          <w:p>
            <w:r>
              <w:rPr>
                <w:b w:val="false"/>
                <w:bCs w:val="false"/>
                <w:color w:val="000000"/>
                <w:sz w:val="17"/>
                <w:szCs w:val="17"/>
              </w:rPr>
              <w:t xml:space="preserve">Monitoring-ready (Wave 3)</w:t>
            </w:r>
          </w:p>
        </w:tc>
        <w:tc>
          <w:tcPr>
            <w:tcW w:type="dxa" w:w="3200"/>
            <w:vAlign w:val="center"/>
          </w:tcPr>
          <w:p>
            <w:r>
              <w:rPr>
                <w:b w:val="false"/>
                <w:bCs w:val="false"/>
                <w:color w:val="000000"/>
                <w:sz w:val="17"/>
                <w:szCs w:val="17"/>
              </w:rPr>
              <w:t xml:space="preserve">Row-count/growth data not yet gathered</w:t>
            </w:r>
          </w:p>
        </w:tc>
        <w:tc>
          <w:tcPr>
            <w:tcW w:type="dxa" w:w="1850"/>
            <w:vAlign w:val="center"/>
          </w:tcPr>
          <w:p>
            <w:r>
              <w:rPr>
                <w:b w:val="false"/>
                <w:bCs w:val="false"/>
                <w:color w:val="000000"/>
                <w:sz w:val="17"/>
                <w:szCs w:val="17"/>
              </w:rPr>
              <w:t xml:space="preserve">L3 standing; L4 if triggered</w:t>
            </w:r>
          </w:p>
        </w:tc>
      </w:tr>
      <w:tr>
        <w:tc>
          <w:tcPr>
            <w:tcW w:type="dxa" w:w="750"/>
            <w:shd w:fill="F2F2F2" w:val="clear"/>
            <w:vAlign w:val="center"/>
          </w:tcPr>
          <w:p>
            <w:r>
              <w:rPr>
                <w:b w:val="false"/>
                <w:bCs w:val="false"/>
                <w:color w:val="000000"/>
                <w:sz w:val="17"/>
                <w:szCs w:val="17"/>
              </w:rPr>
              <w:t xml:space="preserve">WP-0004</w:t>
            </w:r>
          </w:p>
        </w:tc>
        <w:tc>
          <w:tcPr>
            <w:tcW w:type="dxa" w:w="1550"/>
            <w:shd w:fill="F2F2F2" w:val="clear"/>
            <w:vAlign w:val="center"/>
          </w:tcPr>
          <w:p>
            <w:r>
              <w:rPr>
                <w:b w:val="false"/>
                <w:bCs w:val="false"/>
                <w:color w:val="000000"/>
                <w:sz w:val="17"/>
                <w:szCs w:val="17"/>
              </w:rPr>
              <w:t xml:space="preserve">Not accepted</w:t>
            </w:r>
          </w:p>
        </w:tc>
        <w:tc>
          <w:tcPr>
            <w:tcW w:type="dxa" w:w="2000"/>
            <w:shd w:fill="F2F2F2" w:val="clear"/>
            <w:vAlign w:val="center"/>
          </w:tcPr>
          <w:p>
            <w:r>
              <w:rPr>
                <w:b w:val="false"/>
                <w:bCs w:val="false"/>
                <w:color w:val="000000"/>
                <w:sz w:val="17"/>
                <w:szCs w:val="17"/>
              </w:rPr>
              <w:t xml:space="preserve">Ready (Wave 2)</w:t>
            </w:r>
          </w:p>
        </w:tc>
        <w:tc>
          <w:tcPr>
            <w:tcW w:type="dxa" w:w="3200"/>
            <w:shd w:fill="F2F2F2" w:val="clear"/>
            <w:vAlign w:val="center"/>
          </w:tcPr>
          <w:p>
            <w:r>
              <w:rPr>
                <w:b w:val="false"/>
                <w:bCs w:val="false"/>
                <w:color w:val="000000"/>
                <w:sz w:val="17"/>
                <w:szCs w:val="17"/>
              </w:rPr>
              <w:t xml:space="preserve">Check not yet operating</w:t>
            </w:r>
          </w:p>
        </w:tc>
        <w:tc>
          <w:tcPr>
            <w:tcW w:type="dxa" w:w="1850"/>
            <w:shd w:fill="F2F2F2" w:val="clear"/>
            <w:vAlign w:val="center"/>
          </w:tcPr>
          <w:p>
            <w:r>
              <w:rPr>
                <w:b w:val="false"/>
                <w:bCs w:val="false"/>
                <w:color w:val="000000"/>
                <w:sz w:val="17"/>
                <w:szCs w:val="17"/>
              </w:rPr>
              <w:t xml:space="preserve">L4 pending</w:t>
            </w:r>
          </w:p>
        </w:tc>
      </w:tr>
      <w:tr>
        <w:tc>
          <w:tcPr>
            <w:tcW w:type="dxa" w:w="750"/>
            <w:vAlign w:val="center"/>
          </w:tcPr>
          <w:p>
            <w:r>
              <w:rPr>
                <w:b w:val="false"/>
                <w:bCs w:val="false"/>
                <w:color w:val="000000"/>
                <w:sz w:val="17"/>
                <w:szCs w:val="17"/>
              </w:rPr>
              <w:t xml:space="preserve">WP-0005</w:t>
            </w:r>
          </w:p>
        </w:tc>
        <w:tc>
          <w:tcPr>
            <w:tcW w:type="dxa" w:w="1550"/>
            <w:vAlign w:val="center"/>
          </w:tcPr>
          <w:p>
            <w:r>
              <w:rPr>
                <w:b w:val="false"/>
                <w:bCs w:val="false"/>
                <w:color w:val="000000"/>
                <w:sz w:val="17"/>
                <w:szCs w:val="17"/>
              </w:rPr>
              <w:t xml:space="preserve">Not accepted</w:t>
            </w:r>
          </w:p>
        </w:tc>
        <w:tc>
          <w:tcPr>
            <w:tcW w:type="dxa" w:w="2000"/>
            <w:vAlign w:val="center"/>
          </w:tcPr>
          <w:p>
            <w:r>
              <w:rPr>
                <w:b w:val="false"/>
                <w:bCs w:val="false"/>
                <w:color w:val="000000"/>
                <w:sz w:val="17"/>
                <w:szCs w:val="17"/>
              </w:rPr>
              <w:t xml:space="preserve">Ready (Wave 2)</w:t>
            </w:r>
          </w:p>
        </w:tc>
        <w:tc>
          <w:tcPr>
            <w:tcW w:type="dxa" w:w="3200"/>
            <w:vAlign w:val="center"/>
          </w:tcPr>
          <w:p>
            <w:r>
              <w:rPr>
                <w:b w:val="false"/>
                <w:bCs w:val="false"/>
                <w:color w:val="000000"/>
                <w:sz w:val="17"/>
                <w:szCs w:val="17"/>
              </w:rPr>
              <w:t xml:space="preserve">Review not yet performed</w:t>
            </w:r>
          </w:p>
        </w:tc>
        <w:tc>
          <w:tcPr>
            <w:tcW w:type="dxa" w:w="1850"/>
            <w:vAlign w:val="center"/>
          </w:tcPr>
          <w:p>
            <w:r>
              <w:rPr>
                <w:b w:val="false"/>
                <w:bCs w:val="false"/>
                <w:color w:val="000000"/>
                <w:sz w:val="17"/>
                <w:szCs w:val="17"/>
              </w:rPr>
              <w:t xml:space="preserve">L4 pending (ext.)</w:t>
            </w:r>
          </w:p>
        </w:tc>
      </w:tr>
      <w:tr>
        <w:tc>
          <w:tcPr>
            <w:tcW w:type="dxa" w:w="750"/>
            <w:shd w:fill="F2F2F2" w:val="clear"/>
            <w:vAlign w:val="center"/>
          </w:tcPr>
          <w:p>
            <w:r>
              <w:rPr>
                <w:b w:val="false"/>
                <w:bCs w:val="false"/>
                <w:color w:val="000000"/>
                <w:sz w:val="17"/>
                <w:szCs w:val="17"/>
              </w:rPr>
              <w:t xml:space="preserve">WP-0006</w:t>
            </w:r>
          </w:p>
        </w:tc>
        <w:tc>
          <w:tcPr>
            <w:tcW w:type="dxa" w:w="1550"/>
            <w:shd w:fill="F2F2F2" w:val="clear"/>
            <w:vAlign w:val="center"/>
          </w:tcPr>
          <w:p>
            <w:r>
              <w:rPr>
                <w:b w:val="false"/>
                <w:bCs w:val="false"/>
                <w:color w:val="000000"/>
                <w:sz w:val="17"/>
                <w:szCs w:val="17"/>
              </w:rPr>
              <w:t xml:space="preserve">Not accepted</w:t>
            </w:r>
          </w:p>
        </w:tc>
        <w:tc>
          <w:tcPr>
            <w:tcW w:type="dxa" w:w="2000"/>
            <w:shd w:fill="F2F2F2" w:val="clear"/>
            <w:vAlign w:val="center"/>
          </w:tcPr>
          <w:p>
            <w:r>
              <w:rPr>
                <w:b w:val="false"/>
                <w:bCs w:val="false"/>
                <w:color w:val="000000"/>
                <w:sz w:val="17"/>
                <w:szCs w:val="17"/>
              </w:rPr>
              <w:t xml:space="preserve">Ready (Wave 1)</w:t>
            </w:r>
          </w:p>
        </w:tc>
        <w:tc>
          <w:tcPr>
            <w:tcW w:type="dxa" w:w="3200"/>
            <w:shd w:fill="F2F2F2" w:val="clear"/>
            <w:vAlign w:val="center"/>
          </w:tcPr>
          <w:p>
            <w:r>
              <w:rPr>
                <w:b w:val="false"/>
                <w:bCs w:val="false"/>
                <w:color w:val="000000"/>
                <w:sz w:val="17"/>
                <w:szCs w:val="17"/>
              </w:rPr>
              <w:t xml:space="preserve">KPI-08 = 0% — zero owners assigned</w:t>
            </w:r>
          </w:p>
        </w:tc>
        <w:tc>
          <w:tcPr>
            <w:tcW w:type="dxa" w:w="1850"/>
            <w:shd w:fill="F2F2F2" w:val="clear"/>
            <w:vAlign w:val="center"/>
          </w:tcPr>
          <w:p>
            <w:r>
              <w:rPr>
                <w:b w:val="false"/>
                <w:bCs w:val="false"/>
                <w:color w:val="000000"/>
                <w:sz w:val="17"/>
                <w:szCs w:val="17"/>
              </w:rPr>
              <w:t xml:space="preserve">Not Applicable</w:t>
            </w:r>
          </w:p>
        </w:tc>
      </w:tr>
    </w:tbl>
    <w:p>
      <w:pPr>
        <w:spacing w:after="150"/>
      </w:pPr>
      <w:r>
        <w:t xml:space="preserve">Zero of six Work Packages have been formally accepted as of this dashboard (Section 9 §9). Overall enterprise acceptance readiness is READY WITH CONDITIONS: Wave 1 is acceptance-ready to begin immediately; Wave 2 is ready to follow; Wave 3 remains monitoring-ready pending its trigger (Section 9 §9 §“Overall Enterprise Acceptance Readiness”).</w:t>
      </w:r>
    </w:p>
    <w:p>
      <w:pPr>
        <w:pStyle w:val="Heading1"/>
        <w:spacing w:after="200" w:before="400"/>
      </w:pPr>
      <w:r>
        <w:t xml:space="preserve">12. Executive Readiness Assessment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5350"/>
        <w:gridCol w:w="2000"/>
      </w:tblGrid>
      <w:tr>
        <w:trPr>
          <w:tblHeader/>
        </w:trPr>
        <w:tc>
          <w:tcPr>
            <w:tcW w:type="dxa" w:w="2000"/>
            <w:shd w:fill="1F3864" w:val="clear"/>
            <w:vAlign w:val="center"/>
          </w:tcPr>
          <w:p>
            <w:r>
              <w:rPr>
                <w:b/>
                <w:bCs/>
                <w:color w:val="FFFFFF"/>
                <w:sz w:val="17"/>
                <w:szCs w:val="17"/>
              </w:rPr>
              <w:t xml:space="preserve">Dimension</w:t>
            </w:r>
          </w:p>
        </w:tc>
        <w:tc>
          <w:tcPr>
            <w:tcW w:type="dxa" w:w="5350"/>
            <w:shd w:fill="1F3864" w:val="clear"/>
            <w:vAlign w:val="center"/>
          </w:tcPr>
          <w:p>
            <w:r>
              <w:rPr>
                <w:b/>
                <w:bCs/>
                <w:color w:val="FFFFFF"/>
                <w:sz w:val="17"/>
                <w:szCs w:val="17"/>
              </w:rPr>
              <w:t xml:space="preserve">Assessment</w:t>
            </w:r>
          </w:p>
        </w:tc>
        <w:tc>
          <w:tcPr>
            <w:tcW w:type="dxa" w:w="2000"/>
            <w:shd w:fill="1F3864" w:val="clear"/>
            <w:vAlign w:val="center"/>
          </w:tcPr>
          <w:p>
            <w:r>
              <w:rPr>
                <w:b/>
                <w:bCs/>
                <w:color w:val="FFFFFF"/>
                <w:sz w:val="17"/>
                <w:szCs w:val="17"/>
              </w:rPr>
              <w:t xml:space="preserve">Source</w:t>
            </w:r>
          </w:p>
        </w:tc>
      </w:tr>
      <w:tr>
        <w:tc>
          <w:tcPr>
            <w:tcW w:type="dxa" w:w="2000"/>
            <w:vAlign w:val="center"/>
          </w:tcPr>
          <w:p>
            <w:r>
              <w:rPr>
                <w:b w:val="false"/>
                <w:bCs w:val="false"/>
                <w:color w:val="000000"/>
                <w:sz w:val="17"/>
                <w:szCs w:val="17"/>
              </w:rPr>
              <w:t xml:space="preserve">Architecture Readiness</w:t>
            </w:r>
          </w:p>
        </w:tc>
        <w:tc>
          <w:tcPr>
            <w:tcW w:type="dxa" w:w="5350"/>
            <w:vAlign w:val="center"/>
          </w:tcPr>
          <w:p>
            <w:r>
              <w:rPr>
                <w:b w:val="false"/>
                <w:bCs w:val="false"/>
                <w:color w:val="000000"/>
                <w:sz w:val="17"/>
                <w:szCs w:val="17"/>
              </w:rPr>
              <w:t xml:space="preserve">L1–L3 met; L4–L5 pending. Baseline established, governed, and traceable.</w:t>
            </w:r>
          </w:p>
        </w:tc>
        <w:tc>
          <w:tcPr>
            <w:tcW w:type="dxa" w:w="2000"/>
            <w:vAlign w:val="center"/>
          </w:tcPr>
          <w:p>
            <w:r>
              <w:rPr>
                <w:b w:val="false"/>
                <w:bCs w:val="false"/>
                <w:color w:val="000000"/>
                <w:sz w:val="17"/>
                <w:szCs w:val="17"/>
              </w:rPr>
              <w:t xml:space="preserve">Phase A.3 §11; Section 6</w:t>
            </w:r>
          </w:p>
        </w:tc>
      </w:tr>
      <w:tr>
        <w:tc>
          <w:tcPr>
            <w:tcW w:type="dxa" w:w="2000"/>
            <w:shd w:fill="F2F2F2" w:val="clear"/>
            <w:vAlign w:val="center"/>
          </w:tcPr>
          <w:p>
            <w:r>
              <w:rPr>
                <w:b w:val="false"/>
                <w:bCs w:val="false"/>
                <w:color w:val="000000"/>
                <w:sz w:val="17"/>
                <w:szCs w:val="17"/>
              </w:rPr>
              <w:t xml:space="preserve">Engineering Readiness</w:t>
            </w:r>
          </w:p>
        </w:tc>
        <w:tc>
          <w:tcPr>
            <w:tcW w:type="dxa" w:w="5350"/>
            <w:shd w:fill="F2F2F2" w:val="clear"/>
            <w:vAlign w:val="center"/>
          </w:tcPr>
          <w:p>
            <w:r>
              <w:rPr>
                <w:b w:val="false"/>
                <w:bCs w:val="false"/>
                <w:color w:val="000000"/>
                <w:sz w:val="17"/>
                <w:szCs w:val="17"/>
              </w:rPr>
              <w:t xml:space="preserve">Design and blueprint complete for all six Work Packages; 0 executed.</w:t>
            </w:r>
          </w:p>
        </w:tc>
        <w:tc>
          <w:tcPr>
            <w:tcW w:type="dxa" w:w="2000"/>
            <w:shd w:fill="F2F2F2" w:val="clear"/>
            <w:vAlign w:val="center"/>
          </w:tcPr>
          <w:p>
            <w:r>
              <w:rPr>
                <w:b w:val="false"/>
                <w:bCs w:val="false"/>
                <w:color w:val="000000"/>
                <w:sz w:val="17"/>
                <w:szCs w:val="17"/>
              </w:rPr>
              <w:t xml:space="preserve">Section 4; Section 5</w:t>
            </w:r>
          </w:p>
        </w:tc>
      </w:tr>
      <w:tr>
        <w:tc>
          <w:tcPr>
            <w:tcW w:type="dxa" w:w="2000"/>
            <w:vAlign w:val="center"/>
          </w:tcPr>
          <w:p>
            <w:r>
              <w:rPr>
                <w:b w:val="false"/>
                <w:bCs w:val="false"/>
                <w:color w:val="000000"/>
                <w:sz w:val="17"/>
                <w:szCs w:val="17"/>
              </w:rPr>
              <w:t xml:space="preserve">Repository Readiness</w:t>
            </w:r>
          </w:p>
        </w:tc>
        <w:tc>
          <w:tcPr>
            <w:tcW w:type="dxa" w:w="5350"/>
            <w:vAlign w:val="center"/>
          </w:tcPr>
          <w:p>
            <w:r>
              <w:rPr>
                <w:b w:val="false"/>
                <w:bCs w:val="false"/>
                <w:color w:val="000000"/>
                <w:sz w:val="17"/>
                <w:szCs w:val="17"/>
              </w:rPr>
              <w:t xml:space="preserve">Exact scope to Documentation, Database, Test; sound independently of Phase A conformance, no integrity blocker found.</w:t>
            </w:r>
          </w:p>
        </w:tc>
        <w:tc>
          <w:tcPr>
            <w:tcW w:type="dxa" w:w="2000"/>
            <w:vAlign w:val="center"/>
          </w:tcPr>
          <w:p>
            <w:r>
              <w:rPr>
                <w:b w:val="false"/>
                <w:bCs w:val="false"/>
                <w:color w:val="000000"/>
                <w:sz w:val="17"/>
                <w:szCs w:val="17"/>
              </w:rPr>
              <w:t xml:space="preserve">Section 3; Phase A.1 §15</w:t>
            </w:r>
          </w:p>
        </w:tc>
      </w:tr>
      <w:tr>
        <w:tc>
          <w:tcPr>
            <w:tcW w:type="dxa" w:w="2000"/>
            <w:shd w:fill="F2F2F2" w:val="clear"/>
            <w:vAlign w:val="center"/>
          </w:tcPr>
          <w:p>
            <w:r>
              <w:rPr>
                <w:b w:val="false"/>
                <w:bCs w:val="false"/>
                <w:color w:val="000000"/>
                <w:sz w:val="17"/>
                <w:szCs w:val="17"/>
              </w:rPr>
              <w:t xml:space="preserve">Governance Readiness</w:t>
            </w:r>
          </w:p>
        </w:tc>
        <w:tc>
          <w:tcPr>
            <w:tcW w:type="dxa" w:w="5350"/>
            <w:shd w:fill="F2F2F2" w:val="clear"/>
            <w:vAlign w:val="center"/>
          </w:tcPr>
          <w:p>
            <w:r>
              <w:rPr>
                <w:b w:val="false"/>
                <w:bCs w:val="false"/>
                <w:color w:val="000000"/>
                <w:sz w:val="17"/>
                <w:szCs w:val="17"/>
              </w:rPr>
              <w:t xml:space="preserve">Complete for dispositioning (zero open gaps); not met for ownership (KPI-08 = 0%).</w:t>
            </w:r>
          </w:p>
        </w:tc>
        <w:tc>
          <w:tcPr>
            <w:tcW w:type="dxa" w:w="2000"/>
            <w:shd w:fill="F2F2F2" w:val="clear"/>
            <w:vAlign w:val="center"/>
          </w:tcPr>
          <w:p>
            <w:r>
              <w:rPr>
                <w:b w:val="false"/>
                <w:bCs w:val="false"/>
                <w:color w:val="000000"/>
                <w:sz w:val="17"/>
                <w:szCs w:val="17"/>
              </w:rPr>
              <w:t xml:space="preserve">Phase A.3 §4, §10</w:t>
            </w:r>
          </w:p>
        </w:tc>
      </w:tr>
      <w:tr>
        <w:tc>
          <w:tcPr>
            <w:tcW w:type="dxa" w:w="2000"/>
            <w:vAlign w:val="center"/>
          </w:tcPr>
          <w:p>
            <w:r>
              <w:rPr>
                <w:b w:val="false"/>
                <w:bCs w:val="false"/>
                <w:color w:val="000000"/>
                <w:sz w:val="17"/>
                <w:szCs w:val="17"/>
              </w:rPr>
              <w:t xml:space="preserve">Verification Readiness</w:t>
            </w:r>
          </w:p>
        </w:tc>
        <w:tc>
          <w:tcPr>
            <w:tcW w:type="dxa" w:w="5350"/>
            <w:vAlign w:val="center"/>
          </w:tcPr>
          <w:p>
            <w:r>
              <w:rPr>
                <w:b w:val="false"/>
                <w:bCs w:val="false"/>
                <w:color w:val="000000"/>
                <w:sz w:val="17"/>
                <w:szCs w:val="17"/>
              </w:rPr>
              <w:t xml:space="preserve">All six methods fully specified; highest readiness for WP-0002; monitoring-ready for WP-0003.</w:t>
            </w:r>
          </w:p>
        </w:tc>
        <w:tc>
          <w:tcPr>
            <w:tcW w:type="dxa" w:w="2000"/>
            <w:vAlign w:val="center"/>
          </w:tcPr>
          <w:p>
            <w:r>
              <w:rPr>
                <w:b w:val="false"/>
                <w:bCs w:val="false"/>
                <w:color w:val="000000"/>
                <w:sz w:val="17"/>
                <w:szCs w:val="17"/>
              </w:rPr>
              <w:t xml:space="preserve">Section 7 §4</w:t>
            </w:r>
          </w:p>
        </w:tc>
      </w:tr>
      <w:tr>
        <w:tc>
          <w:tcPr>
            <w:tcW w:type="dxa" w:w="2000"/>
            <w:shd w:fill="F2F2F2" w:val="clear"/>
            <w:vAlign w:val="center"/>
          </w:tcPr>
          <w:p>
            <w:r>
              <w:rPr>
                <w:b w:val="false"/>
                <w:bCs w:val="false"/>
                <w:color w:val="000000"/>
                <w:sz w:val="17"/>
                <w:szCs w:val="17"/>
              </w:rPr>
              <w:t xml:space="preserve">Risk Readiness</w:t>
            </w:r>
          </w:p>
        </w:tc>
        <w:tc>
          <w:tcPr>
            <w:tcW w:type="dxa" w:w="5350"/>
            <w:shd w:fill="F2F2F2" w:val="clear"/>
            <w:vAlign w:val="center"/>
          </w:tcPr>
          <w:p>
            <w:r>
              <w:rPr>
                <w:b w:val="false"/>
                <w:bCs w:val="false"/>
                <w:color w:val="000000"/>
                <w:sz w:val="17"/>
                <w:szCs w:val="17"/>
              </w:rPr>
              <w:t xml:space="preserve">Every risk carries an assigned mitigation or monitoring cadence; two High risks have low-cost, ready remedies.</w:t>
            </w:r>
          </w:p>
        </w:tc>
        <w:tc>
          <w:tcPr>
            <w:tcW w:type="dxa" w:w="2000"/>
            <w:shd w:fill="F2F2F2" w:val="clear"/>
            <w:vAlign w:val="center"/>
          </w:tcPr>
          <w:p>
            <w:r>
              <w:rPr>
                <w:b w:val="false"/>
                <w:bCs w:val="false"/>
                <w:color w:val="000000"/>
                <w:sz w:val="17"/>
                <w:szCs w:val="17"/>
              </w:rPr>
              <w:t xml:space="preserve">Phase A.3 §15; Section 8</w:t>
            </w:r>
          </w:p>
        </w:tc>
      </w:tr>
      <w:tr>
        <w:tc>
          <w:tcPr>
            <w:tcW w:type="dxa" w:w="2000"/>
            <w:vAlign w:val="center"/>
          </w:tcPr>
          <w:p>
            <w:r>
              <w:rPr>
                <w:b w:val="false"/>
                <w:bCs w:val="false"/>
                <w:color w:val="000000"/>
                <w:sz w:val="17"/>
                <w:szCs w:val="17"/>
              </w:rPr>
              <w:t xml:space="preserve">Acceptance Readiness</w:t>
            </w:r>
          </w:p>
        </w:tc>
        <w:tc>
          <w:tcPr>
            <w:tcW w:type="dxa" w:w="5350"/>
            <w:vAlign w:val="center"/>
          </w:tcPr>
          <w:p>
            <w:r>
              <w:rPr>
                <w:b w:val="false"/>
                <w:bCs w:val="false"/>
                <w:color w:val="000000"/>
                <w:sz w:val="17"/>
                <w:szCs w:val="17"/>
              </w:rPr>
              <w:t xml:space="preserve">Acceptance criteria fully defined for all six Work Packages; 0 accepted.</w:t>
            </w:r>
          </w:p>
        </w:tc>
        <w:tc>
          <w:tcPr>
            <w:tcW w:type="dxa" w:w="2000"/>
            <w:vAlign w:val="center"/>
          </w:tcPr>
          <w:p>
            <w:r>
              <w:rPr>
                <w:b w:val="false"/>
                <w:bCs w:val="false"/>
                <w:color w:val="000000"/>
                <w:sz w:val="17"/>
                <w:szCs w:val="17"/>
              </w:rPr>
              <w:t xml:space="preserve">Section 9 §4, §9</w:t>
            </w:r>
          </w:p>
        </w:tc>
      </w:tr>
      <w:tr>
        <w:tc>
          <w:tcPr>
            <w:tcW w:type="dxa" w:w="2000"/>
            <w:shd w:fill="F2F2F2" w:val="clear"/>
            <w:vAlign w:val="center"/>
          </w:tcPr>
          <w:p>
            <w:r>
              <w:rPr>
                <w:b w:val="false"/>
                <w:bCs w:val="false"/>
                <w:color w:val="000000"/>
                <w:sz w:val="17"/>
                <w:szCs w:val="17"/>
              </w:rPr>
              <w:t xml:space="preserve">Certification Readiness</w:t>
            </w:r>
          </w:p>
        </w:tc>
        <w:tc>
          <w:tcPr>
            <w:tcW w:type="dxa" w:w="5350"/>
            <w:shd w:fill="F2F2F2" w:val="clear"/>
            <w:vAlign w:val="center"/>
          </w:tcPr>
          <w:p>
            <w:r>
              <w:rPr>
                <w:b w:val="false"/>
                <w:bCs w:val="false"/>
                <w:color w:val="000000"/>
                <w:sz w:val="17"/>
                <w:szCs w:val="17"/>
              </w:rPr>
              <w:t xml:space="preserve">L3 met; L4 pending WP-0001/WP-0002; L5 pending L4 plus future re-assessment.</w:t>
            </w:r>
          </w:p>
        </w:tc>
        <w:tc>
          <w:tcPr>
            <w:tcW w:type="dxa" w:w="2000"/>
            <w:shd w:fill="F2F2F2" w:val="clear"/>
            <w:vAlign w:val="center"/>
          </w:tcPr>
          <w:p>
            <w:r>
              <w:rPr>
                <w:b w:val="false"/>
                <w:bCs w:val="false"/>
                <w:color w:val="000000"/>
                <w:sz w:val="17"/>
                <w:szCs w:val="17"/>
              </w:rPr>
              <w:t xml:space="preserve">Phase A.3 §11</w:t>
            </w:r>
          </w:p>
        </w:tc>
      </w:tr>
    </w:tbl>
    <w:p>
      <w:pPr>
        <w:pStyle w:val="Heading2"/>
        <w:spacing w:after="150" w:before="300"/>
      </w:pPr>
      <w:r>
        <w:t xml:space="preserve">Overall Enterprise Execution Readiness</w:t>
      </w:r>
    </w:p>
    <w:p>
      <w:pPr>
        <w:spacing w:after="150"/>
      </w:pPr>
      <w:r>
        <w:rPr>
          <w:b/>
          <w:bCs/>
        </w:rPr>
        <w:t xml:space="preserve">READY WITH CONDITIONS.</w:t>
      </w:r>
    </w:p>
    <w:p>
      <w:pPr>
        <w:spacing w:after="150"/>
      </w:pPr>
      <w:r>
        <w:t xml:space="preserve">Every readiness dimension across architecture, engineering, repository, governance, verification, risk, and acceptance converges on the identical finding first recorded in Phase A.3 §15 and confirmed unchanged through Phase B, every section of Phase C, and this dashboard: Wave 1 (WP-0002, WP-0006) is immediately executable with zero blocking dependency; Wave 2 (WP-0001, WP-0004, WP-0005) is ready to follow; Wave 3 (WP-0003) is monitoring-ready, not execution-ready, pending its trigger. The single outstanding condition across all eight readiness dimensions is that named, accountable ownership (KPI-08) has not yet been assigned. This is not a new finding — it is the same finding, reported consistently, at every stage of ERP-01 from Phase A.3 through Section 10.</w:t>
      </w:r>
    </w:p>
    <w:p>
      <w:pPr>
        <w:pStyle w:val="Heading1"/>
        <w:spacing w:after="200" w:before="400"/>
      </w:pPr>
      <w:r>
        <w:t xml:space="preserve">13. Executive Decision Matrix</w:t>
      </w:r>
    </w:p>
    <w:p>
      <w:pPr>
        <w:spacing w:after="150"/>
      </w:pPr>
      <w:r>
        <w:t xml:space="preserve">Every decision below reuses an existing governance outcome (Phase A.3 §4 EGD disposition) rather than creating a new one. No decision in this matrix is new; each is the executive-level restatement of a disposition already made.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1450"/>
        <w:gridCol w:w="2100"/>
        <w:gridCol w:w="1500"/>
        <w:gridCol w:w="1200"/>
        <w:gridCol w:w="2400"/>
      </w:tblGrid>
      <w:tr>
        <w:trPr>
          <w:tblHeader/>
        </w:trPr>
        <w:tc>
          <w:tcPr>
            <w:tcW w:type="dxa" w:w="700"/>
            <w:shd w:fill="1F3864" w:val="clear"/>
            <w:vAlign w:val="center"/>
          </w:tcPr>
          <w:p>
            <w:r>
              <w:rPr>
                <w:b/>
                <w:bCs/>
                <w:color w:val="FFFFFF"/>
                <w:sz w:val="17"/>
                <w:szCs w:val="17"/>
              </w:rPr>
              <w:t xml:space="preserve">WP</w:t>
            </w:r>
          </w:p>
        </w:tc>
        <w:tc>
          <w:tcPr>
            <w:tcW w:type="dxa" w:w="1450"/>
            <w:shd w:fill="1F3864" w:val="clear"/>
            <w:vAlign w:val="center"/>
          </w:tcPr>
          <w:p>
            <w:r>
              <w:rPr>
                <w:b/>
                <w:bCs/>
                <w:color w:val="FFFFFF"/>
                <w:sz w:val="17"/>
                <w:szCs w:val="17"/>
              </w:rPr>
              <w:t xml:space="preserve">Executive Decision</w:t>
            </w:r>
          </w:p>
        </w:tc>
        <w:tc>
          <w:tcPr>
            <w:tcW w:type="dxa" w:w="2100"/>
            <w:shd w:fill="1F3864" w:val="clear"/>
            <w:vAlign w:val="center"/>
          </w:tcPr>
          <w:p>
            <w:r>
              <w:rPr>
                <w:b/>
                <w:bCs/>
                <w:color w:val="FFFFFF"/>
                <w:sz w:val="17"/>
                <w:szCs w:val="17"/>
              </w:rPr>
              <w:t xml:space="preserve">Supporting Evidence</w:t>
            </w:r>
          </w:p>
        </w:tc>
        <w:tc>
          <w:tcPr>
            <w:tcW w:type="dxa" w:w="1500"/>
            <w:shd w:fill="1F3864" w:val="clear"/>
            <w:vAlign w:val="center"/>
          </w:tcPr>
          <w:p>
            <w:r>
              <w:rPr>
                <w:b/>
                <w:bCs/>
                <w:color w:val="FFFFFF"/>
                <w:sz w:val="17"/>
                <w:szCs w:val="17"/>
              </w:rPr>
              <w:t xml:space="preserve">Dependencies</w:t>
            </w:r>
          </w:p>
        </w:tc>
        <w:tc>
          <w:tcPr>
            <w:tcW w:type="dxa" w:w="1200"/>
            <w:shd w:fill="1F3864" w:val="clear"/>
            <w:vAlign w:val="center"/>
          </w:tcPr>
          <w:p>
            <w:r>
              <w:rPr>
                <w:b/>
                <w:bCs/>
                <w:color w:val="FFFFFF"/>
                <w:sz w:val="17"/>
                <w:szCs w:val="17"/>
              </w:rPr>
              <w:t xml:space="preserve">Blocking Conditions</w:t>
            </w:r>
          </w:p>
        </w:tc>
        <w:tc>
          <w:tcPr>
            <w:tcW w:type="dxa" w:w="2400"/>
            <w:shd w:fill="1F3864" w:val="clear"/>
            <w:vAlign w:val="center"/>
          </w:tcPr>
          <w:p>
            <w:r>
              <w:rPr>
                <w:b/>
                <w:bCs/>
                <w:color w:val="FFFFFF"/>
                <w:sz w:val="17"/>
                <w:szCs w:val="17"/>
              </w:rPr>
              <w:t xml:space="preserve">Next Action</w:t>
            </w:r>
          </w:p>
        </w:tc>
      </w:tr>
      <w:tr>
        <w:tc>
          <w:tcPr>
            <w:tcW w:type="dxa" w:w="700"/>
            <w:vAlign w:val="center"/>
          </w:tcPr>
          <w:p>
            <w:r>
              <w:rPr>
                <w:b w:val="false"/>
                <w:bCs w:val="false"/>
                <w:color w:val="000000"/>
                <w:sz w:val="17"/>
                <w:szCs w:val="17"/>
              </w:rPr>
              <w:t xml:space="preserve">WP-0001</w:t>
            </w:r>
          </w:p>
        </w:tc>
        <w:tc>
          <w:tcPr>
            <w:tcW w:type="dxa" w:w="1450"/>
            <w:vAlign w:val="center"/>
          </w:tcPr>
          <w:p>
            <w:r>
              <w:rPr>
                <w:b w:val="false"/>
                <w:bCs w:val="false"/>
                <w:color w:val="000000"/>
                <w:sz w:val="17"/>
                <w:szCs w:val="17"/>
              </w:rPr>
              <w:t xml:space="preserve">Approve for immediate drafting</w:t>
            </w:r>
          </w:p>
        </w:tc>
        <w:tc>
          <w:tcPr>
            <w:tcW w:type="dxa" w:w="2100"/>
            <w:vAlign w:val="center"/>
          </w:tcPr>
          <w:p>
            <w:r>
              <w:rPr>
                <w:b w:val="false"/>
                <w:bCs w:val="false"/>
                <w:color w:val="000000"/>
                <w:sz w:val="17"/>
                <w:szCs w:val="17"/>
              </w:rPr>
              <w:t xml:space="preserve">EGD-0002 (Accepted; execution = WP-0001); Phase A.1 §4 evidence</w:t>
            </w:r>
          </w:p>
        </w:tc>
        <w:tc>
          <w:tcPr>
            <w:tcW w:type="dxa" w:w="1500"/>
            <w:vAlign w:val="center"/>
          </w:tcPr>
          <w:p>
            <w:r>
              <w:rPr>
                <w:b w:val="false"/>
                <w:bCs w:val="false"/>
                <w:color w:val="000000"/>
                <w:sz w:val="17"/>
                <w:szCs w:val="17"/>
              </w:rPr>
              <w:t xml:space="preserve">WP-0006 (recommended, not blocking)</w:t>
            </w:r>
          </w:p>
        </w:tc>
        <w:tc>
          <w:tcPr>
            <w:tcW w:type="dxa" w:w="1200"/>
            <w:vAlign w:val="center"/>
          </w:tcPr>
          <w:p>
            <w:r>
              <w:rPr>
                <w:b w:val="false"/>
                <w:bCs w:val="false"/>
                <w:color w:val="000000"/>
                <w:sz w:val="17"/>
                <w:szCs w:val="17"/>
              </w:rPr>
              <w:t xml:space="preserve">None strictly blocking</w:t>
            </w:r>
          </w:p>
        </w:tc>
        <w:tc>
          <w:tcPr>
            <w:tcW w:type="dxa" w:w="2400"/>
            <w:vAlign w:val="center"/>
          </w:tcPr>
          <w:p>
            <w:r>
              <w:rPr>
                <w:b w:val="false"/>
                <w:bCs w:val="false"/>
                <w:color w:val="000000"/>
                <w:sz w:val="17"/>
                <w:szCs w:val="17"/>
              </w:rPr>
              <w:t xml:space="preserve">Begin drafting the revised EEP-01 Phase A document</w:t>
            </w:r>
          </w:p>
        </w:tc>
      </w:tr>
      <w:tr>
        <w:tc>
          <w:tcPr>
            <w:tcW w:type="dxa" w:w="700"/>
            <w:shd w:fill="F2F2F2" w:val="clear"/>
            <w:vAlign w:val="center"/>
          </w:tcPr>
          <w:p>
            <w:r>
              <w:rPr>
                <w:b w:val="false"/>
                <w:bCs w:val="false"/>
                <w:color w:val="000000"/>
                <w:sz w:val="17"/>
                <w:szCs w:val="17"/>
              </w:rPr>
              <w:t xml:space="preserve">WP-0002</w:t>
            </w:r>
          </w:p>
        </w:tc>
        <w:tc>
          <w:tcPr>
            <w:tcW w:type="dxa" w:w="1450"/>
            <w:shd w:fill="F2F2F2" w:val="clear"/>
            <w:vAlign w:val="center"/>
          </w:tcPr>
          <w:p>
            <w:r>
              <w:rPr>
                <w:b w:val="false"/>
                <w:bCs w:val="false"/>
                <w:color w:val="000000"/>
                <w:sz w:val="17"/>
                <w:szCs w:val="17"/>
              </w:rPr>
              <w:t xml:space="preserve">Approve for immediate execution</w:t>
            </w:r>
          </w:p>
        </w:tc>
        <w:tc>
          <w:tcPr>
            <w:tcW w:type="dxa" w:w="2100"/>
            <w:shd w:fill="F2F2F2" w:val="clear"/>
            <w:vAlign w:val="center"/>
          </w:tcPr>
          <w:p>
            <w:r>
              <w:rPr>
                <w:b w:val="false"/>
                <w:bCs w:val="false"/>
                <w:color w:val="000000"/>
                <w:sz w:val="17"/>
                <w:szCs w:val="17"/>
              </w:rPr>
              <w:t xml:space="preserve">EGD-0007 (Accepted, in progress); Phase A.1 §8 evidence</w:t>
            </w:r>
          </w:p>
        </w:tc>
        <w:tc>
          <w:tcPr>
            <w:tcW w:type="dxa" w:w="1500"/>
            <w:shd w:fill="F2F2F2" w:val="clear"/>
            <w:vAlign w:val="center"/>
          </w:tcPr>
          <w:p>
            <w:r>
              <w:rPr>
                <w:b w:val="false"/>
                <w:bCs w:val="false"/>
                <w:color w:val="000000"/>
                <w:sz w:val="17"/>
                <w:szCs w:val="17"/>
              </w:rPr>
              <w:t xml:space="preserve">None</w:t>
            </w:r>
          </w:p>
        </w:tc>
        <w:tc>
          <w:tcPr>
            <w:tcW w:type="dxa" w:w="1200"/>
            <w:shd w:fill="F2F2F2" w:val="clear"/>
            <w:vAlign w:val="center"/>
          </w:tcPr>
          <w:p>
            <w:r>
              <w:rPr>
                <w:b w:val="false"/>
                <w:bCs w:val="false"/>
                <w:color w:val="000000"/>
                <w:sz w:val="17"/>
                <w:szCs w:val="17"/>
              </w:rPr>
              <w:t xml:space="preserve">None</w:t>
            </w:r>
          </w:p>
        </w:tc>
        <w:tc>
          <w:tcPr>
            <w:tcW w:type="dxa" w:w="2400"/>
            <w:shd w:fill="F2F2F2" w:val="clear"/>
            <w:vAlign w:val="center"/>
          </w:tcPr>
          <w:p>
            <w:r>
              <w:rPr>
                <w:b w:val="false"/>
                <w:bCs w:val="false"/>
                <w:color w:val="000000"/>
                <w:sz w:val="17"/>
                <w:szCs w:val="17"/>
              </w:rPr>
              <w:t xml:space="preserve">Run query-based RLS verification on remaining table groups</w:t>
            </w:r>
          </w:p>
        </w:tc>
      </w:tr>
      <w:tr>
        <w:tc>
          <w:tcPr>
            <w:tcW w:type="dxa" w:w="700"/>
            <w:vAlign w:val="center"/>
          </w:tcPr>
          <w:p>
            <w:r>
              <w:rPr>
                <w:b w:val="false"/>
                <w:bCs w:val="false"/>
                <w:color w:val="000000"/>
                <w:sz w:val="17"/>
                <w:szCs w:val="17"/>
              </w:rPr>
              <w:t xml:space="preserve">WP-0003</w:t>
            </w:r>
          </w:p>
        </w:tc>
        <w:tc>
          <w:tcPr>
            <w:tcW w:type="dxa" w:w="1450"/>
            <w:vAlign w:val="center"/>
          </w:tcPr>
          <w:p>
            <w:r>
              <w:rPr>
                <w:b w:val="false"/>
                <w:bCs w:val="false"/>
                <w:color w:val="000000"/>
                <w:sz w:val="17"/>
                <w:szCs w:val="17"/>
              </w:rPr>
              <w:t xml:space="preserve">Hold — monitor only</w:t>
            </w:r>
          </w:p>
        </w:tc>
        <w:tc>
          <w:tcPr>
            <w:tcW w:type="dxa" w:w="2100"/>
            <w:vAlign w:val="center"/>
          </w:tcPr>
          <w:p>
            <w:r>
              <w:rPr>
                <w:b w:val="false"/>
                <w:bCs w:val="false"/>
                <w:color w:val="000000"/>
                <w:sz w:val="17"/>
                <w:szCs w:val="17"/>
              </w:rPr>
              <w:t xml:space="preserve">EGD-0004 (Deferred); Phase A.3 §1.8</w:t>
            </w:r>
          </w:p>
        </w:tc>
        <w:tc>
          <w:tcPr>
            <w:tcW w:type="dxa" w:w="1500"/>
            <w:vAlign w:val="center"/>
          </w:tcPr>
          <w:p>
            <w:r>
              <w:rPr>
                <w:b w:val="false"/>
                <w:bCs w:val="false"/>
                <w:color w:val="000000"/>
                <w:sz w:val="17"/>
                <w:szCs w:val="17"/>
              </w:rPr>
              <w:t xml:space="preserve">External row-count/growth data</w:t>
            </w:r>
          </w:p>
        </w:tc>
        <w:tc>
          <w:tcPr>
            <w:tcW w:type="dxa" w:w="1200"/>
            <w:vAlign w:val="center"/>
          </w:tcPr>
          <w:p>
            <w:r>
              <w:rPr>
                <w:b w:val="false"/>
                <w:bCs w:val="false"/>
                <w:color w:val="000000"/>
                <w:sz w:val="17"/>
                <w:szCs w:val="17"/>
              </w:rPr>
              <w:t xml:space="preserve">Trigger not yet fired</w:t>
            </w:r>
          </w:p>
        </w:tc>
        <w:tc>
          <w:tcPr>
            <w:tcW w:type="dxa" w:w="2400"/>
            <w:vAlign w:val="center"/>
          </w:tcPr>
          <w:p>
            <w:r>
              <w:rPr>
                <w:b w:val="false"/>
                <w:bCs w:val="false"/>
                <w:color w:val="000000"/>
                <w:sz w:val="17"/>
                <w:szCs w:val="17"/>
              </w:rPr>
              <w:t xml:space="preserve">Gather row-count/growth data; continue quarterly monitoring</w:t>
            </w:r>
          </w:p>
        </w:tc>
      </w:tr>
      <w:tr>
        <w:tc>
          <w:tcPr>
            <w:tcW w:type="dxa" w:w="700"/>
            <w:shd w:fill="F2F2F2" w:val="clear"/>
            <w:vAlign w:val="center"/>
          </w:tcPr>
          <w:p>
            <w:r>
              <w:rPr>
                <w:b w:val="false"/>
                <w:bCs w:val="false"/>
                <w:color w:val="000000"/>
                <w:sz w:val="17"/>
                <w:szCs w:val="17"/>
              </w:rPr>
              <w:t xml:space="preserve">WP-0004</w:t>
            </w:r>
          </w:p>
        </w:tc>
        <w:tc>
          <w:tcPr>
            <w:tcW w:type="dxa" w:w="1450"/>
            <w:shd w:fill="F2F2F2" w:val="clear"/>
            <w:vAlign w:val="center"/>
          </w:tcPr>
          <w:p>
            <w:r>
              <w:rPr>
                <w:b w:val="false"/>
                <w:bCs w:val="false"/>
                <w:color w:val="000000"/>
                <w:sz w:val="17"/>
                <w:szCs w:val="17"/>
              </w:rPr>
              <w:t xml:space="preserve">Approve for Wave 2 execution</w:t>
            </w:r>
          </w:p>
        </w:tc>
        <w:tc>
          <w:tcPr>
            <w:tcW w:type="dxa" w:w="2100"/>
            <w:shd w:fill="F2F2F2" w:val="clear"/>
            <w:vAlign w:val="center"/>
          </w:tcPr>
          <w:p>
            <w:r>
              <w:rPr>
                <w:b w:val="false"/>
                <w:bCs w:val="false"/>
                <w:color w:val="000000"/>
                <w:sz w:val="17"/>
                <w:szCs w:val="17"/>
              </w:rPr>
              <w:t xml:space="preserve">EGD-0003 (Accepted, conditional); Phase A.3 §4</w:t>
            </w:r>
          </w:p>
        </w:tc>
        <w:tc>
          <w:tcPr>
            <w:tcW w:type="dxa" w:w="1500"/>
            <w:shd w:fill="F2F2F2" w:val="clear"/>
            <w:vAlign w:val="center"/>
          </w:tcPr>
          <w:p>
            <w:r>
              <w:rPr>
                <w:b w:val="false"/>
                <w:bCs w:val="false"/>
                <w:color w:val="000000"/>
                <w:sz w:val="17"/>
                <w:szCs w:val="17"/>
              </w:rPr>
              <w:t xml:space="preserve">WP-0001 (optional, non-blocking)</w:t>
            </w:r>
          </w:p>
        </w:tc>
        <w:tc>
          <w:tcPr>
            <w:tcW w:type="dxa" w:w="1200"/>
            <w:shd w:fill="F2F2F2" w:val="clear"/>
            <w:vAlign w:val="center"/>
          </w:tcPr>
          <w:p>
            <w:r>
              <w:rPr>
                <w:b w:val="false"/>
                <w:bCs w:val="false"/>
                <w:color w:val="000000"/>
                <w:sz w:val="17"/>
                <w:szCs w:val="17"/>
              </w:rPr>
              <w:t xml:space="preserve">None</w:t>
            </w:r>
          </w:p>
        </w:tc>
        <w:tc>
          <w:tcPr>
            <w:tcW w:type="dxa" w:w="2400"/>
            <w:shd w:fill="F2F2F2" w:val="clear"/>
            <w:vAlign w:val="center"/>
          </w:tcPr>
          <w:p>
            <w:r>
              <w:rPr>
                <w:b w:val="false"/>
                <w:bCs w:val="false"/>
                <w:color w:val="000000"/>
                <w:sz w:val="17"/>
                <w:szCs w:val="17"/>
              </w:rPr>
              <w:t xml:space="preserve">Publish taxonomy pattern documentation; stand up per-release check</w:t>
            </w:r>
          </w:p>
        </w:tc>
      </w:tr>
      <w:tr>
        <w:tc>
          <w:tcPr>
            <w:tcW w:type="dxa" w:w="700"/>
            <w:vAlign w:val="center"/>
          </w:tcPr>
          <w:p>
            <w:r>
              <w:rPr>
                <w:b w:val="false"/>
                <w:bCs w:val="false"/>
                <w:color w:val="000000"/>
                <w:sz w:val="17"/>
                <w:szCs w:val="17"/>
              </w:rPr>
              <w:t xml:space="preserve">WP-0005</w:t>
            </w:r>
          </w:p>
        </w:tc>
        <w:tc>
          <w:tcPr>
            <w:tcW w:type="dxa" w:w="1450"/>
            <w:vAlign w:val="center"/>
          </w:tcPr>
          <w:p>
            <w:r>
              <w:rPr>
                <w:b w:val="false"/>
                <w:bCs w:val="false"/>
                <w:color w:val="000000"/>
                <w:sz w:val="17"/>
                <w:szCs w:val="17"/>
              </w:rPr>
              <w:t xml:space="preserve">Approve for Wave 2 execution</w:t>
            </w:r>
          </w:p>
        </w:tc>
        <w:tc>
          <w:tcPr>
            <w:tcW w:type="dxa" w:w="2100"/>
            <w:vAlign w:val="center"/>
          </w:tcPr>
          <w:p>
            <w:r>
              <w:rPr>
                <w:b w:val="false"/>
                <w:bCs w:val="false"/>
                <w:color w:val="000000"/>
                <w:sz w:val="17"/>
                <w:szCs w:val="17"/>
              </w:rPr>
              <w:t xml:space="preserve">EGD-0007 (same disposition as WP-0002); Phase A.3 §8</w:t>
            </w:r>
          </w:p>
        </w:tc>
        <w:tc>
          <w:tcPr>
            <w:tcW w:type="dxa" w:w="1500"/>
            <w:vAlign w:val="center"/>
          </w:tcPr>
          <w:p>
            <w:r>
              <w:rPr>
                <w:b w:val="false"/>
                <w:bCs w:val="false"/>
                <w:color w:val="000000"/>
                <w:sz w:val="17"/>
                <w:szCs w:val="17"/>
              </w:rPr>
              <w:t xml:space="preserve">WP-0002 (optional, non-blocking)</w:t>
            </w:r>
          </w:p>
        </w:tc>
        <w:tc>
          <w:tcPr>
            <w:tcW w:type="dxa" w:w="1200"/>
            <w:vAlign w:val="center"/>
          </w:tcPr>
          <w:p>
            <w:r>
              <w:rPr>
                <w:b w:val="false"/>
                <w:bCs w:val="false"/>
                <w:color w:val="000000"/>
                <w:sz w:val="17"/>
                <w:szCs w:val="17"/>
              </w:rPr>
              <w:t xml:space="preserve">None</w:t>
            </w:r>
          </w:p>
        </w:tc>
        <w:tc>
          <w:tcPr>
            <w:tcW w:type="dxa" w:w="2400"/>
            <w:vAlign w:val="center"/>
          </w:tcPr>
          <w:p>
            <w:r>
              <w:rPr>
                <w:b w:val="false"/>
                <w:bCs w:val="false"/>
                <w:color w:val="000000"/>
                <w:sz w:val="17"/>
                <w:szCs w:val="17"/>
              </w:rPr>
              <w:t xml:space="preserve">Perform column-level access review</w:t>
            </w:r>
          </w:p>
        </w:tc>
      </w:tr>
      <w:tr>
        <w:tc>
          <w:tcPr>
            <w:tcW w:type="dxa" w:w="700"/>
            <w:shd w:fill="F2F2F2" w:val="clear"/>
            <w:vAlign w:val="center"/>
          </w:tcPr>
          <w:p>
            <w:r>
              <w:rPr>
                <w:b w:val="false"/>
                <w:bCs w:val="false"/>
                <w:color w:val="000000"/>
                <w:sz w:val="17"/>
                <w:szCs w:val="17"/>
              </w:rPr>
              <w:t xml:space="preserve">WP-0006</w:t>
            </w:r>
          </w:p>
        </w:tc>
        <w:tc>
          <w:tcPr>
            <w:tcW w:type="dxa" w:w="1450"/>
            <w:shd w:fill="F2F2F2" w:val="clear"/>
            <w:vAlign w:val="center"/>
          </w:tcPr>
          <w:p>
            <w:r>
              <w:rPr>
                <w:b w:val="false"/>
                <w:bCs w:val="false"/>
                <w:color w:val="000000"/>
                <w:sz w:val="17"/>
                <w:szCs w:val="17"/>
              </w:rPr>
              <w:t xml:space="preserve">Approve for immediate execution</w:t>
            </w:r>
          </w:p>
        </w:tc>
        <w:tc>
          <w:tcPr>
            <w:tcW w:type="dxa" w:w="2100"/>
            <w:shd w:fill="F2F2F2" w:val="clear"/>
            <w:vAlign w:val="center"/>
          </w:tcPr>
          <w:p>
            <w:r>
              <w:rPr>
                <w:b w:val="false"/>
                <w:bCs w:val="false"/>
                <w:color w:val="000000"/>
                <w:sz w:val="17"/>
                <w:szCs w:val="17"/>
              </w:rPr>
              <w:t xml:space="preserve">AP-009 (Phase A.2 §12 finding); Phase A.3 §9</w:t>
            </w:r>
          </w:p>
        </w:tc>
        <w:tc>
          <w:tcPr>
            <w:tcW w:type="dxa" w:w="1500"/>
            <w:shd w:fill="F2F2F2" w:val="clear"/>
            <w:vAlign w:val="center"/>
          </w:tcPr>
          <w:p>
            <w:r>
              <w:rPr>
                <w:b w:val="false"/>
                <w:bCs w:val="false"/>
                <w:color w:val="000000"/>
                <w:sz w:val="17"/>
                <w:szCs w:val="17"/>
              </w:rPr>
              <w:t xml:space="preserve">None</w:t>
            </w:r>
          </w:p>
        </w:tc>
        <w:tc>
          <w:tcPr>
            <w:tcW w:type="dxa" w:w="1200"/>
            <w:shd w:fill="F2F2F2" w:val="clear"/>
            <w:vAlign w:val="center"/>
          </w:tcPr>
          <w:p>
            <w:r>
              <w:rPr>
                <w:b w:val="false"/>
                <w:bCs w:val="false"/>
                <w:color w:val="000000"/>
                <w:sz w:val="17"/>
                <w:szCs w:val="17"/>
              </w:rPr>
              <w:t xml:space="preserve">None</w:t>
            </w:r>
          </w:p>
        </w:tc>
        <w:tc>
          <w:tcPr>
            <w:tcW w:type="dxa" w:w="2400"/>
            <w:shd w:fill="F2F2F2" w:val="clear"/>
            <w:vAlign w:val="center"/>
          </w:tcPr>
          <w:p>
            <w:r>
              <w:rPr>
                <w:b w:val="false"/>
                <w:bCs w:val="false"/>
                <w:color w:val="000000"/>
                <w:sz w:val="17"/>
                <w:szCs w:val="17"/>
              </w:rPr>
              <w:t xml:space="preserve">Name the five roles per Phase B §9 without delay</w:t>
            </w:r>
          </w:p>
        </w:tc>
      </w:tr>
    </w:tbl>
    <w:p>
      <w:pPr>
        <w:pStyle w:val="Heading1"/>
        <w:spacing w:after="200" w:before="400"/>
      </w:pPr>
      <w:r>
        <w:t xml:space="preserve">14. Executive Summary</w:t>
      </w:r>
    </w:p>
    <w:p>
      <w:pPr>
        <w:pStyle w:val="Heading2"/>
        <w:spacing w:after="150" w:before="300"/>
      </w:pPr>
      <w:r>
        <w:t xml:space="preserve">Overall Realization Maturity</w:t>
      </w:r>
    </w:p>
    <w:p>
      <w:pPr>
        <w:spacing w:after="150"/>
      </w:pPr>
      <w:r>
        <w:t xml:space="preserve">ERP-01 Phase C has produced a complete, ten-section engineering execution governance framework — execution strategy, engineering catalog, repository impact, engineering design, implementation blueprint, architecture conformance, testing and verification strategy, risk-control matrix, acceptance criteria, and this executive dashboard — for all six approved Work Packages. Realization maturity is Defined but not yet Realized: every Work Package is fully specified, and none has been executed.</w:t>
      </w:r>
    </w:p>
    <w:p>
      <w:pPr>
        <w:pStyle w:val="Heading2"/>
        <w:spacing w:after="150" w:before="300"/>
      </w:pPr>
      <w:r>
        <w:t xml:space="preserve">Engineering Maturity</w:t>
      </w:r>
    </w:p>
    <w:p>
      <w:pPr>
        <w:spacing w:after="150"/>
      </w:pPr>
      <w:r>
        <w:t xml:space="preserve">Engineering Design (Section 4) and Implementation Blueprint (Section 5) are complete and ready for all six Work Packages. Engineering maturity is high in specification and zero in execution — a gap this program has consistently reported rather than obscured.</w:t>
      </w:r>
    </w:p>
    <w:p>
      <w:pPr>
        <w:pStyle w:val="Heading2"/>
        <w:spacing w:after="150" w:before="300"/>
      </w:pPr>
      <w:r>
        <w:t xml:space="preserve">Governance Maturity</w:t>
      </w:r>
    </w:p>
    <w:p>
      <w:pPr>
        <w:spacing w:after="150"/>
      </w:pPr>
      <w:r>
        <w:t xml:space="preserve">Governance maturity is Managed (Phase A.3 §12): a real, repeatable disposition process exists and every requirement has an explicit EGD, but the process remains reactive rather than a standing practice, and zero of nine governance decisions carry an accountable owner today.</w:t>
      </w:r>
    </w:p>
    <w:p>
      <w:pPr>
        <w:pStyle w:val="Heading2"/>
        <w:spacing w:after="150" w:before="300"/>
      </w:pPr>
      <w:r>
        <w:t xml:space="preserve">Repository Maturity</w:t>
      </w:r>
    </w:p>
    <w:p>
      <w:pPr>
        <w:spacing w:after="150"/>
      </w:pPr>
      <w:r>
        <w:t xml:space="preserve">Repository readiness is exact and sound within its evidenced scope — Documentation, Database, and Test only — with no integrity or engineering-quality blocker found independently of Phase A conformance (Phase A.1 §15).</w:t>
      </w:r>
    </w:p>
    <w:p>
      <w:pPr>
        <w:pStyle w:val="Heading2"/>
        <w:spacing w:after="150" w:before="300"/>
      </w:pPr>
      <w:r>
        <w:t xml:space="preserve">Verification Maturity</w:t>
      </w:r>
    </w:p>
    <w:p>
      <w:pPr>
        <w:spacing w:after="150"/>
      </w:pPr>
      <w:r>
        <w:t xml:space="preserve">All six verification methods are fully specified and, for WP-0002, immediately executable. No verification activity has yet been performed against any of the six Work Packages.</w:t>
      </w:r>
    </w:p>
    <w:p>
      <w:pPr>
        <w:pStyle w:val="Heading2"/>
        <w:spacing w:after="150" w:before="300"/>
      </w:pPr>
      <w:r>
        <w:t xml:space="preserve">Risk Posture</w:t>
      </w:r>
    </w:p>
    <w:p>
      <w:pPr>
        <w:spacing w:after="150"/>
      </w:pPr>
      <w:r>
        <w:t xml:space="preserve">The baseline carries one Critical governance risk (unassigned ownership), two High-rated risks (documentation drift, unverified RLS), and three Medium or latent risks — every one of which already has an assigned Work Package or monitoring cadence as its mitigation.</w:t>
      </w:r>
    </w:p>
    <w:p>
      <w:pPr>
        <w:pStyle w:val="Heading2"/>
        <w:spacing w:after="150" w:before="300"/>
      </w:pPr>
      <w:r>
        <w:t xml:space="preserve">Acceptance Maturity</w:t>
      </w:r>
    </w:p>
    <w:p>
      <w:pPr>
        <w:spacing w:after="150"/>
      </w:pPr>
      <w:r>
        <w:t xml:space="preserve">Acceptance criteria are fully defined for all six Work Packages (Section 9); zero have been formally accepted. Acceptance maturity mirrors engineering and verification maturity exactly: complete in specification, pending in execution.</w:t>
      </w:r>
    </w:p>
    <w:p>
      <w:pPr>
        <w:pStyle w:val="Heading2"/>
        <w:spacing w:after="150" w:before="300"/>
      </w:pPr>
      <w:r>
        <w:t xml:space="preserve">Certification Readiness</w:t>
      </w:r>
    </w:p>
    <w:p>
      <w:pPr>
        <w:spacing w:after="150"/>
      </w:pPr>
      <w:r>
        <w:t xml:space="preserve">Certification Level L3 (Implementation Traceable) is MET. L4 (Implementation Verified) is NOT MET, pending WP-0001 and WP-0002. L5 (Architecture Certified) is NOT MET, pending L4 and a future closed-loop re-assessment.</w:t>
      </w:r>
    </w:p>
    <w:p>
      <w:pPr>
        <w:pStyle w:val="Heading2"/>
        <w:spacing w:after="150" w:before="300"/>
      </w:pPr>
      <w:r>
        <w:t xml:space="preserve">Executive Confidence</w:t>
      </w:r>
    </w:p>
    <w:p>
      <w:pPr>
        <w:spacing w:after="150"/>
      </w:pPr>
      <w:r>
        <w:rPr>
          <w:b/>
          <w:bCs/>
        </w:rPr>
        <w:t xml:space="preserve">READY WITH CONDITIONS.</w:t>
      </w:r>
    </w:p>
    <w:p>
      <w:pPr>
        <w:spacing w:after="150"/>
      </w:pPr>
      <w:r>
        <w:t xml:space="preserve">ERP-01 Phase C now provides a complete engineering execution governance framework translating the approved enterprise architecture into an executable, traceable, measurable, and governable implementation program. Every dimension of readiness — architecture, engineering, repository, governance, verification, risk, and acceptance — converges on a single, consistent, and already well-understood condition: named, accountable ownership (KPI-08) has not yet been assigned. Once WP-0006 closes this gap, Wave 1 and Wave 2 can proceed to execution, verification, and acceptance immediately against the criteria this program has already established, with Wave 3 continuing under trigger-based monitoring until EGD-0004's threshold is met. No further architecture, engineering, governance, or risk analysis is required to begin execution — only the assignment of the five named roles Phase B §9 already identifies.</w:t>
      </w:r>
    </w:p>
    <w:p>
      <w:pPr>
        <w:spacing w:before="300"/>
      </w:pPr>
      <w:r>
        <w:rPr>
          <w:b/>
          <w:bCs/>
          <w:i/>
          <w:iCs/>
        </w:rPr>
        <w:t xml:space="preserve">This document is the authoritative Executive Engineering Dashboard Repository for ERP-01 Phase C, and completes all ten canonical sections of the Enterprise Work Package Architecture &amp; Execution Planning Repository. It introduces no new Work Package, Architecture Requirement, Enterprise Governance Decision, Enterprise Resolution, Variance, KPI, engineering metric, readiness score, executive authority, or certification level beyond those already approved in Phase A.1–A.3, Phase B, and Phase C Sections 1–9.</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ERP-01 Phase C — Section 10 — Executive Engineering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180" w:before="360"/>
    </w:pPr>
    <w:rPr>
      <w:rFonts w:ascii="Calibri" w:cs="Calibri" w:eastAsia="Calibri" w:hAnsi="Calibri"/>
      <w:b/>
      <w:bCs/>
      <w:color w:val="1F3864"/>
      <w:sz w:val="28"/>
      <w:szCs w:val="28"/>
    </w:rPr>
  </w:style>
  <w:style w:type="paragraph" w:styleId="Heading2">
    <w:name w:val="Heading 2"/>
    <w:basedOn w:val="Normal"/>
    <w:next w:val="Normal"/>
    <w:qFormat/>
    <w:pPr>
      <w:spacing w:after="140" w:before="260"/>
    </w:pPr>
    <w:rPr>
      <w:rFonts w:ascii="Calibri" w:cs="Calibri" w:eastAsia="Calibri" w:hAnsi="Calibri"/>
      <w:b/>
      <w:bCs/>
      <w:color w:val="2E5395"/>
      <w:sz w:val="24"/>
      <w:szCs w:val="24"/>
    </w:rPr>
  </w:style>
  <w:style w:type="paragraph" w:styleId="Heading3">
    <w:name w:val="Heading 3"/>
    <w:basedOn w:val="Normal"/>
    <w:next w:val="Normal"/>
    <w:qFormat/>
    <w:pPr>
      <w:spacing w:after="100" w:before="180"/>
    </w:pPr>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2026-07-09T18:28:22.370Z</dcterms:created>
  <dcterms:modified xsi:type="dcterms:W3CDTF">2026-07-09T18:28:22.371Z</dcterms:modified>
</cp:coreProperties>
</file>

<file path=docProps/custom.xml><?xml version="1.0" encoding="utf-8"?>
<Properties xmlns="http://schemas.openxmlformats.org/officeDocument/2006/custom-properties" xmlns:vt="http://schemas.openxmlformats.org/officeDocument/2006/docPropsVTypes"/>
</file>