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ERP-01 — Phase C</w:t>
      </w:r>
    </w:p>
    <w:p>
      <w:pPr>
        <w:pStyle w:val="Heading1"/>
        <w:spacing w:after="60"/>
      </w:pPr>
      <w:r>
        <w:t xml:space="preserve">Section 1 — Enterprise Work Package Execution Strategy</w:t>
      </w:r>
    </w:p>
    <w:p>
      <w:pPr>
        <w:spacing w:after="200"/>
      </w:pPr>
      <w:r>
        <w:rPr>
          <w:i/>
          <w:iCs/>
          <w:sz w:val="24"/>
          <w:szCs w:val="24"/>
        </w:rPr>
        <w:t xml:space="preserve">HireRise Career Intelligence Platform</w:t>
      </w:r>
    </w:p>
    <w:p>
      <w:pPr>
        <w:spacing w:after="160"/>
      </w:pPr>
      <w:r>
        <w:rPr>
          <w:b w:val="false"/>
          <w:bCs w:val="false"/>
          <w:i/>
          <w:iCs/>
        </w:rPr>
        <w:t xml:space="preserve">Version 1.0 | Status: DRAFT FOR REVIEW</w:t>
      </w:r>
    </w:p>
    <w:p>
      <w:pPr>
        <w:spacing w:after="160"/>
      </w:pPr>
      <w:r>
        <w:rPr>
          <w:b w:val="false"/>
          <w:bCs w:val="false"/>
          <w:i/>
          <w:iCs/>
        </w:rPr>
        <w:t xml:space="preserve">Authoritative inputs: ERP-01 Phase A.3 — Enterprise Architecture Baseline &amp; Resolution Repository; ERP-01 Phase B — Enterprise Architecture Realization Roadmap &amp; Portfolio Plan. No repository re-inspection and no re-governance was performed to produce this document.</w:t>
      </w:r>
    </w:p>
    <w:p>
      <w:pPr>
        <w:pStyle w:val="Heading2"/>
        <w:spacing w:after="140" w:before="300"/>
      </w:pPr>
      <w:r>
        <w:t xml:space="preserve">A Note on Scope and Evidence</w:t>
      </w:r>
    </w:p>
    <w:p>
      <w:pPr>
        <w:spacing w:after="160"/>
      </w:pPr>
      <w:r>
        <w:rPr>
          <w:b w:val="false"/>
          <w:bCs w:val="false"/>
          <w:i w:val="false"/>
          <w:iCs w:val="false"/>
        </w:rPr>
        <w:t xml:space="preserve">This document governs execution of exactly what Phase A.3 and Phase B established, and nothing more: 10 Architecture Requirements (AR-0001–0010), 9 Enterprise Governance Decisions (EGD-0001–0009), 10 Enterprise Resolutions (ER-0001–0010), 4 approved Variances (VAR-01–04), and 6 Work Packages (WP-0001–0006), all within a single domain — the student-academic physical data model — sequenced across three currently-active portfolios (Enterprise Data Platform, Enterprise Security, Governance &amp; Quality) per Phase B §3.</w:t>
      </w:r>
    </w:p>
    <w:p>
      <w:pPr>
        <w:spacing w:after="160"/>
      </w:pPr>
      <w:r>
        <w:rPr>
          <w:b w:val="false"/>
          <w:bCs w:val="false"/>
          <w:i w:val="false"/>
          <w:iCs w:val="false"/>
        </w:rPr>
        <w:t xml:space="preserve">Five portfolios the ERP-01 Phase C master template anticipates as active (Enterprise AI, Business Capabilities, Knowledge Platform, Integration Platform, Operations &amp; Observability) remain named, numbered, and structurally reserved per Phase B §3, carrying zero approved Work Packages. Waves 4–5 are likewise reserved per Phase B §5. This document does not issue execution guidance for any of them — doing so would fabricate implementation authority the approved repositories do not support.</w:t>
      </w:r>
    </w:p>
    <w:p>
      <w:pPr>
        <w:spacing w:after="160"/>
      </w:pPr>
      <w:r>
        <w:rPr>
          <w:b w:val="false"/>
          <w:bCs w:val="false"/>
          <w:i w:val="false"/>
          <w:iCs w:val="false"/>
        </w:rPr>
        <w:t xml:space="preserve">One correction carried forward unchanged from Phase A.2 and Phase A.3: EEP-02 Phases A–H do not exist in the repository, and Phases I–J exist only as unratified working drafts. Nothing in this strategy cites EEP-02 as approved architecture or evidence.</w:t>
      </w:r>
    </w:p>
    <w:p>
      <w:pPr>
        <w:spacing w:after="160"/>
      </w:pPr>
      <w:r>
        <w:rPr>
          <w:b w:val="false"/>
          <w:bCs w:val="false"/>
          <w:i w:val="false"/>
          <w:iCs w:val="false"/>
        </w:rPr>
        <w:t xml:space="preserve">Wherever the master Phase C template assumes enterprise-wide, all-domain coverage — AI implementation, integration architecture, business-capability execution, dedicated QA/DevOps/AI-engineering functions — this document marks that content Reserved for Future Realization Phases rather than treating it as already approved, per this program's own AP-002 (repository evidence governs), AP-006 (every gap requires an explicit disposition), and AP-007 (no undocumented variance).</w:t>
      </w:r>
    </w:p>
    <w:p>
      <w:pPr>
        <w:pStyle w:val="Heading1"/>
        <w:spacing w:after="180" w:before="360"/>
      </w:pPr>
      <w:r>
        <w:t xml:space="preserve">1. Executive Overview</w:t>
      </w:r>
    </w:p>
    <w:p>
      <w:pPr>
        <w:pStyle w:val="Heading3"/>
        <w:spacing w:after="100" w:before="220"/>
      </w:pPr>
      <w:r>
        <w:t xml:space="preserve">Purpose</w:t>
      </w:r>
    </w:p>
    <w:p>
      <w:pPr>
        <w:spacing w:after="160"/>
      </w:pPr>
      <w:r>
        <w:rPr>
          <w:b w:val="false"/>
          <w:bCs w:val="false"/>
          <w:i w:val="false"/>
          <w:iCs w:val="false"/>
        </w:rPr>
        <w:t xml:space="preserve">Establish the governing engineering principles for executing the six Work Packages (WP-0001–WP-0006) that carry approved Architecture Requirement / Enterprise Governance Decision backing as of ERP-01 Phase A.3. This is an execution-principles document, not a new architecture or a new disposition; it introduces no new AR, EGD, ER, VAR, WP, or KPI identifiers.</w:t>
      </w:r>
    </w:p>
    <w:p>
      <w:pPr>
        <w:pStyle w:val="Heading3"/>
        <w:spacing w:after="100" w:before="220"/>
      </w:pPr>
      <w:r>
        <w:t xml:space="preserve">Relationship with the Approved Enterprise Architecture</w:t>
      </w:r>
    </w:p>
    <w:p>
      <w:pPr>
        <w:spacing w:after="160"/>
      </w:pPr>
      <w:r>
        <w:rPr>
          <w:b w:val="false"/>
          <w:bCs w:val="false"/>
          <w:i w:val="false"/>
          <w:iCs w:val="false"/>
        </w:rPr>
        <w:t xml:space="preserve">This strategy governs execution against the live, approved architecture baseline established in Phase A.3 — the independently-engineered public-schema student-academic data model — not against EEP-01 Phase A's original canonical design (academic_domain schema, 26 tables), which EGD-0002 formally supersedes pending WP-0001's documentation revision.</w:t>
      </w:r>
    </w:p>
    <w:p>
      <w:pPr>
        <w:pStyle w:val="Heading3"/>
        <w:spacing w:after="100" w:before="220"/>
      </w:pPr>
      <w:r>
        <w:t xml:space="preserve">Relationship with ERP-01 Phase B</w:t>
      </w:r>
    </w:p>
    <w:p>
      <w:pPr>
        <w:spacing w:after="160"/>
      </w:pPr>
      <w:r>
        <w:rPr>
          <w:b w:val="false"/>
          <w:bCs w:val="false"/>
          <w:i w:val="false"/>
          <w:iCs w:val="false"/>
        </w:rPr>
        <w:t xml:space="preserve">Phase B defined what would be delivered (6 Work Packages) and when (Waves 1–3, across 3 active portfolios). This document defines how: the engineering principles, governance checkpoints, and evidence standards that apply uniformly to every one of those six Work Packages, regardless of which portfolio or wave they sit in.</w:t>
      </w:r>
    </w:p>
    <w:p>
      <w:pPr>
        <w:pStyle w:val="Heading3"/>
        <w:spacing w:after="100" w:before="220"/>
      </w:pPr>
      <w:r>
        <w:t xml:space="preserve">Strategic Objectives</w:t>
      </w:r>
    </w:p>
    <w:p>
      <w:pPr>
        <w:pStyle w:val="ListParagraph"/>
        <w:numPr>
          <w:ilvl w:val="0"/>
          <w:numId w:val="1"/>
        </w:numPr>
        <w:spacing w:after="80"/>
      </w:pPr>
      <w:r>
        <w:t xml:space="preserve">Execute Wave 1 (WP-0006 — assign named owners; WP-0002 — verify RLS coverage) in parallel with zero rework, per Phase B §5 and §7.</w:t>
      </w:r>
    </w:p>
    <w:p>
      <w:pPr>
        <w:pStyle w:val="ListParagraph"/>
        <w:numPr>
          <w:ilvl w:val="0"/>
          <w:numId w:val="1"/>
        </w:numPr>
        <w:spacing w:after="80"/>
      </w:pPr>
      <w:r>
        <w:t xml:space="preserve">Advance Certification from L3 (Implementation Traceable) to L4 (Implementation Verified) via WP-0001 and WP-0002, per Phase A.3 §11.</w:t>
      </w:r>
    </w:p>
    <w:p>
      <w:pPr>
        <w:pStyle w:val="ListParagraph"/>
        <w:numPr>
          <w:ilvl w:val="0"/>
          <w:numId w:val="1"/>
        </w:numPr>
        <w:spacing w:after="80"/>
      </w:pPr>
      <w:r>
        <w:t xml:space="preserve">Preserve the four correctly-deferred items (EGD-0001, EGD-0004, EGD-0005, EGD-0006 / VAR-01, VAR-03, VAR-04) as monitored, trigger-gated items — not neglected and not re-litigated.</w:t>
      </w:r>
    </w:p>
    <w:p>
      <w:pPr>
        <w:pStyle w:val="ListParagraph"/>
        <w:numPr>
          <w:ilvl w:val="0"/>
          <w:numId w:val="1"/>
        </w:numPr>
        <w:spacing w:after="80"/>
      </w:pPr>
      <w:r>
        <w:t xml:space="preserve">Hold Portfolios 3–7 and Waves 4–5 open and unpopulated until a future ERP-01 phase produces their own AR/EGD evidence.</w:t>
      </w:r>
    </w:p>
    <w:p>
      <w:pPr>
        <w:pStyle w:val="Heading3"/>
        <w:spacing w:after="100" w:before="220"/>
      </w:pPr>
      <w:r>
        <w:t xml:space="preserve">Intended Audience</w:t>
      </w:r>
    </w:p>
    <w:p>
      <w:pPr>
        <w:spacing w:after="160"/>
      </w:pPr>
      <w:r>
        <w:rPr>
          <w:b w:val="false"/>
          <w:bCs w:val="false"/>
          <w:i w:val="false"/>
          <w:iCs w:val="false"/>
        </w:rPr>
        <w:t xml:space="preserve">The five roles named in Phase B §9 — Enterprise Architecture Owner, Data Governance Owner, Platform Engineering Lead, Security/Platform Engineer, and Executive Sponsor / Governance Board — all currently unassigned (KPI-08 = 0%) pending WP-0006. This document is written to be actionable by those roles the moment they are named.</w:t>
      </w:r>
    </w:p>
    <w:p>
      <w:pPr>
        <w:pStyle w:val="Heading3"/>
        <w:spacing w:after="100" w:before="220"/>
      </w:pPr>
      <w: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2937" w:val="clear"/>
            <w:tcMar>
              <w:top w:type="dxa" w:w="80"/>
              <w:left w:type="dxa" w:w="100"/>
              <w:bottom w:type="dxa" w:w="80"/>
              <w:right w:type="dxa" w:w="100"/>
            </w:tcMar>
          </w:tcPr>
          <w:p>
            <w:r>
              <w:rPr>
                <w:b/>
                <w:bCs/>
                <w:i w:val="false"/>
                <w:iCs w:val="false"/>
                <w:color w:val="FFFFFF"/>
                <w:sz w:val="18"/>
                <w:szCs w:val="18"/>
              </w:rPr>
              <w:t xml:space="preserve">Scope Category</w:t>
            </w:r>
          </w:p>
        </w:tc>
        <w:tc>
          <w:tcPr>
            <w:tcW w:type="dxa" w:w="6200"/>
            <w:shd w:fill="1F2937" w:val="clear"/>
            <w:tcMar>
              <w:top w:type="dxa" w:w="80"/>
              <w:left w:type="dxa" w:w="100"/>
              <w:bottom w:type="dxa" w:w="80"/>
              <w:right w:type="dxa" w:w="100"/>
            </w:tcMar>
          </w:tcPr>
          <w:p>
            <w:r>
              <w:rPr>
                <w:b/>
                <w:bCs/>
                <w:i w:val="false"/>
                <w:iCs w:val="false"/>
                <w:color w:val="FFFFFF"/>
                <w:sz w:val="18"/>
                <w:szCs w:val="18"/>
              </w:rPr>
              <w:t xml:space="preserve">Content</w:t>
            </w:r>
          </w:p>
        </w:tc>
      </w:tr>
      <w:tr>
        <w:tc>
          <w:tcPr>
            <w:tcW w:type="dxa" w:w="2800"/>
            <w:tcMar>
              <w:top w:type="dxa" w:w="80"/>
              <w:left w:type="dxa" w:w="100"/>
              <w:bottom w:type="dxa" w:w="80"/>
              <w:right w:type="dxa" w:w="100"/>
            </w:tcMar>
          </w:tcPr>
          <w:p>
            <w:r>
              <w:rPr>
                <w:b w:val="false"/>
                <w:bCs w:val="false"/>
                <w:i w:val="false"/>
                <w:iCs w:val="false"/>
                <w:color w:val="000000"/>
                <w:sz w:val="18"/>
                <w:szCs w:val="18"/>
              </w:rPr>
              <w:t xml:space="preserve">In scope (normative)</w:t>
            </w:r>
          </w:p>
        </w:tc>
        <w:tc>
          <w:tcPr>
            <w:tcW w:type="dxa" w:w="6200"/>
            <w:tcMar>
              <w:top w:type="dxa" w:w="80"/>
              <w:left w:type="dxa" w:w="100"/>
              <w:bottom w:type="dxa" w:w="80"/>
              <w:right w:type="dxa" w:w="100"/>
            </w:tcMar>
          </w:tcPr>
          <w:p>
            <w:r>
              <w:rPr>
                <w:b w:val="false"/>
                <w:bCs w:val="false"/>
                <w:i w:val="false"/>
                <w:iCs w:val="false"/>
                <w:color w:val="000000"/>
                <w:sz w:val="18"/>
                <w:szCs w:val="18"/>
              </w:rPr>
              <w:t xml:space="preserve">WP-0001–WP-0006; AR-0001–0010; EGD-0001–0009; ER-0001–0010; VAR-01–04; Portfolios 1 (Enterprise Data Platform), 2 (Enterprise Security), 8 (Governance &amp; Quality); Waves 1–3.</w:t>
            </w:r>
          </w:p>
        </w:tc>
      </w:tr>
      <w:tr>
        <w:tc>
          <w:tcPr>
            <w:tcW w:type="dxa" w:w="2800"/>
            <w:tcMar>
              <w:top w:type="dxa" w:w="80"/>
              <w:left w:type="dxa" w:w="100"/>
              <w:bottom w:type="dxa" w:w="80"/>
              <w:right w:type="dxa" w:w="100"/>
            </w:tcMar>
          </w:tcPr>
          <w:p>
            <w:r>
              <w:rPr>
                <w:b w:val="false"/>
                <w:bCs w:val="false"/>
                <w:i w:val="false"/>
                <w:iCs w:val="false"/>
                <w:color w:val="000000"/>
                <w:sz w:val="18"/>
                <w:szCs w:val="18"/>
              </w:rPr>
              <w:t xml:space="preserve">Reserved (non-normative)</w:t>
            </w:r>
          </w:p>
        </w:tc>
        <w:tc>
          <w:tcPr>
            <w:tcW w:type="dxa" w:w="6200"/>
            <w:tcMar>
              <w:top w:type="dxa" w:w="80"/>
              <w:left w:type="dxa" w:w="100"/>
              <w:bottom w:type="dxa" w:w="80"/>
              <w:right w:type="dxa" w:w="100"/>
            </w:tcMar>
          </w:tcPr>
          <w:p>
            <w:r>
              <w:rPr>
                <w:b w:val="false"/>
                <w:bCs w:val="false"/>
                <w:i w:val="false"/>
                <w:iCs w:val="false"/>
                <w:color w:val="000000"/>
                <w:sz w:val="18"/>
                <w:szCs w:val="18"/>
              </w:rPr>
              <w:t xml:space="preserve">Portfolios 3 (Enterprise AI), 4 (Business Capabilities), 5 (Knowledge Platform), 6 (Integration Platform), 7 (Operations &amp; Observability); Waves 4–5; any implementation authority over those domains.</w:t>
            </w:r>
          </w:p>
        </w:tc>
      </w:tr>
    </w:tbl>
    <w:p>
      <w:pPr>
        <w:pStyle w:val="Heading3"/>
        <w:spacing w:after="100" w:before="220"/>
      </w:pPr>
      <w:r>
        <w:t xml:space="preserve">Expected Enterprise Outcomes</w:t>
      </w:r>
    </w:p>
    <w:p>
      <w:pPr>
        <w:spacing w:after="160"/>
      </w:pPr>
      <w:r>
        <w:rPr>
          <w:b w:val="false"/>
          <w:bCs w:val="false"/>
          <w:i w:val="false"/>
          <w:iCs w:val="false"/>
        </w:rPr>
        <w:t xml:space="preserve">KPI-01 (Architecture Conformance) ≥90; KPI-02 (Documentation Accuracy) = 100; KPI-03 (Governance Compliance) ≥70; KPI-06 (RLS Coverage) = 100%; KPI-08 (Ownership Assignment) = 100%; Certification Level L4 met — all per Phase A.3 §10–11 and Phase B §11, none of which are new targets introduced by this document.</w:t>
      </w:r>
    </w:p>
    <w:p>
      <w:pPr>
        <w:pStyle w:val="Heading1"/>
        <w:spacing w:after="180" w:before="360"/>
      </w:pPr>
      <w:r>
        <w:t xml:space="preserve">2. Enterprise Engineering Philosophy</w:t>
      </w:r>
    </w:p>
    <w:p>
      <w:pPr>
        <w:spacing w:after="160"/>
      </w:pPr>
      <w:r>
        <w:rPr>
          <w:b w:val="false"/>
          <w:bCs w:val="false"/>
          <w:i w:val="false"/>
          <w:iCs w:val="false"/>
        </w:rPr>
        <w:t xml:space="preserve">Nine permanent principles (AP-001–AP-009) established in Phase A.3 §2 already constitute this program's engineering philosophy. This section maps each requested philosophy element to its governing principle rather than restating it under a new 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1F2937" w:val="clear"/>
            <w:tcMar>
              <w:top w:type="dxa" w:w="80"/>
              <w:left w:type="dxa" w:w="100"/>
              <w:bottom w:type="dxa" w:w="80"/>
              <w:right w:type="dxa" w:w="100"/>
            </w:tcMar>
          </w:tcPr>
          <w:p>
            <w:r>
              <w:rPr>
                <w:b/>
                <w:bCs/>
                <w:i w:val="false"/>
                <w:iCs w:val="false"/>
                <w:color w:val="FFFFFF"/>
                <w:sz w:val="18"/>
                <w:szCs w:val="18"/>
              </w:rPr>
              <w:t xml:space="preserve">Requested Element</w:t>
            </w:r>
          </w:p>
        </w:tc>
        <w:tc>
          <w:tcPr>
            <w:tcW w:type="dxa" w:w="1400"/>
            <w:shd w:fill="1F2937" w:val="clear"/>
            <w:tcMar>
              <w:top w:type="dxa" w:w="80"/>
              <w:left w:type="dxa" w:w="100"/>
              <w:bottom w:type="dxa" w:w="80"/>
              <w:right w:type="dxa" w:w="100"/>
            </w:tcMar>
          </w:tcPr>
          <w:p>
            <w:r>
              <w:rPr>
                <w:b/>
                <w:bCs/>
                <w:i w:val="false"/>
                <w:iCs w:val="false"/>
                <w:color w:val="FFFFFF"/>
                <w:sz w:val="18"/>
                <w:szCs w:val="18"/>
              </w:rPr>
              <w:t xml:space="preserve">Governing Principle</w:t>
            </w:r>
          </w:p>
        </w:tc>
        <w:tc>
          <w:tcPr>
            <w:tcW w:type="dxa" w:w="5400"/>
            <w:shd w:fill="1F2937" w:val="clear"/>
            <w:tcMar>
              <w:top w:type="dxa" w:w="80"/>
              <w:left w:type="dxa" w:w="100"/>
              <w:bottom w:type="dxa" w:w="80"/>
              <w:right w:type="dxa" w:w="100"/>
            </w:tcMar>
          </w:tcPr>
          <w:p>
            <w:r>
              <w:rPr>
                <w:b/>
                <w:bCs/>
                <w:i w:val="false"/>
                <w:iCs w:val="false"/>
                <w:color w:val="FFFFFF"/>
                <w:sz w:val="18"/>
                <w:szCs w:val="18"/>
              </w:rPr>
              <w:t xml:space="preserve">How It Applies</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Architecture-first engineering</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AP-001</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Architecture is the strategic source of truth but is corrigible by evidence — the deciding factor in every disposition is evidence, not precedence.</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Governance-first delivery</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AP-003 / AP-006</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Implementation may evolve architecture only through formal governance (an EGD entry); every gap requires an explicit disposition — silence is not accepted.</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Repository-driven implementation</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AP-002</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Repository evidence governs implementation decisions; no finding is admitted without a file/line citation.</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Incremental realization</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Phase B §2</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Six Work Packages, none a rewrite; each closes one AR without disturbing the three already-conformant standards (AR-0008–0010).</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Risk-first implementation</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Phase B §2, §5</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WP-0002 (unverified security gap) and WP-0006 (blocking governance gap) are sequenced into Wave 1, ahead of lower-risk items.</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Evidence-based delivery</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AP-002 / AP-005</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Every architecture claim must cite repository evidence; every EGD must cite its source Architecture Requirement.</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Continuous verification</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Phase B §2</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WP-0002's method — written RLS confirmation with query evidence — is the template for verifying every future Realize-class decision.</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Continuous architecture conformance</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Phase B §2</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KPI-01 and KPI-07 are re-measured at each milestone, not only at phase boundaries.</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Business-value realization</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Phase A.3 §9 / Phase B §4</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Every Work Package carries an explicit Business Value rating, from Low (WP-0005) to High (WP-0001, WP-0002).</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Production-ready engineering</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Scope-limited</w:t>
            </w:r>
          </w:p>
        </w:tc>
        <w:tc>
          <w:tcPr>
            <w:tcW w:type="dxa" w:w="5400"/>
            <w:tcMar>
              <w:top w:type="dxa" w:w="80"/>
              <w:left w:type="dxa" w:w="100"/>
              <w:bottom w:type="dxa" w:w="80"/>
              <w:right w:type="dxa" w:w="100"/>
            </w:tcMar>
          </w:tcPr>
          <w:p>
            <w:r>
              <w:rPr>
                <w:b w:val="false"/>
                <w:bCs w:val="false"/>
                <w:i w:val="false"/>
                <w:iCs w:val="false"/>
                <w:color w:val="000000"/>
                <w:sz w:val="18"/>
                <w:szCs w:val="18"/>
              </w:rPr>
              <w:t xml:space="preserve">Claimed only for the current 6 Work Packages in Portfolios 1, 2, and 8 — not asserted for Portfolios 3–7, which have no evidenced work.</w:t>
            </w:r>
          </w:p>
        </w:tc>
      </w:tr>
    </w:tbl>
    <w:p>
      <w:pPr>
        <w:pStyle w:val="Heading1"/>
        <w:spacing w:after="180" w:before="360"/>
      </w:pPr>
      <w:r>
        <w:t xml:space="preserve">3. Enterprise Execution Model</w:t>
      </w:r>
    </w:p>
    <w:p>
      <w:pPr>
        <w:spacing w:after="160"/>
      </w:pPr>
      <w:r>
        <w:rPr>
          <w:b w:val="false"/>
          <w:bCs w:val="false"/>
          <w:i w:val="false"/>
          <w:iCs w:val="false"/>
        </w:rPr>
        <w:t xml:space="preserve">The lifecycle below applies to WP-0001–WP-0006. Because the current Work Package set is intentionally lightweight (one documentation task, one security verification task, one organizational task, and three low-complexity follow-ons), several lifecycle stages are compressed or not applicable for this wave. That is stated explicitly rather than padded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937" w:val="clear"/>
            <w:tcMar>
              <w:top w:type="dxa" w:w="80"/>
              <w:left w:type="dxa" w:w="100"/>
              <w:bottom w:type="dxa" w:w="80"/>
              <w:right w:type="dxa" w:w="100"/>
            </w:tcMar>
          </w:tcPr>
          <w:p>
            <w:r>
              <w:rPr>
                <w:b/>
                <w:bCs/>
                <w:i w:val="false"/>
                <w:iCs w:val="false"/>
                <w:color w:val="FFFFFF"/>
                <w:sz w:val="18"/>
                <w:szCs w:val="18"/>
              </w:rPr>
              <w:t xml:space="preserve">Stage</w:t>
            </w:r>
          </w:p>
        </w:tc>
        <w:tc>
          <w:tcPr>
            <w:tcW w:type="dxa" w:w="6400"/>
            <w:shd w:fill="1F2937" w:val="clear"/>
            <w:tcMar>
              <w:top w:type="dxa" w:w="80"/>
              <w:left w:type="dxa" w:w="100"/>
              <w:bottom w:type="dxa" w:w="80"/>
              <w:right w:type="dxa" w:w="100"/>
            </w:tcMar>
          </w:tcPr>
          <w:p>
            <w:r>
              <w:rPr>
                <w:b/>
                <w:bCs/>
                <w:i w:val="false"/>
                <w:iCs w:val="false"/>
                <w:color w:val="FFFFFF"/>
                <w:sz w:val="18"/>
                <w:szCs w:val="18"/>
              </w:rPr>
              <w:t xml:space="preserve">Responsibility / Output in This Baseline</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WP Initiation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Owner assignment via WP-0006 is the stated precondition for every other WP being executable (Phase A.3 §9; Phase B critical path, §7).</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Engineering Planning</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Effort/complexity already scoped per WP in Phase A.3 §9 and Phase B §4 (e.g., WP-0002: 1–2 days, Low complexity).</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Solution Design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Not applicable to WP-0001 (documentation), WP-0002 (verification), or WP-0006 (organizational). Applies conditionally to WP-0003 only if the partitioning trigger fires.</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Repository Preparation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WP-0001 prepares the revised EEP-01 Phase A document; no code repository change is required for WP-0002 or WP-0006.</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Development</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Applies to WP-0001 (document authoring) and, conditionally, WP-0003/WP-0004 if retrofit work is ever triggered.</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Database Implementation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No migration is currently planned — VAR-01 (schema isolation) and VAR-04 (partitioning) are both approved, deferred variances, not open implementation items.</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Integration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Reserved for Future Realization Phases — Portfolio 6 (Integration Platform) carries no approved Work Package.</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AI Implementation (where applicable)</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Reserved for Future Realization Phases — Portfolio 3 (Enterprise AI) carries no approved Work Package.</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Testing</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WP-0002's RLS verification against student_activities, student_cognitive_responses, student_signal_vectors and related tables (Phase A.3 §9).</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Verification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Written RLS status and policy-list confirmation for every student-owned table (Phase A.3 §7, AR-0007 row).</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Governance Review</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No WP proceeds without its EGD already dispositioned in Phase A.3 — true for all six; none require new governance (Phase B §2).</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Architecture Conformance Review</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KPI-01 and KPI-07 re-measured at each milestone close (Phase B §2, §13).</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Deployment Preparation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Not applicable this wave — no code or schema deployment is in scope for WP-0001, WP-0002, or WP-0006.</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Production Rollout</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Not applicable this wave, for the same reason.</w:t>
            </w:r>
          </w:p>
        </w:tc>
      </w:tr>
      <w:tr>
        <w:tc>
          <w:tcPr>
            <w:tcW w:type="dxa" w:w="2600"/>
            <w:tcMar>
              <w:top w:type="dxa" w:w="80"/>
              <w:left w:type="dxa" w:w="100"/>
              <w:bottom w:type="dxa" w:w="80"/>
              <w:right w:type="dxa" w:w="100"/>
            </w:tcMar>
          </w:tcPr>
          <w:p>
            <w:r>
              <w:rPr>
                <w:b w:val="false"/>
                <w:bCs w:val="false"/>
                <w:i w:val="false"/>
                <w:iCs w:val="false"/>
                <w:color w:val="000000"/>
                <w:sz w:val="18"/>
                <w:szCs w:val="18"/>
              </w:rPr>
              <w:t xml:space="preserve">Post-Implementation Validation</w:t>
            </w:r>
          </w:p>
        </w:tc>
        <w:tc>
          <w:tcPr>
            <w:tcW w:type="dxa" w:w="6400"/>
            <w:tcMar>
              <w:top w:type="dxa" w:w="80"/>
              <w:left w:type="dxa" w:w="100"/>
              <w:bottom w:type="dxa" w:w="80"/>
              <w:right w:type="dxa" w:w="100"/>
            </w:tcMar>
          </w:tcPr>
          <w:p>
            <w:r>
              <w:rPr>
                <w:b w:val="false"/>
                <w:bCs w:val="false"/>
                <w:i w:val="false"/>
                <w:iCs w:val="false"/>
                <w:color w:val="000000"/>
                <w:sz w:val="18"/>
                <w:szCs w:val="18"/>
              </w:rPr>
              <w:t xml:space="preserve">Milestone exit criteria per Phase B §6 (e.g., Governance Operational: KPI-08 = 100%; Critical Security Complete: KPI-06 = 100%).</w:t>
            </w:r>
          </w:p>
        </w:tc>
      </w:tr>
    </w:tbl>
    <w:p>
      <w:pPr>
        <w:pStyle w:val="Heading1"/>
        <w:spacing w:after="180" w:before="360"/>
      </w:pPr>
      <w:r>
        <w:t xml:space="preserve">4. Work Package Execution Principles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2937" w:val="clear"/>
            <w:tcMar>
              <w:top w:type="dxa" w:w="80"/>
              <w:left w:type="dxa" w:w="100"/>
              <w:bottom w:type="dxa" w:w="80"/>
              <w:right w:type="dxa" w:w="100"/>
            </w:tcMar>
          </w:tcPr>
          <w:p>
            <w:r>
              <w:rPr>
                <w:b/>
                <w:bCs/>
                <w:i w:val="false"/>
                <w:iCs w:val="false"/>
                <w:color w:val="FFFFFF"/>
                <w:sz w:val="18"/>
                <w:szCs w:val="18"/>
              </w:rPr>
              <w:t xml:space="preserve">Rule Area</w:t>
            </w:r>
          </w:p>
        </w:tc>
        <w:tc>
          <w:tcPr>
            <w:tcW w:type="dxa" w:w="6800"/>
            <w:shd w:fill="1F2937" w:val="clear"/>
            <w:tcMar>
              <w:top w:type="dxa" w:w="80"/>
              <w:left w:type="dxa" w:w="100"/>
              <w:bottom w:type="dxa" w:w="80"/>
              <w:right w:type="dxa" w:w="100"/>
            </w:tcMar>
          </w:tcPr>
          <w:p>
            <w:r>
              <w:rPr>
                <w:b/>
                <w:bCs/>
                <w:i w:val="false"/>
                <w:iCs w:val="false"/>
                <w:color w:val="FFFFFF"/>
                <w:sz w:val="18"/>
                <w:szCs w:val="18"/>
              </w:rPr>
              <w:t xml:space="preserve">Enterprise Rule</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Scope management</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Each WP is scoped exactly to its AR/EGD pair per Phase A.3 §9; no WP absorbs work belonging to another without a new EGD entry (AP-003).</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Dependency management</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Full dependency map in Phase B §7: WP-0003 is blocked on external row-count/growth data; Portfolios 3–7 are blocked on prerequisite realization assessments that do not yet exist.</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Sequenced implementation</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Waves 1–3 per Phase B §5: Wave 1 (WP-0006, WP-0002) → Wave 2 (WP-0001, WP-0004, WP-0005) → Wave 3 (WP-0003, trigger-gated).</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Incremental delivery</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No large-scale schema rewrite is planned or justified by current evidence (Phase B §1, Delivery Philosophy).</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Parallel engineering</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WP-0002 and WP-0006 have no dependency on each other and can run fully in parallel starting immediately (Phase B §7).</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Technical debt management</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Classified in Phase A.2 §8 / Phase A.3 KPI-09: 1 Critical (until WP-0002 verified), 1 Strategic, 1 Tactical, 1 Acceptable-conditional.</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Repository ownership</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Assigned via WP-0006 to the five named roles in Phase B §9; currently 0% assigned (KPI-08).</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Version control</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The only evidenced standing standard is AR-0010 / EGD-0009: idempotent, rollback-ready, consistently-named migrations, already accepted as exceeding the bar. Broader branching/PR-review policy is not evidenced in the approved repositories and is not asserted here.</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Change management</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Any change to an AR, EGD, or WP scope requires a new or amended EGD entry (AP-003; Phase B §13) — no baseline change without formal governance.</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Feature flag strategy</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Not applicable to the current WP set — none of WP-0001–0006 ships user-facing code behind a flag. Reserved for future Work Packages that do.</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Rollback readiness</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AR-0010 / EGD-0009's accepted standard (idempotent, rollback-ready migrations) is the standing requirement for any future migration-bearing Work Package, including a triggered WP-0003.</w:t>
            </w:r>
          </w:p>
        </w:tc>
      </w:tr>
    </w:tbl>
    <w:p>
      <w:pPr>
        <w:pStyle w:val="Heading1"/>
        <w:spacing w:after="180" w:before="360"/>
      </w:pPr>
      <w:r>
        <w:t xml:space="preserve">5. Governance-Driven Delivery</w:t>
      </w:r>
    </w:p>
    <w:p>
      <w:pPr>
        <w:pStyle w:val="Heading3"/>
        <w:spacing w:after="100" w:before="220"/>
      </w:pPr>
      <w:r>
        <w:t xml:space="preserve">Governance Checkpoints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937" w:val="clear"/>
            <w:tcMar>
              <w:top w:type="dxa" w:w="80"/>
              <w:left w:type="dxa" w:w="100"/>
              <w:bottom w:type="dxa" w:w="80"/>
              <w:right w:type="dxa" w:w="100"/>
            </w:tcMar>
          </w:tcPr>
          <w:p>
            <w:r>
              <w:rPr>
                <w:b/>
                <w:bCs/>
                <w:i w:val="false"/>
                <w:iCs w:val="false"/>
                <w:color w:val="FFFFFF"/>
                <w:sz w:val="18"/>
                <w:szCs w:val="18"/>
              </w:rPr>
              <w:t xml:space="preserve">Element</w:t>
            </w:r>
          </w:p>
        </w:tc>
        <w:tc>
          <w:tcPr>
            <w:tcW w:type="dxa" w:w="6600"/>
            <w:shd w:fill="1F2937" w:val="clear"/>
            <w:tcMar>
              <w:top w:type="dxa" w:w="80"/>
              <w:left w:type="dxa" w:w="100"/>
              <w:bottom w:type="dxa" w:w="80"/>
              <w:right w:type="dxa" w:w="100"/>
            </w:tcMar>
          </w:tcPr>
          <w:p>
            <w:r>
              <w:rPr>
                <w:b/>
                <w:bCs/>
                <w:i w:val="false"/>
                <w:iCs w:val="false"/>
                <w:color w:val="FFFFFF"/>
                <w:sz w:val="18"/>
                <w:szCs w:val="18"/>
              </w:rPr>
              <w:t xml:space="preserve">Definition</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Architecture review checkpoints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At the close of each wave and each milestone; ad hoc on any EGD trigger firing (Phase B §13).</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Portfolio governance cadence</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Quarterly, aligned to the existing quarterly trigger-review cadence for deferred EGDs (KPI-05, KPI-10).</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Change approval process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Any AR/EGD/WP scope change requires a new or amended EGD entry (AP-003).</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Exception management</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Any deviation from Phase B's sequencing must be logged as a new variance (VAR-xx) per AP-007, not silently absorbed.</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Escalation process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Unresolved blocking risks (currently: unassigned ownership) escalate to the Executive Sponsor, not to individual WP owners who cannot resolve it themselves.</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Quality gates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Each milestone's exit criteria (Phase B §6) function as the quality gate — no milestone is marked complete without its stated success measure met.</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Conformance reviews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KPI-01 / KPI-07 re-measured at every milestone; a full Phase A.1-style re-assessment is the Certification L5 conformance review.</w:t>
            </w:r>
          </w:p>
        </w:tc>
      </w:tr>
    </w:tbl>
    <w:p>
      <w:pPr>
        <w:pStyle w:val="Heading3"/>
        <w:spacing w:after="100" w:before="220"/>
      </w:pPr>
      <w:r>
        <w:t xml:space="preserve">Approving Bodies</w:t>
      </w:r>
    </w:p>
    <w:p>
      <w:pPr>
        <w:spacing w:after="160"/>
      </w:pPr>
      <w:r>
        <w:rPr>
          <w:b w:val="false"/>
          <w:bCs w:val="false"/>
          <w:i w:val="false"/>
          <w:iCs w:val="false"/>
        </w:rPr>
        <w:t xml:space="preserve">The only governance roles evidenced in the approved repositories are the five named in Phase B §9: Enterprise Architecture Owner, Data Governance Owner, Platform Engineering Lead, Security/Platform Engineer, and Executive Sponsor / Governance Board. Broader constructs the master template assumes — a formal PMO function, a standing Enterprise Architecture Board with its own charter, dedicated Security and Data Governance approval boards — are not evidenced as existing today.</w:t>
      </w:r>
    </w:p>
    <w:p>
      <w:pPr>
        <w:spacing w:after="120" w:before="60"/>
      </w:pPr>
      <w:r>
        <w:rPr>
          <w:b/>
          <w:bCs/>
          <w:color w:val="8a2a2a"/>
          <w:sz w:val="18"/>
          <w:szCs w:val="18"/>
        </w:rPr>
        <w:t xml:space="preserve">RESERVED FOR FUTURE REALIZATION PHASES — NO APPROVED WORK PACKAGE EXISTS</w:t>
      </w:r>
    </w:p>
    <w:p>
      <w:pPr>
        <w:spacing w:after="160"/>
      </w:pPr>
      <w:r>
        <w:rPr>
          <w:b w:val="false"/>
          <w:bCs w:val="false"/>
          <w:i w:val="false"/>
          <w:iCs w:val="false"/>
        </w:rPr>
        <w:t xml:space="preserve">Formal PMO oversight, a chartered Enterprise Architecture Board, and dedicated Security/Data-Governance approval bodies beyond the five named roles above are reserved for future realization phases, to be established once Portfolios 3–7 are populated and the program's governance maturity (currently rated Managed, 45/100 per Phase A.2 §10) advances.</w:t>
      </w:r>
    </w:p>
    <w:p>
      <w:pPr>
        <w:pStyle w:val="Heading3"/>
        <w:spacing w:after="100" w:before="220"/>
      </w:pPr>
      <w:r>
        <w:t xml:space="preserve">Mandatory Evidence per Checkpoint</w:t>
      </w:r>
    </w:p>
    <w:p>
      <w:pPr>
        <w:spacing w:after="160"/>
      </w:pPr>
      <w:r>
        <w:rPr>
          <w:b w:val="false"/>
          <w:bCs w:val="false"/>
          <w:i w:val="false"/>
          <w:iCs w:val="false"/>
        </w:rPr>
        <w:t xml:space="preserve">Per the Phase A.3 Traceability Matrix (§7): each AR's checkpoint evidence is its named Verification Method — e.g., written RLS status and policy list for AR-0007 (WP-0002); table-inventory diff against live schema for AR-0002 (WP-0001); per-release automated denormalization check for AR-0003 (WP-0004).</w:t>
      </w:r>
    </w:p>
    <w:p>
      <w:pPr>
        <w:pStyle w:val="Heading1"/>
        <w:spacing w:after="180" w:before="360"/>
      </w:pPr>
      <w:r>
        <w:t xml:space="preserve">6. Architecture Conformance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00"/>
      </w:tblGrid>
      <w:tr>
        <w:trPr>
          <w:tblHeader/>
        </w:trPr>
        <w:tc>
          <w:tcPr>
            <w:tcW w:type="dxa" w:w="2300"/>
            <w:shd w:fill="1F2937" w:val="clear"/>
            <w:tcMar>
              <w:top w:type="dxa" w:w="80"/>
              <w:left w:type="dxa" w:w="100"/>
              <w:bottom w:type="dxa" w:w="80"/>
              <w:right w:type="dxa" w:w="100"/>
            </w:tcMar>
          </w:tcPr>
          <w:p>
            <w:r>
              <w:rPr>
                <w:b/>
                <w:bCs/>
                <w:i w:val="false"/>
                <w:iCs w:val="false"/>
                <w:color w:val="FFFFFF"/>
                <w:sz w:val="18"/>
                <w:szCs w:val="18"/>
              </w:rPr>
              <w:t xml:space="preserve">Architecture Domain</w:t>
            </w:r>
          </w:p>
        </w:tc>
        <w:tc>
          <w:tcPr>
            <w:tcW w:type="dxa" w:w="1600"/>
            <w:shd w:fill="1F2937" w:val="clear"/>
            <w:tcMar>
              <w:top w:type="dxa" w:w="80"/>
              <w:left w:type="dxa" w:w="100"/>
              <w:bottom w:type="dxa" w:w="80"/>
              <w:right w:type="dxa" w:w="100"/>
            </w:tcMar>
          </w:tcPr>
          <w:p>
            <w:r>
              <w:rPr>
                <w:b/>
                <w:bCs/>
                <w:i w:val="false"/>
                <w:iCs w:val="false"/>
                <w:color w:val="FFFFFF"/>
                <w:sz w:val="18"/>
                <w:szCs w:val="18"/>
              </w:rPr>
              <w:t xml:space="preserve">Status</w:t>
            </w:r>
          </w:p>
        </w:tc>
        <w:tc>
          <w:tcPr>
            <w:tcW w:type="dxa" w:w="5100"/>
            <w:shd w:fill="1F2937" w:val="clear"/>
            <w:tcMar>
              <w:top w:type="dxa" w:w="80"/>
              <w:left w:type="dxa" w:w="100"/>
              <w:bottom w:type="dxa" w:w="80"/>
              <w:right w:type="dxa" w:w="100"/>
            </w:tcMar>
          </w:tcPr>
          <w:p>
            <w:r>
              <w:rPr>
                <w:b/>
                <w:bCs/>
                <w:i w:val="false"/>
                <w:iCs w:val="false"/>
                <w:color w:val="FFFFFF"/>
                <w:sz w:val="18"/>
                <w:szCs w:val="18"/>
              </w:rPr>
              <w:t xml:space="preserve">Basis</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Enterprise Technical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Approved</w:t>
            </w:r>
          </w:p>
        </w:tc>
        <w:tc>
          <w:tcPr>
            <w:tcW w:type="dxa" w:w="5100"/>
            <w:tcMar>
              <w:top w:type="dxa" w:w="80"/>
              <w:left w:type="dxa" w:w="100"/>
              <w:bottom w:type="dxa" w:w="80"/>
              <w:right w:type="dxa" w:w="100"/>
            </w:tcMar>
          </w:tcPr>
          <w:p>
            <w:r>
              <w:rPr>
                <w:b w:val="false"/>
                <w:bCs w:val="false"/>
                <w:i w:val="false"/>
                <w:iCs w:val="false"/>
                <w:color w:val="000000"/>
                <w:sz w:val="18"/>
                <w:szCs w:val="18"/>
              </w:rPr>
              <w:t xml:space="preserve">Covered by AR-0001–0010 within the student-academic physical data model domain only (Phase A.3 §3).</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Enterprise Business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Not approved</w:t>
            </w:r>
          </w:p>
        </w:tc>
        <w:tc>
          <w:tcPr>
            <w:tcW w:type="dxa" w:w="5100"/>
            <w:shd w:fill="EFEFEF" w:val="clear"/>
            <w:tcMar>
              <w:top w:type="dxa" w:w="80"/>
              <w:left w:type="dxa" w:w="100"/>
              <w:bottom w:type="dxa" w:w="80"/>
              <w:right w:type="dxa" w:w="100"/>
            </w:tcMar>
          </w:tcPr>
          <w:p>
            <w:r>
              <w:rPr>
                <w:b w:val="false"/>
                <w:bCs w:val="false"/>
                <w:i/>
                <w:iCs/>
                <w:color w:val="777777"/>
                <w:sz w:val="18"/>
                <w:szCs w:val="18"/>
              </w:rPr>
              <w:t xml:space="preserve">EEP-02 Phases A–H do not exist; Phases I–J are unratified drafts. No business-architecture conformance is claimed anywhere in this strategy.</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Security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Approved</w:t>
            </w:r>
          </w:p>
        </w:tc>
        <w:tc>
          <w:tcPr>
            <w:tcW w:type="dxa" w:w="5100"/>
            <w:tcMar>
              <w:top w:type="dxa" w:w="80"/>
              <w:left w:type="dxa" w:w="100"/>
              <w:bottom w:type="dxa" w:w="80"/>
              <w:right w:type="dxa" w:w="100"/>
            </w:tcMar>
          </w:tcPr>
          <w:p>
            <w:r>
              <w:rPr>
                <w:b w:val="false"/>
                <w:bCs w:val="false"/>
                <w:i w:val="false"/>
                <w:iCs w:val="false"/>
                <w:color w:val="000000"/>
                <w:sz w:val="18"/>
                <w:szCs w:val="18"/>
              </w:rPr>
              <w:t xml:space="preserve">AR-0007 / EGD-0007 — uniform RLS ownership-check coverage; verified via WP-0002.</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Data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Approved</w:t>
            </w:r>
          </w:p>
        </w:tc>
        <w:tc>
          <w:tcPr>
            <w:tcW w:type="dxa" w:w="5100"/>
            <w:tcMar>
              <w:top w:type="dxa" w:w="80"/>
              <w:left w:type="dxa" w:w="100"/>
              <w:bottom w:type="dxa" w:w="80"/>
              <w:right w:type="dxa" w:w="100"/>
            </w:tcMar>
          </w:tcPr>
          <w:p>
            <w:r>
              <w:rPr>
                <w:b w:val="false"/>
                <w:bCs w:val="false"/>
                <w:i w:val="false"/>
                <w:iCs w:val="false"/>
                <w:color w:val="000000"/>
                <w:sz w:val="18"/>
                <w:szCs w:val="18"/>
              </w:rPr>
              <w:t xml:space="preserve">AR-0001–0006 / EGD-0001–0006 — schema isolation, naming, taxonomy pattern, partitioning, entity separation, supersession model.</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Integration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Not approved</w:t>
            </w:r>
          </w:p>
        </w:tc>
        <w:tc>
          <w:tcPr>
            <w:tcW w:type="dxa" w:w="5100"/>
            <w:shd w:fill="EFEFEF" w:val="clear"/>
            <w:tcMar>
              <w:top w:type="dxa" w:w="80"/>
              <w:left w:type="dxa" w:w="100"/>
              <w:bottom w:type="dxa" w:w="80"/>
              <w:right w:type="dxa" w:w="100"/>
            </w:tcMar>
          </w:tcPr>
          <w:p>
            <w:r>
              <w:rPr>
                <w:b w:val="false"/>
                <w:bCs w:val="false"/>
                <w:i/>
                <w:iCs/>
                <w:color w:val="777777"/>
                <w:sz w:val="18"/>
                <w:szCs w:val="18"/>
              </w:rPr>
              <w:t xml:space="preserve">Portfolio 6 (Integration Platform) carries no Work Package; no realization assessment exists for this domain.</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AI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Not approved</w:t>
            </w:r>
          </w:p>
        </w:tc>
        <w:tc>
          <w:tcPr>
            <w:tcW w:type="dxa" w:w="5100"/>
            <w:shd w:fill="EFEFEF" w:val="clear"/>
            <w:tcMar>
              <w:top w:type="dxa" w:w="80"/>
              <w:left w:type="dxa" w:w="100"/>
              <w:bottom w:type="dxa" w:w="80"/>
              <w:right w:type="dxa" w:w="100"/>
            </w:tcMar>
          </w:tcPr>
          <w:p>
            <w:r>
              <w:rPr>
                <w:b w:val="false"/>
                <w:bCs w:val="false"/>
                <w:i/>
                <w:iCs/>
                <w:color w:val="777777"/>
                <w:sz w:val="18"/>
                <w:szCs w:val="18"/>
              </w:rPr>
              <w:t xml:space="preserve">Portfolio 3 (Enterprise AI) carries no Work Package; no realization assessment exists for this domain.</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Platform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Partially approved</w:t>
            </w:r>
          </w:p>
        </w:tc>
        <w:tc>
          <w:tcPr>
            <w:tcW w:type="dxa" w:w="5100"/>
            <w:tcMar>
              <w:top w:type="dxa" w:w="80"/>
              <w:left w:type="dxa" w:w="100"/>
              <w:bottom w:type="dxa" w:w="80"/>
              <w:right w:type="dxa" w:w="100"/>
            </w:tcMar>
          </w:tcPr>
          <w:p>
            <w:r>
              <w:rPr>
                <w:b w:val="false"/>
                <w:bCs w:val="false"/>
                <w:i w:val="false"/>
                <w:iCs w:val="false"/>
                <w:color w:val="000000"/>
                <w:sz w:val="18"/>
                <w:szCs w:val="18"/>
              </w:rPr>
              <w:t xml:space="preserve">AR-0004 (partitioning) is approved but deferred/trigger-gated (VAR-04); broader platform/infrastructure architecture beyond the physical data model is not evidenced.</w:t>
            </w:r>
          </w:p>
        </w:tc>
      </w:tr>
      <w:tr>
        <w:tc>
          <w:tcPr>
            <w:tcW w:type="dxa" w:w="2300"/>
            <w:tcMar>
              <w:top w:type="dxa" w:w="80"/>
              <w:left w:type="dxa" w:w="100"/>
              <w:bottom w:type="dxa" w:w="80"/>
              <w:right w:type="dxa" w:w="100"/>
            </w:tcMar>
          </w:tcPr>
          <w:p>
            <w:r>
              <w:rPr>
                <w:b w:val="false"/>
                <w:bCs w:val="false"/>
                <w:i w:val="false"/>
                <w:iCs w:val="false"/>
                <w:color w:val="000000"/>
                <w:sz w:val="18"/>
                <w:szCs w:val="18"/>
              </w:rPr>
              <w:t xml:space="preserve">Operational Architecture</w:t>
            </w:r>
          </w:p>
        </w:tc>
        <w:tc>
          <w:tcPr>
            <w:tcW w:type="dxa" w:w="1600"/>
            <w:tcMar>
              <w:top w:type="dxa" w:w="80"/>
              <w:left w:type="dxa" w:w="100"/>
              <w:bottom w:type="dxa" w:w="80"/>
              <w:right w:type="dxa" w:w="100"/>
            </w:tcMar>
          </w:tcPr>
          <w:p>
            <w:r>
              <w:rPr>
                <w:b w:val="false"/>
                <w:bCs w:val="false"/>
                <w:i w:val="false"/>
                <w:iCs w:val="false"/>
                <w:color w:val="000000"/>
                <w:sz w:val="18"/>
                <w:szCs w:val="18"/>
              </w:rPr>
              <w:t xml:space="preserve">Not approved</w:t>
            </w:r>
          </w:p>
        </w:tc>
        <w:tc>
          <w:tcPr>
            <w:tcW w:type="dxa" w:w="5100"/>
            <w:shd w:fill="EFEFEF" w:val="clear"/>
            <w:tcMar>
              <w:top w:type="dxa" w:w="80"/>
              <w:left w:type="dxa" w:w="100"/>
              <w:bottom w:type="dxa" w:w="80"/>
              <w:right w:type="dxa" w:w="100"/>
            </w:tcMar>
          </w:tcPr>
          <w:p>
            <w:r>
              <w:rPr>
                <w:b w:val="false"/>
                <w:bCs w:val="false"/>
                <w:i/>
                <w:iCs/>
                <w:color w:val="777777"/>
                <w:sz w:val="18"/>
                <w:szCs w:val="18"/>
              </w:rPr>
              <w:t xml:space="preserve">Portfolio 7 (Operations &amp; Observability) carries no Work Package; no realization assessment exists for this domain.</w:t>
            </w:r>
          </w:p>
        </w:tc>
      </w:tr>
    </w:tbl>
    <w:p>
      <w:pPr>
        <w:pStyle w:val="Heading3"/>
        <w:spacing w:after="100" w:before="220"/>
      </w:pPr>
      <w:r>
        <w:t xml:space="preserve">Verification Activities</w:t>
      </w:r>
    </w:p>
    <w:p>
      <w:pPr>
        <w:spacing w:after="160"/>
      </w:pPr>
      <w:r>
        <w:rPr>
          <w:b w:val="false"/>
          <w:bCs w:val="false"/>
          <w:i w:val="false"/>
          <w:iCs w:val="false"/>
        </w:rPr>
        <w:t xml:space="preserve">KPI-01 (Architecture Conformance %) and KPI-07 (Governance Decision Traceability %) are the two enterprise-level conformance measures, re-run at every milestone rather than only at phase boundaries (Phase B §2, §11). No conformance measure is asserted for any domain marked "Not approved" above.</w:t>
      </w:r>
    </w:p>
    <w:p>
      <w:pPr>
        <w:pStyle w:val="Heading1"/>
        <w:spacing w:after="180" w:before="360"/>
      </w:pPr>
      <w:r>
        <w:t xml:space="preserve">7. Repository-First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937" w:val="clear"/>
            <w:tcMar>
              <w:top w:type="dxa" w:w="80"/>
              <w:left w:type="dxa" w:w="100"/>
              <w:bottom w:type="dxa" w:w="80"/>
              <w:right w:type="dxa" w:w="100"/>
            </w:tcMar>
          </w:tcPr>
          <w:p>
            <w:r>
              <w:rPr>
                <w:b/>
                <w:bCs/>
                <w:i w:val="false"/>
                <w:iCs w:val="false"/>
                <w:color w:val="FFFFFF"/>
                <w:sz w:val="18"/>
                <w:szCs w:val="18"/>
              </w:rPr>
              <w:t xml:space="preserve">Repository Type</w:t>
            </w:r>
          </w:p>
        </w:tc>
        <w:tc>
          <w:tcPr>
            <w:tcW w:type="dxa" w:w="6600"/>
            <w:shd w:fill="1F2937" w:val="clear"/>
            <w:tcMar>
              <w:top w:type="dxa" w:w="80"/>
              <w:left w:type="dxa" w:w="100"/>
              <w:bottom w:type="dxa" w:w="80"/>
              <w:right w:type="dxa" w:w="100"/>
            </w:tcMar>
          </w:tcPr>
          <w:p>
            <w:r>
              <w:rPr>
                <w:b/>
                <w:bCs/>
                <w:i w:val="false"/>
                <w:iCs w:val="false"/>
                <w:color w:val="FFFFFF"/>
                <w:sz w:val="18"/>
                <w:szCs w:val="18"/>
              </w:rPr>
              <w:t xml:space="preserve">Approved Guidance</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Backend repositories</w:t>
            </w:r>
          </w:p>
        </w:tc>
        <w:tc>
          <w:tcPr>
            <w:tcW w:type="dxa" w:w="6600"/>
            <w:shd w:fill="EFEFEF" w:val="clear"/>
            <w:tcMar>
              <w:top w:type="dxa" w:w="80"/>
              <w:left w:type="dxa" w:w="100"/>
              <w:bottom w:type="dxa" w:w="80"/>
              <w:right w:type="dxa" w:w="100"/>
            </w:tcMar>
          </w:tcPr>
          <w:p>
            <w:r>
              <w:rPr>
                <w:b w:val="false"/>
                <w:bCs w:val="false"/>
                <w:i/>
                <w:iCs/>
                <w:color w:val="777777"/>
                <w:sz w:val="18"/>
                <w:szCs w:val="18"/>
              </w:rPr>
              <w:t xml:space="preserve">No AR/EGD-level backend-service architecture is approved beyond what supports the physical data model. Application-layer service structure is not governed by this baseline.</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Frontend repositories</w:t>
            </w:r>
          </w:p>
        </w:tc>
        <w:tc>
          <w:tcPr>
            <w:tcW w:type="dxa" w:w="6600"/>
            <w:shd w:fill="EFEFEF" w:val="clear"/>
            <w:tcMar>
              <w:top w:type="dxa" w:w="80"/>
              <w:left w:type="dxa" w:w="100"/>
              <w:bottom w:type="dxa" w:w="80"/>
              <w:right w:type="dxa" w:w="100"/>
            </w:tcMar>
          </w:tcPr>
          <w:p>
            <w:r>
              <w:rPr>
                <w:b w:val="false"/>
                <w:bCs w:val="false"/>
                <w:i/>
                <w:iCs/>
                <w:color w:val="777777"/>
                <w:sz w:val="18"/>
                <w:szCs w:val="18"/>
              </w:rPr>
              <w:t xml:space="preserve">Not evidenced or governed by this baseline.</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Database repositories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The only fully-evidenced repository domain: public-schema migrations, RLS policies, native enums, and check constraints (Phase A.1 §2–8). AR-0010 / EGD-0009 (idempotent, rollback-ready, consistently-named migrations) is the accepted standing standard.</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Infrastructure repositories</w:t>
            </w:r>
          </w:p>
        </w:tc>
        <w:tc>
          <w:tcPr>
            <w:tcW w:type="dxa" w:w="6600"/>
            <w:shd w:fill="EFEFEF" w:val="clear"/>
            <w:tcMar>
              <w:top w:type="dxa" w:w="80"/>
              <w:left w:type="dxa" w:w="100"/>
              <w:bottom w:type="dxa" w:w="80"/>
              <w:right w:type="dxa" w:w="100"/>
            </w:tcMar>
          </w:tcPr>
          <w:p>
            <w:r>
              <w:rPr>
                <w:b w:val="false"/>
                <w:bCs w:val="false"/>
                <w:i/>
                <w:iCs/>
                <w:color w:val="777777"/>
                <w:sz w:val="18"/>
                <w:szCs w:val="18"/>
              </w:rPr>
              <w:t xml:space="preserve">Not evidenced or governed by this baseline.</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AI repositories</w:t>
            </w:r>
          </w:p>
        </w:tc>
        <w:tc>
          <w:tcPr>
            <w:tcW w:type="dxa" w:w="6600"/>
            <w:shd w:fill="EFEFEF" w:val="clear"/>
            <w:tcMar>
              <w:top w:type="dxa" w:w="80"/>
              <w:left w:type="dxa" w:w="100"/>
              <w:bottom w:type="dxa" w:w="80"/>
              <w:right w:type="dxa" w:w="100"/>
            </w:tcMar>
          </w:tcPr>
          <w:p>
            <w:r>
              <w:rPr>
                <w:b w:val="false"/>
                <w:bCs w:val="false"/>
                <w:i/>
                <w:iCs/>
                <w:color w:val="777777"/>
                <w:sz w:val="18"/>
                <w:szCs w:val="18"/>
              </w:rPr>
              <w:t xml:space="preserve">Not evidenced or governed by this baseline — Portfolio 3 is empty.</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Documentation repositories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WP-0001 is the evidenced work package: author the revised EEP-01 Phase A document describing the live schema as canonical (AR-0002 / EGD-0002).</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Test repositories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WP-0002's written RLS confirmation with query evidence is the only evidenced test/verification practice in this baseline; it is adopted as the template for future Realize-class verification.</w:t>
            </w:r>
          </w:p>
        </w:tc>
      </w:tr>
    </w:tbl>
    <w:p>
      <w:pPr>
        <w:pStyle w:val="Heading3"/>
        <w:spacing w:after="100" w:before="220"/>
      </w:pPr>
      <w:r>
        <w:t xml:space="preserve">Ownership, Branching, Review, and Release Governance</w:t>
      </w:r>
    </w:p>
    <w:p>
      <w:pPr>
        <w:spacing w:after="160"/>
      </w:pPr>
      <w:r>
        <w:rPr>
          <w:b w:val="false"/>
          <w:bCs w:val="false"/>
          <w:i w:val="false"/>
          <w:iCs w:val="false"/>
        </w:rPr>
        <w:t xml:space="preserve">Ownership: assigned per WP-0006 to the five named roles (Phase B §9). Branching strategy and code-review standards beyond migration idempotency are not evidenced in the approved repositories; this document does not invent one. If a standing branching/review policy is needed, it should be captured as an explicit deliverable of WP-0006 or logged as a new Work Package in a future ERP-01 phase — not asserted here without evidence.</w:t>
      </w:r>
    </w:p>
    <w:p>
      <w:pPr>
        <w:pStyle w:val="Heading1"/>
        <w:spacing w:after="180" w:before="360"/>
      </w:pPr>
      <w:r>
        <w:t xml:space="preserve">8. Risk-Based Engineering Strategy</w:t>
      </w:r>
    </w:p>
    <w:p>
      <w:pPr>
        <w:pStyle w:val="Heading3"/>
        <w:spacing w:after="100" w:before="220"/>
      </w:pPr>
      <w:r>
        <w:t xml:space="preserve">Work Packages by Risk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2937" w:val="clear"/>
            <w:tcMar>
              <w:top w:type="dxa" w:w="80"/>
              <w:left w:type="dxa" w:w="100"/>
              <w:bottom w:type="dxa" w:w="80"/>
              <w:right w:type="dxa" w:w="100"/>
            </w:tcMar>
          </w:tcPr>
          <w:p>
            <w:r>
              <w:rPr>
                <w:b/>
                <w:bCs/>
                <w:i w:val="false"/>
                <w:iCs w:val="false"/>
                <w:color w:val="FFFFFF"/>
                <w:sz w:val="18"/>
                <w:szCs w:val="18"/>
              </w:rPr>
              <w:t xml:space="preserve">Tier</w:t>
            </w:r>
          </w:p>
        </w:tc>
        <w:tc>
          <w:tcPr>
            <w:tcW w:type="dxa" w:w="6800"/>
            <w:shd w:fill="1F2937" w:val="clear"/>
            <w:tcMar>
              <w:top w:type="dxa" w:w="80"/>
              <w:left w:type="dxa" w:w="100"/>
              <w:bottom w:type="dxa" w:w="80"/>
              <w:right w:type="dxa" w:w="100"/>
            </w:tcMar>
          </w:tcPr>
          <w:p>
            <w:r>
              <w:rPr>
                <w:b/>
                <w:bCs/>
                <w:i w:val="false"/>
                <w:iCs w:val="false"/>
                <w:color w:val="FFFFFF"/>
                <w:sz w:val="18"/>
                <w:szCs w:val="18"/>
              </w:rPr>
              <w:t xml:space="preserve">Work Packages</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High risk</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WP-0002 (Critical-until-verified security gap).</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Medium risk</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WP-0003 (unpartitioned tables, growing over time); WP-0004 (latent taxonomy-denormalization risk).</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Low / organizational risk</w:t>
            </w:r>
          </w:p>
        </w:tc>
        <w:tc>
          <w:tcPr>
            <w:tcW w:type="dxa" w:w="6800"/>
            <w:tcMar>
              <w:top w:type="dxa" w:w="80"/>
              <w:left w:type="dxa" w:w="100"/>
              <w:bottom w:type="dxa" w:w="80"/>
              <w:right w:type="dxa" w:w="100"/>
            </w:tcMar>
          </w:tcPr>
          <w:p>
            <w:r>
              <w:rPr>
                <w:b w:val="false"/>
                <w:bCs w:val="false"/>
                <w:i w:val="false"/>
                <w:iCs w:val="false"/>
                <w:color w:val="000000"/>
                <w:sz w:val="18"/>
                <w:szCs w:val="18"/>
              </w:rPr>
              <w:t xml:space="preserve">WP-0001, WP-0005, WP-0006 — none carry technical risk; WP-0006 is organizationally critical (blocking) but not itself risky.</w:t>
            </w:r>
          </w:p>
        </w:tc>
      </w:tr>
    </w:tbl>
    <w:p>
      <w:pPr>
        <w:pStyle w:val="Heading3"/>
        <w:spacing w:after="100" w:before="220"/>
      </w:pPr>
      <w:r>
        <w:t xml:space="preserve">Enterprise Risk Register (carried from Phase B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2600"/>
        <w:gridCol w:w="1400"/>
      </w:tblGrid>
      <w:tr>
        <w:trPr>
          <w:tblHeader/>
        </w:trPr>
        <w:tc>
          <w:tcPr>
            <w:tcW w:type="dxa" w:w="2400"/>
            <w:shd w:fill="1F2937" w:val="clear"/>
            <w:tcMar>
              <w:top w:type="dxa" w:w="80"/>
              <w:left w:type="dxa" w:w="100"/>
              <w:bottom w:type="dxa" w:w="80"/>
              <w:right w:type="dxa" w:w="100"/>
            </w:tcMar>
          </w:tcPr>
          <w:p>
            <w:r>
              <w:rPr>
                <w:b/>
                <w:bCs/>
                <w:i w:val="false"/>
                <w:iCs w:val="false"/>
                <w:color w:val="FFFFFF"/>
                <w:sz w:val="18"/>
                <w:szCs w:val="18"/>
              </w:rPr>
              <w:t xml:space="preserve">Risk</w:t>
            </w:r>
          </w:p>
        </w:tc>
        <w:tc>
          <w:tcPr>
            <w:tcW w:type="dxa" w:w="1300"/>
            <w:shd w:fill="1F2937" w:val="clear"/>
            <w:tcMar>
              <w:top w:type="dxa" w:w="80"/>
              <w:left w:type="dxa" w:w="100"/>
              <w:bottom w:type="dxa" w:w="80"/>
              <w:right w:type="dxa" w:w="100"/>
            </w:tcMar>
          </w:tcPr>
          <w:p>
            <w:r>
              <w:rPr>
                <w:b/>
                <w:bCs/>
                <w:i w:val="false"/>
                <w:iCs w:val="false"/>
                <w:color w:val="FFFFFF"/>
                <w:sz w:val="18"/>
                <w:szCs w:val="18"/>
              </w:rPr>
              <w:t xml:space="preserve">Category</w:t>
            </w:r>
          </w:p>
        </w:tc>
        <w:tc>
          <w:tcPr>
            <w:tcW w:type="dxa" w:w="1300"/>
            <w:shd w:fill="1F2937" w:val="clear"/>
            <w:tcMar>
              <w:top w:type="dxa" w:w="80"/>
              <w:left w:type="dxa" w:w="100"/>
              <w:bottom w:type="dxa" w:w="80"/>
              <w:right w:type="dxa" w:w="100"/>
            </w:tcMar>
          </w:tcPr>
          <w:p>
            <w:r>
              <w:rPr>
                <w:b/>
                <w:bCs/>
                <w:i w:val="false"/>
                <w:iCs w:val="false"/>
                <w:color w:val="FFFFFF"/>
                <w:sz w:val="18"/>
                <w:szCs w:val="18"/>
              </w:rPr>
              <w:t xml:space="preserve">Impact</w:t>
            </w:r>
          </w:p>
        </w:tc>
        <w:tc>
          <w:tcPr>
            <w:tcW w:type="dxa" w:w="2600"/>
            <w:shd w:fill="1F2937" w:val="clear"/>
            <w:tcMar>
              <w:top w:type="dxa" w:w="80"/>
              <w:left w:type="dxa" w:w="100"/>
              <w:bottom w:type="dxa" w:w="80"/>
              <w:right w:type="dxa" w:w="100"/>
            </w:tcMar>
          </w:tcPr>
          <w:p>
            <w:r>
              <w:rPr>
                <w:b/>
                <w:bCs/>
                <w:i w:val="false"/>
                <w:iCs w:val="false"/>
                <w:color w:val="FFFFFF"/>
                <w:sz w:val="18"/>
                <w:szCs w:val="18"/>
              </w:rPr>
              <w:t xml:space="preserve">Mitigation</w:t>
            </w:r>
          </w:p>
        </w:tc>
        <w:tc>
          <w:tcPr>
            <w:tcW w:type="dxa" w:w="1400"/>
            <w:shd w:fill="1F2937" w:val="clear"/>
            <w:tcMar>
              <w:top w:type="dxa" w:w="80"/>
              <w:left w:type="dxa" w:w="100"/>
              <w:bottom w:type="dxa" w:w="80"/>
              <w:right w:type="dxa" w:w="100"/>
            </w:tcMar>
          </w:tcPr>
          <w:p>
            <w:r>
              <w:rPr>
                <w:b/>
                <w:bCs/>
                <w:i w:val="false"/>
                <w:iCs w:val="false"/>
                <w:color w:val="FFFFFF"/>
                <w:sz w:val="18"/>
                <w:szCs w:val="18"/>
              </w:rPr>
              <w:t xml:space="preserve">Owner (via WP-0006)</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Documentation describes a schema never built</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Delivery / Governance</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High</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WP-0001 — publish revised Phase A document</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Enterprise Architecture Owner</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RLS may be missing on activity/cognitive/signal tables</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Security</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High if confirmed</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WP-0002 — immediate verification</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Security/Platform Engineer</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No accountable owner for any governance decision</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Governance / Delivery</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Critical</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WP-0006 — assign named owners immediately</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Executive Sponsor</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Unpartitioned tables degrade under continued growth</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Technical / Performance</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Medium, growing</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Quarterly monitoring against EGD-0004's trigger</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Platform Engineering Lead</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Taxonomy facts could later be denormalized onto student-owned rows</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Data Governance</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Medium, latent</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WP-0004 — per-release automated check</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Data Governance Owner</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Supersession/versioning retrofit becomes non-recoverable if deferred past a compliance trigger</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Compliance</w:t>
            </w:r>
          </w:p>
        </w:tc>
        <w:tc>
          <w:tcPr>
            <w:tcW w:type="dxa" w:w="1300"/>
            <w:tcMar>
              <w:top w:type="dxa" w:w="80"/>
              <w:left w:type="dxa" w:w="100"/>
              <w:bottom w:type="dxa" w:w="80"/>
              <w:right w:type="dxa" w:w="100"/>
            </w:tcMar>
          </w:tcPr>
          <w:p>
            <w:r>
              <w:rPr>
                <w:b w:val="false"/>
                <w:bCs w:val="false"/>
                <w:i w:val="false"/>
                <w:iCs w:val="false"/>
                <w:color w:val="000000"/>
                <w:sz w:val="18"/>
                <w:szCs w:val="18"/>
              </w:rPr>
              <w:t xml:space="preserve">High if triggered late</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Explicit executive awareness; monitor for compliance-scope changes</w:t>
            </w:r>
          </w:p>
        </w:tc>
        <w:tc>
          <w:tcPr>
            <w:tcW w:type="dxa" w:w="1400"/>
            <w:tcMar>
              <w:top w:type="dxa" w:w="80"/>
              <w:left w:type="dxa" w:w="100"/>
              <w:bottom w:type="dxa" w:w="80"/>
              <w:right w:type="dxa" w:w="100"/>
            </w:tcMar>
          </w:tcPr>
          <w:p>
            <w:r>
              <w:rPr>
                <w:b w:val="false"/>
                <w:bCs w:val="false"/>
                <w:i w:val="false"/>
                <w:iCs w:val="false"/>
                <w:color w:val="000000"/>
                <w:sz w:val="18"/>
                <w:szCs w:val="18"/>
              </w:rPr>
              <w:t xml:space="preserve">Data Governance Owner</w:t>
            </w:r>
          </w:p>
        </w:tc>
      </w:tr>
    </w:tbl>
    <w:p>
      <w:pPr>
        <w:pStyle w:val="Heading3"/>
        <w:spacing w:after="100" w:before="220"/>
      </w:pPr>
      <w:r>
        <w:t xml:space="preserve">Data Protection, Security Validation, Operational Resilience</w:t>
      </w:r>
    </w:p>
    <w:p>
      <w:pPr>
        <w:spacing w:after="160"/>
      </w:pPr>
      <w:r>
        <w:rPr>
          <w:b w:val="false"/>
          <w:bCs w:val="false"/>
          <w:i w:val="false"/>
          <w:iCs w:val="false"/>
        </w:rPr>
        <w:t xml:space="preserve">Data protection and security validation are covered by AR-0007 / EGD-0007 and WP-0002's verification method — the only evidenced security control in this baseline.</w:t>
      </w:r>
    </w:p>
    <w:p>
      <w:pPr>
        <w:spacing w:after="120" w:before="60"/>
      </w:pPr>
      <w:r>
        <w:rPr>
          <w:b/>
          <w:bCs/>
          <w:color w:val="8a2a2a"/>
          <w:sz w:val="18"/>
          <w:szCs w:val="18"/>
        </w:rPr>
        <w:t xml:space="preserve">RESERVED FOR FUTURE REALIZATION PHASES — NO APPROVED WORK PACKAGE EXISTS</w:t>
      </w:r>
    </w:p>
    <w:p>
      <w:pPr>
        <w:spacing w:after="160"/>
      </w:pPr>
      <w:r>
        <w:rPr>
          <w:b w:val="false"/>
          <w:bCs w:val="false"/>
          <w:i w:val="false"/>
          <w:iCs w:val="false"/>
        </w:rPr>
        <w:t xml:space="preserve">Operational resilience and disaster-recovery readiness beyond RLS coverage are not evidenced in this baseline — Portfolio 7 (Operations &amp; Observability) carries no Work Package. This strategy does not assert a DR posture it cannot cite evidence for.</w:t>
      </w:r>
    </w:p>
    <w:p>
      <w:pPr>
        <w:pStyle w:val="Heading1"/>
        <w:spacing w:after="180" w:before="360"/>
      </w:pPr>
      <w:r>
        <w:t xml:space="preserve">9. Enterprise Quality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937" w:val="clear"/>
            <w:tcMar>
              <w:top w:type="dxa" w:w="80"/>
              <w:left w:type="dxa" w:w="100"/>
              <w:bottom w:type="dxa" w:w="80"/>
              <w:right w:type="dxa" w:w="100"/>
            </w:tcMar>
          </w:tcPr>
          <w:p>
            <w:r>
              <w:rPr>
                <w:b/>
                <w:bCs/>
                <w:i w:val="false"/>
                <w:iCs w:val="false"/>
                <w:color w:val="FFFFFF"/>
                <w:sz w:val="18"/>
                <w:szCs w:val="18"/>
              </w:rPr>
              <w:t xml:space="preserve">Quality Dimension</w:t>
            </w:r>
          </w:p>
        </w:tc>
        <w:tc>
          <w:tcPr>
            <w:tcW w:type="dxa" w:w="6600"/>
            <w:shd w:fill="1F2937" w:val="clear"/>
            <w:tcMar>
              <w:top w:type="dxa" w:w="80"/>
              <w:left w:type="dxa" w:w="100"/>
              <w:bottom w:type="dxa" w:w="80"/>
              <w:right w:type="dxa" w:w="100"/>
            </w:tcMar>
          </w:tcPr>
          <w:p>
            <w:r>
              <w:rPr>
                <w:b/>
                <w:bCs/>
                <w:i w:val="false"/>
                <w:iCs w:val="false"/>
                <w:color w:val="FFFFFF"/>
                <w:sz w:val="18"/>
                <w:szCs w:val="18"/>
              </w:rPr>
              <w:t xml:space="preserve">Approved Guidance</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Engineering standards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AR-0008 (UUID primary keys) and AR-0009 (timestamptz discipline) — both Accepted, standing (EGD-0008), confirmed exceeding Phase A's own bar.</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Coding standards (application layer)</w:t>
            </w:r>
          </w:p>
        </w:tc>
        <w:tc>
          <w:tcPr>
            <w:tcW w:type="dxa" w:w="6600"/>
            <w:shd w:fill="EFEFEF" w:val="clear"/>
            <w:tcMar>
              <w:top w:type="dxa" w:w="80"/>
              <w:left w:type="dxa" w:w="100"/>
              <w:bottom w:type="dxa" w:w="80"/>
              <w:right w:type="dxa" w:w="100"/>
            </w:tcMar>
          </w:tcPr>
          <w:p>
            <w:r>
              <w:rPr>
                <w:b w:val="false"/>
                <w:bCs w:val="false"/>
                <w:i/>
                <w:iCs/>
                <w:color w:val="777777"/>
                <w:sz w:val="18"/>
                <w:szCs w:val="18"/>
              </w:rPr>
              <w:t xml:space="preserve">Not evidenced in the approved repositories beyond the database layer.</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Design reviews</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Not applicable to the current WP set — no new schema design work is planned; WP-0004 documents an already-accepted pattern.</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Automated testing</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No automated test suite is evidenced beyond migration idempotency checks (AR-0010). Recommend scoping as a future Work Package once a realization assessment exists for the relevant domain.</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Manual verification</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WP-0002's written RLS confirmation with query evidence.</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Performance validation</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WP-0003's quarterly row-count/latency check against the EGD-0004 trigger, once triggered.</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Security validation</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WP-0002 (RLS coverage) and WP-0005 (column-level access review for free-text/JSON payload columns).</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AI validation</w:t>
            </w:r>
          </w:p>
        </w:tc>
        <w:tc>
          <w:tcPr>
            <w:tcW w:type="dxa" w:w="6600"/>
            <w:shd w:fill="EFEFEF" w:val="clear"/>
            <w:tcMar>
              <w:top w:type="dxa" w:w="80"/>
              <w:left w:type="dxa" w:w="100"/>
              <w:bottom w:type="dxa" w:w="80"/>
              <w:right w:type="dxa" w:w="100"/>
            </w:tcMar>
          </w:tcPr>
          <w:p>
            <w:r>
              <w:rPr>
                <w:b w:val="false"/>
                <w:bCs w:val="false"/>
                <w:i/>
                <w:iCs/>
                <w:color w:val="777777"/>
                <w:sz w:val="18"/>
                <w:szCs w:val="18"/>
              </w:rPr>
              <w:t xml:space="preserve">Not applicable — Portfolio 3 (Enterprise AI) carries no Work Package.</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Documentation quality</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KPI-02 (Documentation Accuracy %): 30/100 baseline → 100 on WP-0001 completion, then monitored quarterly for drift.</w:t>
            </w:r>
          </w:p>
        </w:tc>
      </w:tr>
      <w:tr>
        <w:tc>
          <w:tcPr>
            <w:tcW w:type="dxa" w:w="2400"/>
            <w:tcMar>
              <w:top w:type="dxa" w:w="80"/>
              <w:left w:type="dxa" w:w="100"/>
              <w:bottom w:type="dxa" w:w="80"/>
              <w:right w:type="dxa" w:w="100"/>
            </w:tcMar>
          </w:tcPr>
          <w:p>
            <w:r>
              <w:rPr>
                <w:b w:val="false"/>
                <w:bCs w:val="false"/>
                <w:i w:val="false"/>
                <w:iCs w:val="false"/>
                <w:color w:val="000000"/>
                <w:sz w:val="18"/>
                <w:szCs w:val="18"/>
              </w:rPr>
              <w:t xml:space="preserve">Continuous improvement</w:t>
            </w:r>
          </w:p>
        </w:tc>
        <w:tc>
          <w:tcPr>
            <w:tcW w:type="dxa" w:w="6600"/>
            <w:tcMar>
              <w:top w:type="dxa" w:w="80"/>
              <w:left w:type="dxa" w:w="100"/>
              <w:bottom w:type="dxa" w:w="80"/>
              <w:right w:type="dxa" w:w="100"/>
            </w:tcMar>
          </w:tcPr>
          <w:p>
            <w:r>
              <w:rPr>
                <w:b w:val="false"/>
                <w:bCs w:val="false"/>
                <w:i w:val="false"/>
                <w:iCs w:val="false"/>
                <w:color w:val="000000"/>
                <w:sz w:val="18"/>
                <w:szCs w:val="18"/>
              </w:rPr>
              <w:t xml:space="preserve">Quarterly trigger-review cadence for all deferred EGDs (KPI-05, KPI-10).</w:t>
            </w:r>
          </w:p>
        </w:tc>
      </w:tr>
    </w:tbl>
    <w:p>
      <w:pPr>
        <w:pStyle w:val="Heading1"/>
        <w:spacing w:after="180" w:before="360"/>
      </w:pPr>
      <w:r>
        <w:t xml:space="preserve">10. Enterprise Delivery Model</w:t>
      </w:r>
    </w:p>
    <w:p>
      <w:pPr>
        <w:spacing w:after="160"/>
      </w:pPr>
      <w:r>
        <w:rPr>
          <w:b w:val="false"/>
          <w:bCs w:val="false"/>
          <w:i w:val="false"/>
          <w:iCs w:val="false"/>
        </w:rPr>
        <w:t xml:space="preserve">Roles are scoped to the work actually defined in Phase A.3 §9 and Phase B §4 — not the full enterprise role list the master template anticipates — since no evidenced Work Package currently requires roles beyond these five (Phase B §9).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1F2937" w:val="clear"/>
            <w:tcMar>
              <w:top w:type="dxa" w:w="80"/>
              <w:left w:type="dxa" w:w="100"/>
              <w:bottom w:type="dxa" w:w="80"/>
              <w:right w:type="dxa" w:w="100"/>
            </w:tcMar>
          </w:tcPr>
          <w:p>
            <w:r>
              <w:rPr>
                <w:b/>
                <w:bCs/>
                <w:i w:val="false"/>
                <w:iCs w:val="false"/>
                <w:color w:val="FFFFFF"/>
                <w:sz w:val="18"/>
                <w:szCs w:val="18"/>
              </w:rPr>
              <w:t xml:space="preserve">Role</w:t>
            </w:r>
          </w:p>
        </w:tc>
        <w:tc>
          <w:tcPr>
            <w:tcW w:type="dxa" w:w="4200"/>
            <w:shd w:fill="1F2937" w:val="clear"/>
            <w:tcMar>
              <w:top w:type="dxa" w:w="80"/>
              <w:left w:type="dxa" w:w="100"/>
              <w:bottom w:type="dxa" w:w="80"/>
              <w:right w:type="dxa" w:w="100"/>
            </w:tcMar>
          </w:tcPr>
          <w:p>
            <w:r>
              <w:rPr>
                <w:b/>
                <w:bCs/>
                <w:i w:val="false"/>
                <w:iCs w:val="false"/>
                <w:color w:val="FFFFFF"/>
                <w:sz w:val="18"/>
                <w:szCs w:val="18"/>
              </w:rPr>
              <w:t xml:space="preserve">Responsibility</w:t>
            </w:r>
          </w:p>
        </w:tc>
        <w:tc>
          <w:tcPr>
            <w:tcW w:type="dxa" w:w="2600"/>
            <w:shd w:fill="1F2937" w:val="clear"/>
            <w:tcMar>
              <w:top w:type="dxa" w:w="80"/>
              <w:left w:type="dxa" w:w="100"/>
              <w:bottom w:type="dxa" w:w="80"/>
              <w:right w:type="dxa" w:w="100"/>
            </w:tcMar>
          </w:tcPr>
          <w:p>
            <w:r>
              <w:rPr>
                <w:b/>
                <w:bCs/>
                <w:i w:val="false"/>
                <w:iCs w:val="false"/>
                <w:color w:val="FFFFFF"/>
                <w:sz w:val="18"/>
                <w:szCs w:val="18"/>
              </w:rPr>
              <w:t xml:space="preserve">Activation</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Enterprise Architecture Owner</w:t>
            </w:r>
          </w:p>
        </w:tc>
        <w:tc>
          <w:tcPr>
            <w:tcW w:type="dxa" w:w="4200"/>
            <w:tcMar>
              <w:top w:type="dxa" w:w="80"/>
              <w:left w:type="dxa" w:w="100"/>
              <w:bottom w:type="dxa" w:w="80"/>
              <w:right w:type="dxa" w:w="100"/>
            </w:tcMar>
          </w:tcPr>
          <w:p>
            <w:r>
              <w:rPr>
                <w:b w:val="false"/>
                <w:bCs w:val="false"/>
                <w:i w:val="false"/>
                <w:iCs w:val="false"/>
                <w:color w:val="000000"/>
                <w:sz w:val="18"/>
                <w:szCs w:val="18"/>
              </w:rPr>
              <w:t xml:space="preserve">Author the revised Phase A document (WP-0001); standing steward of AR-0008–0010.</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Wave 1: assigned via WP-0006. Wave 2: active.</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Data Governance Owner</w:t>
            </w:r>
          </w:p>
        </w:tc>
        <w:tc>
          <w:tcPr>
            <w:tcW w:type="dxa" w:w="4200"/>
            <w:tcMar>
              <w:top w:type="dxa" w:w="80"/>
              <w:left w:type="dxa" w:w="100"/>
              <w:bottom w:type="dxa" w:w="80"/>
              <w:right w:type="dxa" w:w="100"/>
            </w:tcMar>
          </w:tcPr>
          <w:p>
            <w:r>
              <w:rPr>
                <w:b w:val="false"/>
                <w:bCs w:val="false"/>
                <w:i w:val="false"/>
                <w:iCs w:val="false"/>
                <w:color w:val="000000"/>
                <w:sz w:val="18"/>
                <w:szCs w:val="18"/>
              </w:rPr>
              <w:t xml:space="preserve">Own the taxonomy denormalization check (WP-0004); monitor AR-0003's condition.</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Wave 1: assigned via WP-0006. Wave 2: active.</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Platform Engineering Lead</w:t>
            </w:r>
          </w:p>
        </w:tc>
        <w:tc>
          <w:tcPr>
            <w:tcW w:type="dxa" w:w="4200"/>
            <w:tcMar>
              <w:top w:type="dxa" w:w="80"/>
              <w:left w:type="dxa" w:w="100"/>
              <w:bottom w:type="dxa" w:w="80"/>
              <w:right w:type="dxa" w:w="100"/>
            </w:tcMar>
          </w:tcPr>
          <w:p>
            <w:r>
              <w:rPr>
                <w:b w:val="false"/>
                <w:bCs w:val="false"/>
                <w:i w:val="false"/>
                <w:iCs w:val="false"/>
                <w:color w:val="000000"/>
                <w:sz w:val="18"/>
                <w:szCs w:val="18"/>
              </w:rPr>
              <w:t xml:space="preserve">Own trigger monitoring for AR-0001 and AR-0004; steward AR-0010 standard.</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Wave 1: assigned via WP-0006. Wave 3 (if triggered): active on WP-0003.</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Security / Platform Engineer</w:t>
            </w:r>
          </w:p>
        </w:tc>
        <w:tc>
          <w:tcPr>
            <w:tcW w:type="dxa" w:w="4200"/>
            <w:tcMar>
              <w:top w:type="dxa" w:w="80"/>
              <w:left w:type="dxa" w:w="100"/>
              <w:bottom w:type="dxa" w:w="80"/>
              <w:right w:type="dxa" w:w="100"/>
            </w:tcMar>
          </w:tcPr>
          <w:p>
            <w:r>
              <w:rPr>
                <w:b w:val="false"/>
                <w:bCs w:val="false"/>
                <w:i w:val="false"/>
                <w:iCs w:val="false"/>
                <w:color w:val="000000"/>
                <w:sz w:val="18"/>
                <w:szCs w:val="18"/>
              </w:rPr>
              <w:t xml:space="preserve">Execute WP-0002 (RLS verification) and WP-0005 (column-level review).</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Wave 1: active on WP-0002. Wave 2: active on WP-0005.</w:t>
            </w:r>
          </w:p>
        </w:tc>
      </w:tr>
      <w:tr>
        <w:tc>
          <w:tcPr>
            <w:tcW w:type="dxa" w:w="2200"/>
            <w:tcMar>
              <w:top w:type="dxa" w:w="80"/>
              <w:left w:type="dxa" w:w="100"/>
              <w:bottom w:type="dxa" w:w="80"/>
              <w:right w:type="dxa" w:w="100"/>
            </w:tcMar>
          </w:tcPr>
          <w:p>
            <w:r>
              <w:rPr>
                <w:b w:val="false"/>
                <w:bCs w:val="false"/>
                <w:i w:val="false"/>
                <w:iCs w:val="false"/>
                <w:color w:val="000000"/>
                <w:sz w:val="18"/>
                <w:szCs w:val="18"/>
              </w:rPr>
              <w:t xml:space="preserve">Executive Sponsor / Governance Board</w:t>
            </w:r>
          </w:p>
        </w:tc>
        <w:tc>
          <w:tcPr>
            <w:tcW w:type="dxa" w:w="4200"/>
            <w:tcMar>
              <w:top w:type="dxa" w:w="80"/>
              <w:left w:type="dxa" w:w="100"/>
              <w:bottom w:type="dxa" w:w="80"/>
              <w:right w:type="dxa" w:w="100"/>
            </w:tcMar>
          </w:tcPr>
          <w:p>
            <w:r>
              <w:rPr>
                <w:b w:val="false"/>
                <w:bCs w:val="false"/>
                <w:i w:val="false"/>
                <w:iCs w:val="false"/>
                <w:color w:val="000000"/>
                <w:sz w:val="18"/>
                <w:szCs w:val="18"/>
              </w:rPr>
              <w:t xml:space="preserve">Execute WP-0006 itself; hold ongoing quarterly trigger reviews.</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Wave 1: active — names all owners.</w:t>
            </w:r>
          </w:p>
        </w:tc>
      </w:tr>
    </w:tbl>
    <w:p>
      <w:pPr>
        <w:spacing w:after="120" w:before="60"/>
      </w:pPr>
      <w:r>
        <w:rPr>
          <w:b/>
          <w:bCs/>
          <w:color w:val="8a2a2a"/>
          <w:sz w:val="18"/>
          <w:szCs w:val="18"/>
        </w:rPr>
        <w:t xml:space="preserve">RESERVED FOR FUTURE REALIZATION PHASES — NO APPROVED WORK PACKAGE EXISTS</w:t>
      </w:r>
    </w:p>
    <w:p>
      <w:pPr>
        <w:spacing w:after="160"/>
      </w:pPr>
      <w:r>
        <w:rPr>
          <w:b w:val="false"/>
          <w:bCs w:val="false"/>
          <w:i w:val="false"/>
          <w:iCs w:val="false"/>
        </w:rPr>
        <w:t xml:space="preserve">Broader enterprise functions the master template anticipates — a dedicated PMO, Product Management, formal QA and DevOps teams, an AI Engineering function, a Data Engineering function distinct from the roles above — are not evidenced as existing or required at current scope. Per Phase B §9, these should be added only once Portfolios 3–7 are populated by a future realization assessment, not assumed into being here.</w:t>
      </w:r>
    </w:p>
    <w:p>
      <w:pPr>
        <w:pStyle w:val="Heading1"/>
        <w:spacing w:after="180" w:before="360"/>
      </w:pPr>
      <w:r>
        <w:t xml:space="preserve">11. Traceability Framework</w:t>
      </w:r>
    </w:p>
    <w:p>
      <w:pPr>
        <w:spacing w:after="160"/>
      </w:pPr>
      <w:r>
        <w:rPr>
          <w:b w:val="false"/>
          <w:bCs w:val="false"/>
          <w:i w:val="false"/>
          <w:iCs w:val="false"/>
        </w:rPr>
        <w:t xml:space="preserve">This strategy introduces no new traceability mechanism. It adopts, unchanged, the chain established in Phase A.3 §7 and extended in Phase B §8: Architecture Requirement → Enterprise Governance Decision → Repository Evidence → Implementation Status → Work Package → Portfolio → Wave → Milestone → Owner → Verification Method → Certification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900"/>
        <w:gridCol w:w="1900"/>
        <w:gridCol w:w="2200"/>
        <w:gridCol w:w="1200"/>
      </w:tblGrid>
      <w:tr>
        <w:trPr>
          <w:tblHeader/>
        </w:trPr>
        <w:tc>
          <w:tcPr>
            <w:tcW w:type="dxa" w:w="900"/>
            <w:shd w:fill="1F2937" w:val="clear"/>
            <w:tcMar>
              <w:top w:type="dxa" w:w="80"/>
              <w:left w:type="dxa" w:w="100"/>
              <w:bottom w:type="dxa" w:w="80"/>
              <w:right w:type="dxa" w:w="100"/>
            </w:tcMar>
          </w:tcPr>
          <w:p>
            <w:r>
              <w:rPr>
                <w:b/>
                <w:bCs/>
                <w:i w:val="false"/>
                <w:iCs w:val="false"/>
                <w:color w:val="FFFFFF"/>
                <w:sz w:val="18"/>
                <w:szCs w:val="18"/>
              </w:rPr>
              <w:t xml:space="preserve">AR</w:t>
            </w:r>
          </w:p>
        </w:tc>
        <w:tc>
          <w:tcPr>
            <w:tcW w:type="dxa" w:w="900"/>
            <w:shd w:fill="1F2937" w:val="clear"/>
            <w:tcMar>
              <w:top w:type="dxa" w:w="80"/>
              <w:left w:type="dxa" w:w="100"/>
              <w:bottom w:type="dxa" w:w="80"/>
              <w:right w:type="dxa" w:w="100"/>
            </w:tcMar>
          </w:tcPr>
          <w:p>
            <w:r>
              <w:rPr>
                <w:b/>
                <w:bCs/>
                <w:i w:val="false"/>
                <w:iCs w:val="false"/>
                <w:color w:val="FFFFFF"/>
                <w:sz w:val="18"/>
                <w:szCs w:val="18"/>
              </w:rPr>
              <w:t xml:space="preserve">EGD</w:t>
            </w:r>
          </w:p>
        </w:tc>
        <w:tc>
          <w:tcPr>
            <w:tcW w:type="dxa" w:w="1900"/>
            <w:shd w:fill="1F2937" w:val="clear"/>
            <w:tcMar>
              <w:top w:type="dxa" w:w="80"/>
              <w:left w:type="dxa" w:w="100"/>
              <w:bottom w:type="dxa" w:w="80"/>
              <w:right w:type="dxa" w:w="100"/>
            </w:tcMar>
          </w:tcPr>
          <w:p>
            <w:r>
              <w:rPr>
                <w:b/>
                <w:bCs/>
                <w:i w:val="false"/>
                <w:iCs w:val="false"/>
                <w:color w:val="FFFFFF"/>
                <w:sz w:val="18"/>
                <w:szCs w:val="18"/>
              </w:rPr>
              <w:t xml:space="preserve">Portfolio / Wave</w:t>
            </w:r>
          </w:p>
        </w:tc>
        <w:tc>
          <w:tcPr>
            <w:tcW w:type="dxa" w:w="1900"/>
            <w:shd w:fill="1F2937" w:val="clear"/>
            <w:tcMar>
              <w:top w:type="dxa" w:w="80"/>
              <w:left w:type="dxa" w:w="100"/>
              <w:bottom w:type="dxa" w:w="80"/>
              <w:right w:type="dxa" w:w="100"/>
            </w:tcMar>
          </w:tcPr>
          <w:p>
            <w:r>
              <w:rPr>
                <w:b/>
                <w:bCs/>
                <w:i w:val="false"/>
                <w:iCs w:val="false"/>
                <w:color w:val="FFFFFF"/>
                <w:sz w:val="18"/>
                <w:szCs w:val="18"/>
              </w:rPr>
              <w:t xml:space="preserve">Milestone</w:t>
            </w:r>
          </w:p>
        </w:tc>
        <w:tc>
          <w:tcPr>
            <w:tcW w:type="dxa" w:w="2200"/>
            <w:shd w:fill="1F2937" w:val="clear"/>
            <w:tcMar>
              <w:top w:type="dxa" w:w="80"/>
              <w:left w:type="dxa" w:w="100"/>
              <w:bottom w:type="dxa" w:w="80"/>
              <w:right w:type="dxa" w:w="100"/>
            </w:tcMar>
          </w:tcPr>
          <w:p>
            <w:r>
              <w:rPr>
                <w:b/>
                <w:bCs/>
                <w:i w:val="false"/>
                <w:iCs w:val="false"/>
                <w:color w:val="FFFFFF"/>
                <w:sz w:val="18"/>
                <w:szCs w:val="18"/>
              </w:rPr>
              <w:t xml:space="preserve">Owner (via WP-0006)</w:t>
            </w:r>
          </w:p>
        </w:tc>
        <w:tc>
          <w:tcPr>
            <w:tcW w:type="dxa" w:w="1200"/>
            <w:shd w:fill="1F2937" w:val="clear"/>
            <w:tcMar>
              <w:top w:type="dxa" w:w="80"/>
              <w:left w:type="dxa" w:w="100"/>
              <w:bottom w:type="dxa" w:w="80"/>
              <w:right w:type="dxa" w:w="100"/>
            </w:tcMar>
          </w:tcPr>
          <w:p>
            <w:r>
              <w:rPr>
                <w:b/>
                <w:bCs/>
                <w:i w:val="false"/>
                <w:iCs w:val="false"/>
                <w:color w:val="FFFFFF"/>
                <w:sz w:val="18"/>
                <w:szCs w:val="18"/>
              </w:rPr>
              <w:t xml:space="preserve">Certification</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AR-0001</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EGD-0001</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Trigger-gated (no wave)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Data/Platform Engineering Lead</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L3</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AR-0002</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EGD-0002</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 Wave 2</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Data Platform Ready</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Enterprise Architecture Owner</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L4 (pending)</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AR-0003</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EGD-0003</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 Wave 2</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Data Platform Ready</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Data Governance Owner</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L4 (pending)</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AR-0004</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EGD-0004</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 Wave 3 (trigger-gated)</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Data Platform Ready (conditional)</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Platform Engineering Lead</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L3</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AR-0005</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EGD-0005</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Trigger-gated (no wave)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Product + Data Architecture</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L3</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AR-0006</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EGD-0006</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Trigger-gated (no wave)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Compliance / Data Governance</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L3</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AR-0007</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EGD-0007</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2, Wave 1 (WP-0002); Wave 2 (WP-0005)</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Critical Security Complete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Security/Platform Engineer</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L4 (pending)</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AR-0008</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EGD-0008</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 (standing)</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Baseline Complete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Enterprise Architecture Owner</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Conformant</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AR-0009</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EGD-0008</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 (standing)</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Baseline Complete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Enterprise Architecture Owner</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Conformant</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AR-0010</w:t>
            </w:r>
          </w:p>
        </w:tc>
        <w:tc>
          <w:tcPr>
            <w:tcW w:type="dxa" w:w="900"/>
            <w:tcMar>
              <w:top w:type="dxa" w:w="80"/>
              <w:left w:type="dxa" w:w="100"/>
              <w:bottom w:type="dxa" w:w="80"/>
              <w:right w:type="dxa" w:w="100"/>
            </w:tcMar>
          </w:tcPr>
          <w:p>
            <w:r>
              <w:rPr>
                <w:b w:val="false"/>
                <w:bCs w:val="false"/>
                <w:i w:val="false"/>
                <w:iCs w:val="false"/>
                <w:color w:val="000000"/>
                <w:sz w:val="18"/>
                <w:szCs w:val="18"/>
              </w:rPr>
              <w:t xml:space="preserve">EGD-0009</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Portfolio 1 (standing)</w:t>
            </w:r>
          </w:p>
        </w:tc>
        <w:tc>
          <w:tcPr>
            <w:tcW w:type="dxa" w:w="1900"/>
            <w:tcMar>
              <w:top w:type="dxa" w:w="80"/>
              <w:left w:type="dxa" w:w="100"/>
              <w:bottom w:type="dxa" w:w="80"/>
              <w:right w:type="dxa" w:w="100"/>
            </w:tcMar>
          </w:tcPr>
          <w:p>
            <w:r>
              <w:rPr>
                <w:b w:val="false"/>
                <w:bCs w:val="false"/>
                <w:i w:val="false"/>
                <w:iCs w:val="false"/>
                <w:color w:val="000000"/>
                <w:sz w:val="18"/>
                <w:szCs w:val="18"/>
              </w:rPr>
              <w:t xml:space="preserve">Baseline Complete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Platform Engineering Lead</w:t>
            </w:r>
          </w:p>
        </w:tc>
        <w:tc>
          <w:tcPr>
            <w:tcW w:type="dxa" w:w="1200"/>
            <w:tcMar>
              <w:top w:type="dxa" w:w="80"/>
              <w:left w:type="dxa" w:w="100"/>
              <w:bottom w:type="dxa" w:w="80"/>
              <w:right w:type="dxa" w:w="100"/>
            </w:tcMar>
          </w:tcPr>
          <w:p>
            <w:r>
              <w:rPr>
                <w:b w:val="false"/>
                <w:bCs w:val="false"/>
                <w:i w:val="false"/>
                <w:iCs w:val="false"/>
                <w:color w:val="000000"/>
                <w:sz w:val="18"/>
                <w:szCs w:val="18"/>
              </w:rPr>
              <w:t xml:space="preserve">Conformant</w:t>
            </w:r>
          </w:p>
        </w:tc>
      </w:tr>
    </w:tbl>
    <w:p>
      <w:pPr>
        <w:spacing w:after="160"/>
      </w:pPr>
      <w:r>
        <w:rPr>
          <w:b w:val="false"/>
          <w:bCs w:val="false"/>
          <w:i w:val="false"/>
          <w:iCs w:val="false"/>
        </w:rPr>
        <w:t xml:space="preserve">Full verification methods per AR are documented in Phase A.3 §7 and are not restated here; this table exists to bind execution activity under this strategy back to that single source of truth, not to duplicate it.</w:t>
      </w:r>
    </w:p>
    <w:p>
      <w:pPr>
        <w:pStyle w:val="Heading1"/>
        <w:spacing w:after="180" w:before="360"/>
      </w:pPr>
      <w:r>
        <w:t xml:space="preserve">12. Success Measures</w:t>
      </w:r>
    </w:p>
    <w:p>
      <w:pPr>
        <w:spacing w:after="160"/>
      </w:pPr>
      <w:r>
        <w:rPr>
          <w:b w:val="false"/>
          <w:bCs w:val="false"/>
          <w:i w:val="false"/>
          <w:iCs w:val="false"/>
        </w:rPr>
        <w:t xml:space="preserve">Reused unchanged from Phase A.3 §10 (baseline) and Phase B §11 (end-of-Wave-2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600"/>
        <w:gridCol w:w="2200"/>
      </w:tblGrid>
      <w:tr>
        <w:trPr>
          <w:tblHeader/>
        </w:trPr>
        <w:tc>
          <w:tcPr>
            <w:tcW w:type="dxa" w:w="900"/>
            <w:shd w:fill="1F2937" w:val="clear"/>
            <w:tcMar>
              <w:top w:type="dxa" w:w="80"/>
              <w:left w:type="dxa" w:w="100"/>
              <w:bottom w:type="dxa" w:w="80"/>
              <w:right w:type="dxa" w:w="100"/>
            </w:tcMar>
          </w:tcPr>
          <w:p>
            <w:r>
              <w:rPr>
                <w:b/>
                <w:bCs/>
                <w:i w:val="false"/>
                <w:iCs w:val="false"/>
                <w:color w:val="FFFFFF"/>
                <w:sz w:val="18"/>
                <w:szCs w:val="18"/>
              </w:rPr>
              <w:t xml:space="preserve">KPI</w:t>
            </w:r>
          </w:p>
        </w:tc>
        <w:tc>
          <w:tcPr>
            <w:tcW w:type="dxa" w:w="3300"/>
            <w:shd w:fill="1F2937" w:val="clear"/>
            <w:tcMar>
              <w:top w:type="dxa" w:w="80"/>
              <w:left w:type="dxa" w:w="100"/>
              <w:bottom w:type="dxa" w:w="80"/>
              <w:right w:type="dxa" w:w="100"/>
            </w:tcMar>
          </w:tcPr>
          <w:p>
            <w:r>
              <w:rPr>
                <w:b/>
                <w:bCs/>
                <w:i w:val="false"/>
                <w:iCs w:val="false"/>
                <w:color w:val="FFFFFF"/>
                <w:sz w:val="18"/>
                <w:szCs w:val="18"/>
              </w:rPr>
              <w:t xml:space="preserve">Metric</w:t>
            </w:r>
          </w:p>
        </w:tc>
        <w:tc>
          <w:tcPr>
            <w:tcW w:type="dxa" w:w="2600"/>
            <w:shd w:fill="1F2937" w:val="clear"/>
            <w:tcMar>
              <w:top w:type="dxa" w:w="80"/>
              <w:left w:type="dxa" w:w="100"/>
              <w:bottom w:type="dxa" w:w="80"/>
              <w:right w:type="dxa" w:w="100"/>
            </w:tcMar>
          </w:tcPr>
          <w:p>
            <w:r>
              <w:rPr>
                <w:b/>
                <w:bCs/>
                <w:i w:val="false"/>
                <w:iCs w:val="false"/>
                <w:color w:val="FFFFFF"/>
                <w:sz w:val="18"/>
                <w:szCs w:val="18"/>
              </w:rPr>
              <w:t xml:space="preserve">Baseline</w:t>
            </w:r>
          </w:p>
        </w:tc>
        <w:tc>
          <w:tcPr>
            <w:tcW w:type="dxa" w:w="2200"/>
            <w:shd w:fill="1F2937" w:val="clear"/>
            <w:tcMar>
              <w:top w:type="dxa" w:w="80"/>
              <w:left w:type="dxa" w:w="100"/>
              <w:bottom w:type="dxa" w:w="80"/>
              <w:right w:type="dxa" w:w="100"/>
            </w:tcMar>
          </w:tcPr>
          <w:p>
            <w:r>
              <w:rPr>
                <w:b/>
                <w:bCs/>
                <w:i w:val="false"/>
                <w:iCs w:val="false"/>
                <w:color w:val="FFFFFF"/>
                <w:sz w:val="18"/>
                <w:szCs w:val="18"/>
              </w:rPr>
              <w:t xml:space="preserve">Target</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KPI-01</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Architecture Conformance %</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35/100</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≥90</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KPI-02</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Documentation Accuracy %</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30/100</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100</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KPI-03</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Overall Governance Compliance %</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48/100</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≥70</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KPI-04</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Approved Variances (count)</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4</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Stable or declining</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KPI-05</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Deferred Decisions (count)</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4</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Declining as triggers fire</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KPI-06</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RLS Coverage %</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Confirmed on 2 tables; unverified elsewhere</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100% confirmed</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KPI-07</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Governance Decision Traceability %</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70/100</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100</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KPI-08</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Ownership Assignment %</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0%</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100% on WP-0006</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KPI-09</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Technical Debt by Class (Crit/Strat/Tact/Accept)</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1/1/1/1</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0 Critical on WP-0002</w:t>
            </w:r>
          </w:p>
        </w:tc>
      </w:tr>
      <w:tr>
        <w:tc>
          <w:tcPr>
            <w:tcW w:type="dxa" w:w="900"/>
            <w:tcMar>
              <w:top w:type="dxa" w:w="80"/>
              <w:left w:type="dxa" w:w="100"/>
              <w:bottom w:type="dxa" w:w="80"/>
              <w:right w:type="dxa" w:w="100"/>
            </w:tcMar>
          </w:tcPr>
          <w:p>
            <w:r>
              <w:rPr>
                <w:b w:val="false"/>
                <w:bCs w:val="false"/>
                <w:i w:val="false"/>
                <w:iCs w:val="false"/>
                <w:color w:val="000000"/>
                <w:sz w:val="18"/>
                <w:szCs w:val="18"/>
              </w:rPr>
              <w:t xml:space="preserve">KPI-10</w:t>
            </w:r>
          </w:p>
        </w:tc>
        <w:tc>
          <w:tcPr>
            <w:tcW w:type="dxa" w:w="3300"/>
            <w:tcMar>
              <w:top w:type="dxa" w:w="80"/>
              <w:left w:type="dxa" w:w="100"/>
              <w:bottom w:type="dxa" w:w="80"/>
              <w:right w:type="dxa" w:w="100"/>
            </w:tcMar>
          </w:tcPr>
          <w:p>
            <w:r>
              <w:rPr>
                <w:b w:val="false"/>
                <w:bCs w:val="false"/>
                <w:i w:val="false"/>
                <w:iCs w:val="false"/>
                <w:color w:val="000000"/>
                <w:sz w:val="18"/>
                <w:szCs w:val="18"/>
              </w:rPr>
              <w:t xml:space="preserve">Architecture Review SLA</w:t>
            </w:r>
          </w:p>
        </w:tc>
        <w:tc>
          <w:tcPr>
            <w:tcW w:type="dxa" w:w="2600"/>
            <w:tcMar>
              <w:top w:type="dxa" w:w="80"/>
              <w:left w:type="dxa" w:w="100"/>
              <w:bottom w:type="dxa" w:w="80"/>
              <w:right w:type="dxa" w:w="100"/>
            </w:tcMar>
          </w:tcPr>
          <w:p>
            <w:r>
              <w:rPr>
                <w:b w:val="false"/>
                <w:bCs w:val="false"/>
                <w:i w:val="false"/>
                <w:iCs w:val="false"/>
                <w:color w:val="000000"/>
                <w:sz w:val="18"/>
                <w:szCs w:val="18"/>
              </w:rPr>
              <w:t xml:space="preserve">Not yet defined</w:t>
            </w:r>
          </w:p>
        </w:tc>
        <w:tc>
          <w:tcPr>
            <w:tcW w:type="dxa" w:w="2200"/>
            <w:tcMar>
              <w:top w:type="dxa" w:w="80"/>
              <w:left w:type="dxa" w:w="100"/>
              <w:bottom w:type="dxa" w:w="80"/>
              <w:right w:type="dxa" w:w="100"/>
            </w:tcMar>
          </w:tcPr>
          <w:p>
            <w:r>
              <w:rPr>
                <w:b w:val="false"/>
                <w:bCs w:val="false"/>
                <w:i w:val="false"/>
                <w:iCs w:val="false"/>
                <w:color w:val="000000"/>
                <w:sz w:val="18"/>
                <w:szCs w:val="18"/>
              </w:rPr>
              <w:t xml:space="preserve">Quarterly, standing</w:t>
            </w:r>
          </w:p>
        </w:tc>
      </w:tr>
    </w:tbl>
    <w:p>
      <w:pPr>
        <w:pStyle w:val="Heading3"/>
        <w:spacing w:after="100" w:before="220"/>
      </w:pPr>
      <w:r>
        <w:t xml:space="preserve">Readiness Measures</w:t>
      </w:r>
    </w:p>
    <w:p>
      <w:pPr>
        <w:pStyle w:val="ListParagraph"/>
        <w:numPr>
          <w:ilvl w:val="0"/>
          <w:numId w:val="1"/>
        </w:numPr>
        <w:spacing w:after="80"/>
      </w:pPr>
      <w:r>
        <w:t xml:space="preserve">Engineering readiness: Wave 1 (WP-0002, WP-0006) startable immediately, zero blocking dependency.</w:t>
      </w:r>
    </w:p>
    <w:p>
      <w:pPr>
        <w:pStyle w:val="ListParagraph"/>
        <w:numPr>
          <w:ilvl w:val="0"/>
          <w:numId w:val="1"/>
        </w:numPr>
        <w:spacing w:after="80"/>
      </w:pPr>
      <w:r>
        <w:t xml:space="preserve">Repository readiness: sound independently of Phase A conformance — no integrity or engineering-quality blocker found (Phase A.3 §15).</w:t>
      </w:r>
    </w:p>
    <w:p>
      <w:pPr>
        <w:pStyle w:val="ListParagraph"/>
        <w:numPr>
          <w:ilvl w:val="0"/>
          <w:numId w:val="1"/>
        </w:numPr>
        <w:spacing w:after="80"/>
      </w:pPr>
      <w:r>
        <w:t xml:space="preserve">Architecture conformance: KPI-01 ≥90 on WP-0001 completion.</w:t>
      </w:r>
    </w:p>
    <w:p>
      <w:pPr>
        <w:pStyle w:val="ListParagraph"/>
        <w:numPr>
          <w:ilvl w:val="0"/>
          <w:numId w:val="1"/>
        </w:numPr>
        <w:spacing w:after="80"/>
      </w:pPr>
      <w:r>
        <w:t xml:space="preserve">Delivery quality: KPI-09 Critical debt item closes to 0 on WP-0002 verification.</w:t>
      </w:r>
    </w:p>
    <w:p>
      <w:pPr>
        <w:pStyle w:val="ListParagraph"/>
        <w:numPr>
          <w:ilvl w:val="0"/>
          <w:numId w:val="1"/>
        </w:numPr>
        <w:spacing w:after="80"/>
      </w:pPr>
      <w:r>
        <w:t xml:space="preserve">Governance compliance: KPI-03 ≥70 once WP-0006 and WP-0001 complete.</w:t>
      </w:r>
    </w:p>
    <w:p>
      <w:pPr>
        <w:pStyle w:val="ListParagraph"/>
        <w:numPr>
          <w:ilvl w:val="0"/>
          <w:numId w:val="1"/>
        </w:numPr>
        <w:spacing w:after="80"/>
      </w:pPr>
      <w:r>
        <w:t xml:space="preserve">Testing completeness: written RLS confirmation for every student-owned table (KPI-06 = 100%).</w:t>
      </w:r>
    </w:p>
    <w:p>
      <w:pPr>
        <w:pStyle w:val="ListParagraph"/>
        <w:numPr>
          <w:ilvl w:val="0"/>
          <w:numId w:val="1"/>
        </w:numPr>
        <w:spacing w:after="80"/>
      </w:pPr>
      <w:r>
        <w:t xml:space="preserve">Production readiness: Production Ready milestone met when all Wave 1–3 WPs are executed and verified (Certification L4 across all 10 ARs).</w:t>
      </w:r>
    </w:p>
    <w:p>
      <w:pPr>
        <w:pStyle w:val="ListParagraph"/>
        <w:numPr>
          <w:ilvl w:val="0"/>
          <w:numId w:val="1"/>
        </w:numPr>
        <w:spacing w:after="80"/>
      </w:pPr>
      <w:r>
        <w:t xml:space="preserve">Business value realization: High-value WPs (WP-0001, WP-0002) resolve this baseline's only two High-rated risks.</w:t>
      </w:r>
    </w:p>
    <w:p>
      <w:pPr>
        <w:pStyle w:val="Heading1"/>
        <w:spacing w:after="180" w:before="360"/>
      </w:pPr>
      <w:r>
        <w:t xml:space="preserve">13. Executive Summary</w:t>
      </w:r>
    </w:p>
    <w:p>
      <w:pPr>
        <w:spacing w:after="160"/>
      </w:pPr>
      <w:r>
        <w:rPr>
          <w:b w:val="false"/>
          <w:bCs w:val="false"/>
          <w:i w:val="false"/>
          <w:iCs w:val="false"/>
        </w:rPr>
        <w:t xml:space="preserve">This Enterprise Work Package Execution Strategy translates ERP-01 Phase B's roadmap into governing engineering principles for exactly the six Work Packages (WP-0001–WP-0006) with approved Architecture Requirement and Enterprise Governance Decision backing. It introduces no new architecture, no new disposition, and no new identifier — every principle, checkpoint, and success measure in this document traces to Phase A.3 or Phase B directly.</w:t>
      </w:r>
    </w:p>
    <w:p>
      <w:pPr>
        <w:spacing w:after="160"/>
      </w:pPr>
      <w:r>
        <w:rPr>
          <w:b w:val="false"/>
          <w:bCs w:val="false"/>
          <w:i w:val="false"/>
          <w:iCs w:val="false"/>
        </w:rPr>
        <w:t xml:space="preserve">Consistent with this program's own evidence-governance principles (AP-002, AP-006, AP-007), the strategy explicitly declines to issue execution guidance for the five reserved portfolios (Enterprise AI, Business Capabilities, Knowledge Platform, Integration Platform, Operations &amp; Observability) or for Waves 4–5, since no realization assessment yet exists in those domains. Populating them with invented execution guidance here would claim implementation authority the approved repositories do not support.</w:t>
      </w:r>
    </w:p>
    <w:p>
      <w:pPr>
        <w:spacing w:after="160"/>
      </w:pPr>
      <w:r>
        <w:rPr>
          <w:b w:val="false"/>
          <w:bCs w:val="false"/>
          <w:i w:val="false"/>
          <w:iCs w:val="false"/>
        </w:rPr>
        <w:t xml:space="preserve">Execution readiness today: Wave 1 (WP-0002, WP-0006) may begin immediately with zero blocking dependency. The single condition attached to this readiness — carried forward unchanged from both Phase A.3 and Phase B — is that Resource Readiness is not yet met (KPI-08 = 0%). This strategy should be treated as immediately startable, not yet fully executable, until WP-0006 closes that gap and names the five accountable owners this document is written for.</w:t>
      </w:r>
    </w:p>
    <w:p>
      <w:pPr>
        <w:spacing w:after="160"/>
      </w:pPr>
      <w:r>
        <w:rPr>
          <w:b w:val="false"/>
          <w:bCs w:val="false"/>
          <w:i w:val="false"/>
          <w:iCs w:val="false"/>
        </w:rPr>
        <w:t xml:space="preserve">On completion of Wave 1 and Wave 2, this program advances from Certification L3 (Implementation Traceable) to L4 (Implementation Verified) — the next concrete, evidence-bound milestone in ERP-01 Phase C, and the correct scope for this strategy to govern until a future phase produces evidence to expand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6D3B" w:sz="8" w:space="4"/>
      </w:pBdr>
      <w:spacing w:after="160" w:before="320"/>
    </w:pPr>
    <w:rPr>
      <w:b/>
      <w:bCs/>
      <w:color w:val="1F2937"/>
      <w:sz w:val="28"/>
      <w:szCs w:val="28"/>
    </w:rPr>
  </w:style>
  <w:style w:type="paragraph" w:styleId="Heading2">
    <w:name w:val="Heading 2"/>
    <w:basedOn w:val="Normal"/>
    <w:next w:val="Normal"/>
    <w:qFormat/>
    <w:rPr>
      <w:b/>
      <w:bCs/>
      <w:color w:val="1F2937"/>
      <w:sz w:val="24"/>
      <w:szCs w:val="24"/>
    </w:rPr>
  </w:style>
  <w:style w:type="paragraph" w:styleId="Heading3">
    <w:name w:val="Heading 3"/>
    <w:basedOn w:val="Normal"/>
    <w:next w:val="Normal"/>
    <w:qFormat/>
    <w:rPr>
      <w:b/>
      <w:bCs/>
      <w:i/>
      <w:iCs/>
      <w:color w:val="444444"/>
      <w:sz w:val="22"/>
      <w:szCs w:val="22"/>
    </w:rPr>
  </w:style>
  <w:style w:type="paragraph" w:styleId="Title">
    <w:name w:val="Title"/>
    <w:basedOn w:val="Normal"/>
    <w:next w:val="Normal"/>
    <w:qFormat/>
    <w:rPr>
      <w:b/>
      <w:bCs/>
      <w:color w:val="8A6D3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2026-07-08T17:09:33.090Z</dcterms:created>
  <dcterms:modified xsi:type="dcterms:W3CDTF">2026-07-08T17:09:33.103Z</dcterms:modified>
</cp:coreProperties>
</file>

<file path=docProps/custom.xml><?xml version="1.0" encoding="utf-8"?>
<Properties xmlns="http://schemas.openxmlformats.org/officeDocument/2006/custom-properties" xmlns:vt="http://schemas.openxmlformats.org/officeDocument/2006/docPropsVTypes"/>
</file>