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bCs/>
          <w:color w:val="1F3864"/>
          <w:sz w:val="30"/>
          <w:szCs w:val="30"/>
        </w:rPr>
        <w:t xml:space="preserve">ERP-01 — Phase C</w:t>
      </w:r>
    </w:p>
    <w:p>
      <w:pPr>
        <w:spacing w:after="200"/>
      </w:pPr>
      <w:r>
        <w:rPr>
          <w:rFonts w:ascii="Calibri" w:cs="Calibri" w:eastAsia="Calibri" w:hAnsi="Calibri"/>
          <w:b/>
          <w:bCs/>
          <w:color w:val="1F3864"/>
          <w:sz w:val="26"/>
          <w:szCs w:val="26"/>
        </w:rPr>
        <w:t xml:space="preserve">Section 2 — Enterprise Work Package Engineering Catalog</w:t>
      </w:r>
    </w:p>
    <w:p>
      <w:pPr>
        <w:spacing w:after="80"/>
      </w:pPr>
      <w:r>
        <w:rPr>
          <w:rFonts w:ascii="Calibri" w:cs="Calibri" w:eastAsia="Calibri" w:hAnsi="Calibri"/>
          <w:i/>
          <w:iCs/>
          <w:sz w:val="22"/>
          <w:szCs w:val="22"/>
        </w:rPr>
        <w:t xml:space="preserve">HireRise Career Intelligence Platform</w:t>
      </w:r>
    </w:p>
    <w:p>
      <w:pPr>
        <w:spacing w:after="300"/>
      </w:pPr>
      <w:r>
        <w:rPr>
          <w:rFonts w:ascii="Calibri" w:cs="Calibri" w:eastAsia="Calibri" w:hAnsi="Calibri"/>
          <w:sz w:val="20"/>
          <w:szCs w:val="20"/>
        </w:rPr>
        <w:t xml:space="preserve">Version 1.0  |  Status: DRAFT FOR REVIEW</w:t>
      </w:r>
    </w:p>
    <w:p>
      <w:pPr>
        <w:spacing w:after="160"/>
      </w:pPr>
      <w:r>
        <w:rPr>
          <w:rFonts w:ascii="Calibri" w:cs="Calibri" w:eastAsia="Calibri" w:hAnsi="Calibri"/>
          <w:i/>
          <w:iCs/>
          <w:sz w:val="19"/>
          <w:szCs w:val="19"/>
        </w:rPr>
        <w:t xml:space="preserve">Authoritative inputs: ERP-01 Phase A.3 — Enterprise Architecture Baseline &amp; Resolution Repository; ERP-01 Phase B — Enterprise Architecture Realization Roadmap &amp; Portfolio Plan; ERP-01 Phase C, Section 1 — Enterprise Work Package Execution Strategy. No repository re-inspection and no re-governance was performed to produce this document; every entry below traces to one or more of these three approved repositories.</w:t>
      </w:r>
    </w:p>
    <w:p>
      <w:pPr>
        <w:pStyle w:val="Heading2"/>
        <w:spacing w:after="160" w:before="300"/>
      </w:pPr>
      <w:r>
        <w:t xml:space="preserve">A Note on Scope and Evidence</w:t>
      </w:r>
    </w:p>
    <w:p>
      <w:pPr>
        <w:spacing w:after="160"/>
      </w:pPr>
      <w:r>
        <w:rPr>
          <w:rFonts w:ascii="Calibri" w:cs="Calibri" w:eastAsia="Calibri" w:hAnsi="Calibri"/>
          <w:sz w:val="21"/>
          <w:szCs w:val="21"/>
        </w:rPr>
        <w:t xml:space="preserve">This catalog covers exactly the six approved Work Packages established in Phase A.3 §9 and carried through Phase B and Phase C Section 1: WP-0001 through WP-0006, within a single approved domain — the student-academic physical data model — sequenced across three currently-active portfolios (Enterprise Data Platform, Enterprise Security, Governance &amp; Quality).</w:t>
      </w:r>
    </w:p>
    <w:p>
      <w:pPr>
        <w:shd w:fill="FDEBD0" w:val="clear"/>
        <w:spacing w:after="160"/>
      </w:pPr>
      <w:r>
        <w:rPr>
          <w:rFonts w:ascii="Calibri" w:cs="Calibri" w:eastAsia="Calibri" w:hAnsi="Calibri"/>
          <w:i/>
          <w:iCs/>
          <w:color w:val="833C0C"/>
          <w:sz w:val="20"/>
          <w:szCs w:val="20"/>
        </w:rPr>
        <w:t xml:space="preserve">RESERVED FOR FUTURE REALIZATION PHASES — NO APPROVED WORK PACKAGE EXISTS. Portfolios 3 (Enterprise AI), 4 (Business Capabilities), 5 (Knowledge Platform), 6 (Integration Platform), and 7 (Operations &amp; Observability), together with Waves 4–5, remain named, numbered, and structurally reserved per Phase B §3 and Phase C Section 1 §1. This catalog assigns no engineering profile, ownership, dependency, or deliverable to any of them, since doing so would fabricate implementation authority the approved repositories do not support.</w:t>
      </w:r>
    </w:p>
    <w:p>
      <w:pPr>
        <w:spacing w:after="160"/>
      </w:pPr>
      <w:r>
        <w:rPr>
          <w:rFonts w:ascii="Calibri" w:cs="Calibri" w:eastAsia="Calibri" w:hAnsi="Calibri"/>
          <w:sz w:val="21"/>
          <w:szCs w:val="21"/>
        </w:rPr>
        <w:t xml:space="preserve">No new Architecture Requirement, Enterprise Governance Decision, Enterprise Resolution, Variance, Work Package, Portfolio, Wave, Milestone, or KPI identifier is introduced anywhere in this document. All identifiers are reused, unchanged, from Phase A.3 §2–10, Phase B §3–11, and Phase C Section 1.</w:t>
      </w:r>
    </w:p>
    <w:p>
      <w:pPr>
        <w:pStyle w:val="Heading1"/>
        <w:spacing w:after="200" w:before="400"/>
      </w:pPr>
      <w:r>
        <w:t xml:space="preserve">1. Executive Overview</w:t>
      </w:r>
    </w:p>
    <w:p>
      <w:pPr>
        <w:pStyle w:val="Heading3"/>
        <w:spacing w:after="120" w:before="240"/>
      </w:pPr>
      <w:r>
        <w:t xml:space="preserve">Purpose</w:t>
      </w:r>
    </w:p>
    <w:p>
      <w:pPr>
        <w:spacing w:after="160"/>
      </w:pPr>
      <w:r>
        <w:rPr>
          <w:rFonts w:ascii="Calibri" w:cs="Calibri" w:eastAsia="Calibri" w:hAnsi="Calibri"/>
          <w:sz w:val="21"/>
          <w:szCs w:val="21"/>
        </w:rPr>
        <w:t xml:space="preserve">This document establishes the authoritative engineering inventory for every approved Work Package (WP-0001–WP-0006). It transforms the approved Phase B realization roadmap into an engineering execution catalog — engineering identity, ownership, dependencies, deliverables, and entry/exit/acceptance criteria for each Work Package — while preserving complete architecture traceability back to Phase A.3.</w:t>
      </w:r>
    </w:p>
    <w:p>
      <w:pPr>
        <w:pStyle w:val="Heading3"/>
        <w:spacing w:after="120" w:before="240"/>
      </w:pPr>
      <w:r>
        <w:t xml:space="preserve">Relationship with ERP-01 Phase B</w:t>
      </w:r>
    </w:p>
    <w:p>
      <w:pPr>
        <w:spacing w:after="160"/>
      </w:pPr>
      <w:r>
        <w:rPr>
          <w:rFonts w:ascii="Calibri" w:cs="Calibri" w:eastAsia="Calibri" w:hAnsi="Calibri"/>
          <w:sz w:val="21"/>
          <w:szCs w:val="21"/>
        </w:rPr>
        <w:t xml:space="preserve">Phase B defined what would be delivered (6 Work Packages) and when (Waves 1–3, across Portfolios 1, 2, and 8). This catalog does not re-sequence or re-prioritize that plan; it decomposes each of the six Work Packages Phase B already scheduled into a complete engineering profile that every later section of ERP-01 Phase C shall reference.</w:t>
      </w:r>
    </w:p>
    <w:p>
      <w:pPr>
        <w:pStyle w:val="Heading3"/>
        <w:spacing w:after="120" w:before="240"/>
      </w:pPr>
      <w:r>
        <w:t xml:space="preserve">Relationship with Section 1</w:t>
      </w:r>
    </w:p>
    <w:p>
      <w:pPr>
        <w:spacing w:after="160"/>
      </w:pPr>
      <w:r>
        <w:rPr>
          <w:rFonts w:ascii="Calibri" w:cs="Calibri" w:eastAsia="Calibri" w:hAnsi="Calibri"/>
          <w:sz w:val="21"/>
          <w:szCs w:val="21"/>
        </w:rPr>
        <w:t xml:space="preserve">Section 1 (Enterprise Work Package Execution Strategy) established the engineering principles, governance checkpoints, and evidence standards that apply uniformly across all six Work Packages. This catalog applies those principles at the individual Work Package level — it introduces no new principle, checkpoint, or evidence standard beyond what Section 1 already established.</w:t>
      </w:r>
    </w:p>
    <w:p>
      <w:pPr>
        <w:pStyle w:val="Heading3"/>
        <w:spacing w:after="120" w:before="240"/>
      </w:pPr>
      <w:r>
        <w:t xml:space="preserve">Role within Phase C</w:t>
      </w:r>
    </w:p>
    <w:p>
      <w:pPr>
        <w:spacing w:after="160"/>
      </w:pPr>
      <w:r>
        <w:rPr>
          <w:rFonts w:ascii="Calibri" w:cs="Calibri" w:eastAsia="Calibri" w:hAnsi="Calibri"/>
          <w:sz w:val="21"/>
          <w:szCs w:val="21"/>
        </w:rPr>
        <w:t xml:space="preserve">This is the engineering system-of-record for Phase C. Any later Phase C section referencing scope, ownership, dependencies, deliverables, or readiness for WP-0001–WP-0006 shall cite this catalog rather than re-deriving the same detail from Phase A.3 or Phase B independently.</w:t>
      </w:r>
    </w:p>
    <w:p>
      <w:pPr>
        <w:pStyle w:val="Heading3"/>
        <w:spacing w:after="120" w:before="240"/>
      </w:pPr>
      <w:r>
        <w:t xml:space="preserve">Engineering Governance Objectives</w:t>
      </w:r>
    </w:p>
    <w:p>
      <w:pPr>
        <w:pStyle w:val="ListParagraph"/>
        <w:numPr>
          <w:ilvl w:val="0"/>
          <w:numId w:val="1"/>
        </w:numPr>
        <w:spacing w:after="80"/>
      </w:pPr>
      <w:r>
        <w:rPr>
          <w:rFonts w:ascii="Calibri" w:cs="Calibri" w:eastAsia="Calibri" w:hAnsi="Calibri"/>
          <w:sz w:val="21"/>
          <w:szCs w:val="21"/>
        </w:rPr>
        <w:t xml:space="preserve">Bind every Work Package to its exact AR/EGD/ER/VAR/KPI evidence, with no re-derivation and no reinterpretation of governance decisions already made in Phase A.3.</w:t>
      </w:r>
    </w:p>
    <w:p>
      <w:pPr>
        <w:pStyle w:val="ListParagraph"/>
        <w:numPr>
          <w:ilvl w:val="0"/>
          <w:numId w:val="1"/>
        </w:numPr>
        <w:spacing w:after="80"/>
      </w:pPr>
      <w:r>
        <w:rPr>
          <w:rFonts w:ascii="Calibri" w:cs="Calibri" w:eastAsia="Calibri" w:hAnsi="Calibri"/>
          <w:sz w:val="21"/>
          <w:szCs w:val="21"/>
        </w:rPr>
        <w:t xml:space="preserve">Make ownership, dependency, and deliverable scope explicit enough that the five named roles (Section 1 §10) can execute the moment WP-0006 names them.</w:t>
      </w:r>
    </w:p>
    <w:p>
      <w:pPr>
        <w:pStyle w:val="ListParagraph"/>
        <w:numPr>
          <w:ilvl w:val="0"/>
          <w:numId w:val="1"/>
        </w:numPr>
        <w:spacing w:after="80"/>
      </w:pPr>
      <w:r>
        <w:rPr>
          <w:rFonts w:ascii="Calibri" w:cs="Calibri" w:eastAsia="Calibri" w:hAnsi="Calibri"/>
          <w:sz w:val="21"/>
          <w:szCs w:val="21"/>
        </w:rPr>
        <w:t xml:space="preserve">Distinguish, at the level of every Work Package, between approved implementation scope and content that is out of scope or reserved for a future realization phase.</w:t>
      </w:r>
    </w:p>
    <w:p>
      <w:pPr>
        <w:pStyle w:val="Heading3"/>
        <w:spacing w:after="120" w:before="240"/>
      </w:pPr>
      <w:r>
        <w:t xml:space="preserve">Traceability Objectives</w:t>
      </w:r>
    </w:p>
    <w:p>
      <w:pPr>
        <w:spacing w:after="160"/>
      </w:pPr>
      <w:r>
        <w:rPr>
          <w:rFonts w:ascii="Calibri" w:cs="Calibri" w:eastAsia="Calibri" w:hAnsi="Calibri"/>
          <w:sz w:val="21"/>
          <w:szCs w:val="21"/>
        </w:rPr>
        <w:t xml:space="preserve">Every Work Package profile in Section 2 preserves the full traceability chain established in Phase A.3 §7 and extended in Phase B §8 and Section 1 §11: Architecture Requirement → Enterprise Governance Decision → Repository Evidence → Implementation Status → Work Package → Portfolio → Wave → Milestone → Owner → Verification Method → Certification Level.</w:t>
      </w:r>
    </w:p>
    <w:p>
      <w:pPr>
        <w:pStyle w:val="Heading3"/>
        <w:spacing w:after="120" w:before="240"/>
      </w:pPr>
      <w:r>
        <w:t xml:space="preserve">Scope Limitations</w:t>
      </w:r>
    </w:p>
    <w:p>
      <w:pPr>
        <w:spacing w:after="160"/>
      </w:pPr>
      <w:r>
        <w:rPr>
          <w:rFonts w:ascii="Calibri" w:cs="Calibri" w:eastAsia="Calibri" w:hAnsi="Calibri"/>
          <w:sz w:val="21"/>
          <w:szCs w:val="21"/>
        </w:rPr>
        <w:t xml:space="preserve">This catalog does not perform new architecture assessment, new governance analysis, or new repository inspection. It does not assign engineering profiles to Portfolios 3–7 or Waves 4–5. It does not invent deliverables, dependencies, or acceptance criteria beyond what the approved roadmap already supports; where the master Phase C template assumes content this baseline does not evidence, that content is explicitly marked Reserved for Future Realization Phases or Not Applicable to the current Work Package set, rather than fabricated.</w:t>
      </w:r>
    </w:p>
    <w:p>
      <w:pPr>
        <w:pStyle w:val="Heading3"/>
        <w:spacing w:after="120" w:before="240"/>
      </w:pPr>
      <w:r>
        <w:t xml:space="preserve">Evidence-Based Execution Philosophy</w:t>
      </w:r>
    </w:p>
    <w:p>
      <w:pPr>
        <w:spacing w:after="160"/>
      </w:pPr>
      <w:r>
        <w:rPr>
          <w:rFonts w:ascii="Calibri" w:cs="Calibri" w:eastAsia="Calibri" w:hAnsi="Calibri"/>
          <w:sz w:val="21"/>
          <w:szCs w:val="21"/>
        </w:rPr>
        <w:t xml:space="preserve">Consistent with AP-002 (repository evidence governs implementation decisions) and AP-006 (every gap requires an explicit disposition), every field in every Work Package profile below is either (a) reused verbatim from Phase A.3, Phase B, or Section 1, (b) a direct, non-speculative decomposition of that evidence into the engineering-profile format this catalog requires, or (c) explicitly marked as not evidenced. No field is populated by inference beyond what the cited source directly supports.</w:t>
      </w:r>
    </w:p>
    <w:p>
      <w:pPr>
        <w:pStyle w:val="Heading1"/>
        <w:spacing w:after="200" w:before="400"/>
      </w:pPr>
      <w:r>
        <w:t xml:space="preserve">2. Enterprise Work Package Master Catalog</w:t>
      </w:r>
    </w:p>
    <w:p>
      <w:pPr>
        <w:spacing w:after="160"/>
      </w:pPr>
      <w:r>
        <w:rPr>
          <w:rFonts w:ascii="Calibri" w:cs="Calibri" w:eastAsia="Calibri" w:hAnsi="Calibri"/>
          <w:sz w:val="21"/>
          <w:szCs w:val="21"/>
        </w:rPr>
        <w:t xml:space="preserve">Complete engineering profile for each of the six approved Work Packages, WP-0001 through WP-0006, in the order established by Phase A.3 §9.</w:t>
      </w:r>
    </w:p>
    <w:p>
      <w:pPr>
        <w:pStyle w:val="Heading1"/>
        <w:spacing w:after="200" w:before="400"/>
      </w:pPr>
      <w:r>
        <w:t xml:space="preserve">WP-0001 — Revise EEP-01 Phase A Architecture Document to the Canonical Live-Schema Baseline</w:t>
      </w:r>
    </w:p>
    <w:p>
      <w:pPr>
        <w:pStyle w:val="Heading3"/>
        <w:spacing w:after="120" w:before="240"/>
      </w:pPr>
      <w:r>
        <w:t xml:space="preserve">A. Governance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Work Package ID</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WP-0001</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Work Package Name</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Execute EGD-0002 — author the revised EEP-01 Phase A document describing the live schema as canonical</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Current Status</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Not started — 0 of 6 Work Packages executed (Phase B §12)</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Current Readiness</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Immediately startable; WP-0006 owner assignment recommended first but not strictly blocking (Phase A.3 §8)</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Priority</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Critical (Phase A.3 §9)</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Complexity</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Low — documentation (Phase A.3 §9)</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Risk Classification</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Low (Phase B §4)</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Portfolio</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1 — Enterprise Data Platform (Phase B §3)</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Wave</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Wave 2 — Platform Stabilization (Phase B §5)</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Milestone</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Data Platform Ready (Phase B §6)</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Trigger Condition</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None — EGD-0002 adoption trigger is "Not deferred — immediate" (Phase A.3 §4)</w:t>
            </w:r>
          </w:p>
        </w:tc>
      </w:tr>
    </w:tbl>
    <w:p>
      <w:pPr>
        <w:pStyle w:val="Heading3"/>
        <w:spacing w:after="120" w:before="240"/>
      </w:pPr>
      <w:r>
        <w:t xml:space="preserve">B. Architecture Traceability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Identifier</w:t>
            </w:r>
          </w:p>
        </w:tc>
        <w:tc>
          <w:tcPr>
            <w:tcW w:type="dxa" w:w="702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Traceability Detail</w:t>
            </w:r>
          </w:p>
        </w:tc>
      </w:tr>
      <w:tr>
        <w:tc>
          <w:tcPr>
            <w:tcW w:type="dxa" w:w="23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AR-0002</w:t>
            </w:r>
          </w:p>
        </w:tc>
        <w:tc>
          <w:tcPr>
            <w:tcW w:type="dxa" w:w="70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Naming Governance — 26 canonically-named tables (originally mandatory); currently non-conformant, resolved by this Work Package</w:t>
            </w:r>
          </w:p>
        </w:tc>
      </w:tr>
      <w:tr>
        <w:tc>
          <w:tcPr>
            <w:tcW w:type="dxa" w:w="23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EGD-0002</w:t>
            </w:r>
          </w:p>
        </w:tc>
        <w:tc>
          <w:tcPr>
            <w:tcW w:type="dxa" w:w="702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Supersede canonical naming; revise EEP-01 Phase A to describe the live schema (Accepted; execution = WP-0001)</w:t>
            </w:r>
          </w:p>
        </w:tc>
      </w:tr>
      <w:tr>
        <w:tc>
          <w:tcPr>
            <w:tcW w:type="dxa" w:w="23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ER-0002</w:t>
            </w:r>
          </w:p>
        </w:tc>
        <w:tc>
          <w:tcPr>
            <w:tcW w:type="dxa" w:w="70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Superseded — pending execution; target release: next ERP cycle</w:t>
            </w:r>
          </w:p>
        </w:tc>
      </w:tr>
      <w:tr>
        <w:tc>
          <w:tcPr>
            <w:tcW w:type="dxa" w:w="23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VAR-02</w:t>
            </w:r>
          </w:p>
        </w:tc>
        <w:tc>
          <w:tcPr>
            <w:tcW w:type="dxa" w:w="702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Structural divergence from Phase A's entity design — approved, treated as a positive variance; one-time review on WP-0001 completion</w:t>
            </w:r>
          </w:p>
        </w:tc>
      </w:tr>
      <w:tr>
        <w:tc>
          <w:tcPr>
            <w:tcW w:type="dxa" w:w="23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KPI-01 / KPI-02 / KPI-07</w:t>
            </w:r>
          </w:p>
        </w:tc>
        <w:tc>
          <w:tcPr>
            <w:tcW w:type="dxa" w:w="70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Architecture Conformance %, Documentation Accuracy %, Governance Decision Traceability % — all move on this Work Package's completion</w:t>
            </w:r>
          </w:p>
        </w:tc>
      </w:tr>
    </w:tbl>
    <w:p>
      <w:pPr>
        <w:pStyle w:val="Heading3"/>
        <w:spacing w:after="120" w:before="240"/>
      </w:pPr>
      <w:r>
        <w:t xml:space="preserve">C. Business Context</w:t>
      </w:r>
    </w:p>
    <w:p>
      <w:pPr>
        <w:pStyle w:val="ListParagraph"/>
        <w:numPr>
          <w:ilvl w:val="0"/>
          <w:numId w:val="1"/>
        </w:numPr>
        <w:spacing w:after="80"/>
      </w:pPr>
      <w:r>
        <w:rPr>
          <w:rFonts w:ascii="Calibri" w:cs="Calibri" w:eastAsia="Calibri" w:hAnsi="Calibri"/>
          <w:sz w:val="21"/>
          <w:szCs w:val="21"/>
        </w:rPr>
        <w:t xml:space="preserve">Business Objective: resolve the single top-rated risk in the enterprise baseline — documentation describing a schema that was never built (Phase A.3 §14).</w:t>
      </w:r>
    </w:p>
    <w:p>
      <w:pPr>
        <w:pStyle w:val="ListParagraph"/>
        <w:numPr>
          <w:ilvl w:val="0"/>
          <w:numId w:val="1"/>
        </w:numPr>
        <w:spacing w:after="80"/>
      </w:pPr>
      <w:r>
        <w:rPr>
          <w:rFonts w:ascii="Calibri" w:cs="Calibri" w:eastAsia="Calibri" w:hAnsi="Calibri"/>
          <w:sz w:val="21"/>
          <w:szCs w:val="21"/>
        </w:rPr>
        <w:t xml:space="preserve">Business Value: High (Phase A.3 §9) — closes the dominant risk identified in Phase A.1 §13.</w:t>
      </w:r>
    </w:p>
    <w:p>
      <w:pPr>
        <w:pStyle w:val="ListParagraph"/>
        <w:numPr>
          <w:ilvl w:val="0"/>
          <w:numId w:val="1"/>
        </w:numPr>
        <w:spacing w:after="80"/>
      </w:pPr>
      <w:r>
        <w:rPr>
          <w:rFonts w:ascii="Calibri" w:cs="Calibri" w:eastAsia="Calibri" w:hAnsi="Calibri"/>
          <w:sz w:val="21"/>
          <w:szCs w:val="21"/>
        </w:rPr>
        <w:t xml:space="preserve">Strategic Importance: the mandatory precursor to Certification Level L4 for AR-0002 (Phase A.3 §11).</w:t>
      </w:r>
    </w:p>
    <w:p>
      <w:pPr>
        <w:pStyle w:val="ListParagraph"/>
        <w:numPr>
          <w:ilvl w:val="0"/>
          <w:numId w:val="1"/>
        </w:numPr>
        <w:spacing w:after="80"/>
      </w:pPr>
      <w:r>
        <w:rPr>
          <w:rFonts w:ascii="Calibri" w:cs="Calibri" w:eastAsia="Calibri" w:hAnsi="Calibri"/>
          <w:sz w:val="21"/>
          <w:szCs w:val="21"/>
        </w:rPr>
        <w:t xml:space="preserve">Expected Outcome: a revised EEP-01 Phase A document that describes the live public-schema student-academic table set as the canonical architecture baseline.</w:t>
      </w:r>
    </w:p>
    <w:p>
      <w:pPr>
        <w:pStyle w:val="ListParagraph"/>
        <w:numPr>
          <w:ilvl w:val="0"/>
          <w:numId w:val="1"/>
        </w:numPr>
        <w:spacing w:after="80"/>
      </w:pPr>
      <w:r>
        <w:rPr>
          <w:rFonts w:ascii="Calibri" w:cs="Calibri" w:eastAsia="Calibri" w:hAnsi="Calibri"/>
          <w:sz w:val="21"/>
          <w:szCs w:val="21"/>
        </w:rPr>
        <w:t xml:space="preserve">Success Measure: table inventory diff against the live schema (\dt public.*) with zero discrepancies (Phase A.3 §7); KPI-02 Documentation Accuracy % = 100.</w:t>
      </w:r>
    </w:p>
    <w:p>
      <w:pPr>
        <w:pStyle w:val="Heading3"/>
        <w:spacing w:after="120" w:before="240"/>
      </w:pPr>
      <w:r>
        <w:t xml:space="preserve">D. Engineering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8"/>
        <w:gridCol w:w="7072"/>
      </w:tblGrid>
      <w:tr>
        <w:trPr>
          <w:tblHeader/>
        </w:trPr>
        <w:tc>
          <w:tcPr>
            <w:tcW w:type="dxa" w:w="228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Scope Area</w:t>
            </w:r>
          </w:p>
        </w:tc>
        <w:tc>
          <w:tcPr>
            <w:tcW w:type="dxa" w:w="7072"/>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Detail</w:t>
            </w:r>
          </w:p>
        </w:tc>
      </w:tr>
      <w:tr>
        <w:tc>
          <w:tcPr>
            <w:tcW w:type="dxa" w:w="228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Functional Scope</w:t>
            </w:r>
          </w:p>
        </w:tc>
        <w:tc>
          <w:tcPr>
            <w:tcW w:type="dxa" w:w="707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Author the revised architecture document describing the live schema as canonical, per EGD-0002.</w:t>
            </w:r>
          </w:p>
        </w:tc>
      </w:tr>
      <w:tr>
        <w:tc>
          <w:tcPr>
            <w:tcW w:type="dxa" w:w="228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Technical Scope</w:t>
            </w:r>
          </w:p>
        </w:tc>
        <w:tc>
          <w:tcPr>
            <w:tcW w:type="dxa" w:w="707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Description of the existing public-schema student-academic table set (student_education_profiles, student_academic_records, student_academic_subjects, student_activities and related tables, student_cognitive_responses and related tables, student_signal_vectors and related tables) — no new technical design.</w:t>
            </w:r>
          </w:p>
        </w:tc>
      </w:tr>
      <w:tr>
        <w:tc>
          <w:tcPr>
            <w:tcW w:type="dxa" w:w="228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Repository Scope</w:t>
            </w:r>
          </w:p>
        </w:tc>
        <w:tc>
          <w:tcPr>
            <w:tcW w:type="dxa" w:w="707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Documentation repository only (EEP-01 Phase A document).</w:t>
            </w:r>
          </w:p>
        </w:tc>
      </w:tr>
      <w:tr>
        <w:tc>
          <w:tcPr>
            <w:tcW w:type="dxa" w:w="228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Database Scope</w:t>
            </w:r>
          </w:p>
        </w:tc>
        <w:tc>
          <w:tcPr>
            <w:tcW w:type="dxa" w:w="707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None — no migration. VAR-02 is an approved, standing variance, not an open implementation item.</w:t>
            </w:r>
          </w:p>
        </w:tc>
      </w:tr>
      <w:tr>
        <w:tc>
          <w:tcPr>
            <w:tcW w:type="dxa" w:w="228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Documentation Scope</w:t>
            </w:r>
          </w:p>
        </w:tc>
        <w:tc>
          <w:tcPr>
            <w:tcW w:type="dxa" w:w="707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Primary deliverable of this Work Package.</w:t>
            </w:r>
          </w:p>
        </w:tc>
      </w:tr>
      <w:tr>
        <w:tc>
          <w:tcPr>
            <w:tcW w:type="dxa" w:w="228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Security Scope</w:t>
            </w:r>
          </w:p>
        </w:tc>
        <w:tc>
          <w:tcPr>
            <w:tcW w:type="dxa" w:w="707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Not Applicable to this Work Package — RLS coverage is governed separately under WP-0002 / AR-0007.</w:t>
            </w:r>
          </w:p>
        </w:tc>
      </w:tr>
      <w:tr>
        <w:tc>
          <w:tcPr>
            <w:tcW w:type="dxa" w:w="228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Testing Scope</w:t>
            </w:r>
          </w:p>
        </w:tc>
        <w:tc>
          <w:tcPr>
            <w:tcW w:type="dxa" w:w="707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Table inventory diff vs. live schema, zero discrepancies (Phase A.3 §7 verification method for AR-0002).</w:t>
            </w:r>
          </w:p>
        </w:tc>
      </w:tr>
      <w:tr>
        <w:tc>
          <w:tcPr>
            <w:tcW w:type="dxa" w:w="228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Operational Scope</w:t>
            </w:r>
          </w:p>
        </w:tc>
        <w:tc>
          <w:tcPr>
            <w:tcW w:type="dxa" w:w="707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Not Applicable this wave — no deployment or production rollout is in scope for a documentation Work Package (Section 1 §3).</w:t>
            </w:r>
          </w:p>
        </w:tc>
      </w:tr>
    </w:tbl>
    <w:p>
      <w:pPr>
        <w:pStyle w:val="Heading3"/>
        <w:spacing w:after="120" w:before="240"/>
      </w:pPr>
      <w:r>
        <w:t xml:space="preserve">E. Engineering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Responsible Owner</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Enterprise Architecture Owner</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Supporting Roles</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None evidenced beyond the single named role.</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Governance Authority</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Enterprise Architecture Owner</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Review Authority</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Enterprise Architecture Owner</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Approval Authority</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Enterprise Architecture Owner</w:t>
            </w:r>
          </w:p>
        </w:tc>
      </w:tr>
    </w:tbl>
    <w:p>
      <w:pPr>
        <w:shd w:fill="FDEBD0" w:val="clear"/>
        <w:spacing w:after="160"/>
      </w:pPr>
      <w:r>
        <w:rPr>
          <w:rFonts w:ascii="Calibri" w:cs="Calibri" w:eastAsia="Calibri" w:hAnsi="Calibri"/>
          <w:i/>
          <w:iCs/>
          <w:color w:val="833C0C"/>
          <w:sz w:val="20"/>
          <w:szCs w:val="20"/>
        </w:rPr>
        <w:t xml:space="preserve">OWNERSHIP PENDING COMPLETION OF WP-0006 — the role above is named per Phase B §9 but carries no currently-assigned individual (KPI-08 = 0%).</w:t>
      </w:r>
    </w:p>
    <w:p>
      <w:pPr>
        <w:pStyle w:val="Heading3"/>
        <w:spacing w:after="120" w:before="240"/>
      </w:pPr>
      <w:r>
        <w:t xml:space="preserve">F.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8"/>
        <w:gridCol w:w="7072"/>
      </w:tblGrid>
      <w:tr>
        <w:trPr>
          <w:tblHeader/>
        </w:trPr>
        <w:tc>
          <w:tcPr>
            <w:tcW w:type="dxa" w:w="228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Dependency Type</w:t>
            </w:r>
          </w:p>
        </w:tc>
        <w:tc>
          <w:tcPr>
            <w:tcW w:type="dxa" w:w="7072"/>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Detail and Rationale</w:t>
            </w:r>
          </w:p>
        </w:tc>
      </w:tr>
      <w:tr>
        <w:tc>
          <w:tcPr>
            <w:tcW w:type="dxa" w:w="228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Predecessor Work Packages</w:t>
            </w:r>
          </w:p>
        </w:tc>
        <w:tc>
          <w:tcPr>
            <w:tcW w:type="dxa" w:w="707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None strictly blocking. WP-0006 (owner assignment) is recommended first so the Enterprise Architecture Owner authors this document with accountability, but Phase A.3 §8 confirms it is not a hard precondition to begin drafting.</w:t>
            </w:r>
          </w:p>
        </w:tc>
      </w:tr>
      <w:tr>
        <w:tc>
          <w:tcPr>
            <w:tcW w:type="dxa" w:w="228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Successor Work Packages</w:t>
            </w:r>
          </w:p>
        </w:tc>
        <w:tc>
          <w:tcPr>
            <w:tcW w:type="dxa" w:w="707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WP-0004 and WP-0005 benefit from the naming clarity this Work Package establishes, though neither is blocked by it (Phase B §5).</w:t>
            </w:r>
          </w:p>
        </w:tc>
      </w:tr>
      <w:tr>
        <w:tc>
          <w:tcPr>
            <w:tcW w:type="dxa" w:w="228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Blocking Dependencies</w:t>
            </w:r>
          </w:p>
        </w:tc>
        <w:tc>
          <w:tcPr>
            <w:tcW w:type="dxa" w:w="707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None.</w:t>
            </w:r>
          </w:p>
        </w:tc>
      </w:tr>
      <w:tr>
        <w:tc>
          <w:tcPr>
            <w:tcW w:type="dxa" w:w="228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External Dependencies</w:t>
            </w:r>
          </w:p>
        </w:tc>
        <w:tc>
          <w:tcPr>
            <w:tcW w:type="dxa" w:w="707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None.</w:t>
            </w:r>
          </w:p>
        </w:tc>
      </w:tr>
      <w:tr>
        <w:tc>
          <w:tcPr>
            <w:tcW w:type="dxa" w:w="228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Trigger-based Dependencies</w:t>
            </w:r>
          </w:p>
        </w:tc>
        <w:tc>
          <w:tcPr>
            <w:tcW w:type="dxa" w:w="707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None — EGD-0002 execution is immediate, not trigger-gated.</w:t>
            </w:r>
          </w:p>
        </w:tc>
      </w:tr>
      <w:tr>
        <w:tc>
          <w:tcPr>
            <w:tcW w:type="dxa" w:w="228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Governance Dependencies</w:t>
            </w:r>
          </w:p>
        </w:tc>
        <w:tc>
          <w:tcPr>
            <w:tcW w:type="dxa" w:w="707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EGD-0002 (Accepted; execution = WP-0001) — already dispositioned in Phase A.3; no new governance required.</w:t>
            </w:r>
          </w:p>
        </w:tc>
      </w:tr>
    </w:tbl>
    <w:p>
      <w:pPr>
        <w:pStyle w:val="Heading3"/>
        <w:spacing w:after="120" w:before="240"/>
      </w:pPr>
      <w:r>
        <w:t xml:space="preserve">G. Engineering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8"/>
        <w:gridCol w:w="7072"/>
      </w:tblGrid>
      <w:tr>
        <w:trPr>
          <w:tblHeader/>
        </w:trPr>
        <w:tc>
          <w:tcPr>
            <w:tcW w:type="dxa" w:w="228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Deliverable Category</w:t>
            </w:r>
          </w:p>
        </w:tc>
        <w:tc>
          <w:tcPr>
            <w:tcW w:type="dxa" w:w="7072"/>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Required Deliverable</w:t>
            </w:r>
          </w:p>
        </w:tc>
      </w:tr>
      <w:tr>
        <w:tc>
          <w:tcPr>
            <w:tcW w:type="dxa" w:w="228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Engineering Deliverables</w:t>
            </w:r>
          </w:p>
        </w:tc>
        <w:tc>
          <w:tcPr>
            <w:tcW w:type="dxa" w:w="707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Revised EEP-01 Phase A architecture document.</w:t>
            </w:r>
          </w:p>
        </w:tc>
      </w:tr>
      <w:tr>
        <w:tc>
          <w:tcPr>
            <w:tcW w:type="dxa" w:w="228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Repository Deliverables</w:t>
            </w:r>
          </w:p>
        </w:tc>
        <w:tc>
          <w:tcPr>
            <w:tcW w:type="dxa" w:w="707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Updated documentation repository entry.</w:t>
            </w:r>
          </w:p>
        </w:tc>
      </w:tr>
      <w:tr>
        <w:tc>
          <w:tcPr>
            <w:tcW w:type="dxa" w:w="228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Database Deliverables</w:t>
            </w:r>
          </w:p>
        </w:tc>
        <w:tc>
          <w:tcPr>
            <w:tcW w:type="dxa" w:w="707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None — VAR-02 is an approved variance, not an open item.</w:t>
            </w:r>
          </w:p>
        </w:tc>
      </w:tr>
      <w:tr>
        <w:tc>
          <w:tcPr>
            <w:tcW w:type="dxa" w:w="228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Documentation Deliverables</w:t>
            </w:r>
          </w:p>
        </w:tc>
        <w:tc>
          <w:tcPr>
            <w:tcW w:type="dxa" w:w="707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Same as the engineering deliverable — this Work Package is documentation-only.</w:t>
            </w:r>
          </w:p>
        </w:tc>
      </w:tr>
      <w:tr>
        <w:tc>
          <w:tcPr>
            <w:tcW w:type="dxa" w:w="228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Verification Deliverables</w:t>
            </w:r>
          </w:p>
        </w:tc>
        <w:tc>
          <w:tcPr>
            <w:tcW w:type="dxa" w:w="707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Table inventory diff report vs. live schema, zero discrepancies.</w:t>
            </w:r>
          </w:p>
        </w:tc>
      </w:tr>
      <w:tr>
        <w:tc>
          <w:tcPr>
            <w:tcW w:type="dxa" w:w="228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Governance Deliverables</w:t>
            </w:r>
          </w:p>
        </w:tc>
        <w:tc>
          <w:tcPr>
            <w:tcW w:type="dxa" w:w="707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ER-0002 status update (Superseded → Implemented); VAR-02 one-time review closure.</w:t>
            </w:r>
          </w:p>
        </w:tc>
      </w:tr>
    </w:tbl>
    <w:p>
      <w:pPr>
        <w:pStyle w:val="Heading3"/>
        <w:spacing w:after="120" w:before="240"/>
      </w:pPr>
      <w:r>
        <w:t xml:space="preserve">H. Entry Criteria</w:t>
      </w:r>
    </w:p>
    <w:p>
      <w:pPr>
        <w:pStyle w:val="ListParagraph"/>
        <w:numPr>
          <w:ilvl w:val="0"/>
          <w:numId w:val="1"/>
        </w:numPr>
        <w:spacing w:after="80"/>
      </w:pPr>
      <w:r>
        <w:rPr>
          <w:rFonts w:ascii="Calibri" w:cs="Calibri" w:eastAsia="Calibri" w:hAnsi="Calibri"/>
          <w:sz w:val="21"/>
          <w:szCs w:val="21"/>
        </w:rPr>
        <w:t xml:space="preserve">Phase A.1/A.3 evidence exists and is available (met).</w:t>
      </w:r>
    </w:p>
    <w:p>
      <w:pPr>
        <w:pStyle w:val="ListParagraph"/>
        <w:numPr>
          <w:ilvl w:val="0"/>
          <w:numId w:val="1"/>
        </w:numPr>
        <w:spacing w:after="80"/>
      </w:pPr>
      <w:r>
        <w:rPr>
          <w:rFonts w:ascii="Calibri" w:cs="Calibri" w:eastAsia="Calibri" w:hAnsi="Calibri"/>
          <w:sz w:val="21"/>
          <w:szCs w:val="21"/>
        </w:rPr>
        <w:t xml:space="preserve">WP-0006 Enterprise Architecture Owner assignment is recommended but not a blocking precondition.</w:t>
      </w:r>
    </w:p>
    <w:p>
      <w:pPr>
        <w:pStyle w:val="Heading3"/>
        <w:spacing w:after="120" w:before="240"/>
      </w:pPr>
      <w:r>
        <w:t xml:space="preserve">I. Exit Criteria</w:t>
      </w:r>
    </w:p>
    <w:p>
      <w:pPr>
        <w:pStyle w:val="ListParagraph"/>
        <w:numPr>
          <w:ilvl w:val="0"/>
          <w:numId w:val="1"/>
        </w:numPr>
        <w:spacing w:after="80"/>
      </w:pPr>
      <w:r>
        <w:rPr>
          <w:rFonts w:ascii="Calibri" w:cs="Calibri" w:eastAsia="Calibri" w:hAnsi="Calibri"/>
          <w:sz w:val="21"/>
          <w:szCs w:val="21"/>
        </w:rPr>
        <w:t xml:space="preserve">Revised document is published.</w:t>
      </w:r>
    </w:p>
    <w:p>
      <w:pPr>
        <w:pStyle w:val="ListParagraph"/>
        <w:numPr>
          <w:ilvl w:val="0"/>
          <w:numId w:val="1"/>
        </w:numPr>
        <w:spacing w:after="80"/>
      </w:pPr>
      <w:r>
        <w:rPr>
          <w:rFonts w:ascii="Calibri" w:cs="Calibri" w:eastAsia="Calibri" w:hAnsi="Calibri"/>
          <w:sz w:val="21"/>
          <w:szCs w:val="21"/>
        </w:rPr>
        <w:t xml:space="preserve">Table inventory diff vs. live schema shows zero discrepancies.</w:t>
      </w:r>
    </w:p>
    <w:p>
      <w:pPr>
        <w:pStyle w:val="Heading3"/>
        <w:spacing w:after="120" w:before="240"/>
      </w:pPr>
      <w:r>
        <w:t xml:space="preserve">J. Acceptance Criteria</w:t>
      </w:r>
    </w:p>
    <w:p>
      <w:pPr>
        <w:pStyle w:val="ListParagraph"/>
        <w:numPr>
          <w:ilvl w:val="0"/>
          <w:numId w:val="1"/>
        </w:numPr>
        <w:spacing w:after="80"/>
      </w:pPr>
      <w:r>
        <w:rPr>
          <w:rFonts w:ascii="Calibri" w:cs="Calibri" w:eastAsia="Calibri" w:hAnsi="Calibri"/>
          <w:sz w:val="21"/>
          <w:szCs w:val="21"/>
        </w:rPr>
        <w:t xml:space="preserve">KPI-02 Documentation Accuracy % = 100.</w:t>
      </w:r>
    </w:p>
    <w:p>
      <w:pPr>
        <w:pStyle w:val="ListParagraph"/>
        <w:numPr>
          <w:ilvl w:val="0"/>
          <w:numId w:val="1"/>
        </w:numPr>
        <w:spacing w:after="80"/>
      </w:pPr>
      <w:r>
        <w:rPr>
          <w:rFonts w:ascii="Calibri" w:cs="Calibri" w:eastAsia="Calibri" w:hAnsi="Calibri"/>
          <w:sz w:val="21"/>
          <w:szCs w:val="21"/>
        </w:rPr>
        <w:t xml:space="preserve">AR-0002 traceability status advances to Certification Level L4.</w:t>
      </w:r>
    </w:p>
    <w:p>
      <w:pPr>
        <w:pStyle w:val="ListParagraph"/>
        <w:numPr>
          <w:ilvl w:val="0"/>
          <w:numId w:val="1"/>
        </w:numPr>
        <w:spacing w:after="80"/>
      </w:pPr>
      <w:r>
        <w:rPr>
          <w:rFonts w:ascii="Calibri" w:cs="Calibri" w:eastAsia="Calibri" w:hAnsi="Calibri"/>
          <w:sz w:val="21"/>
          <w:szCs w:val="21"/>
        </w:rPr>
        <w:t xml:space="preserve">Zero unresolved table-naming discrepancies between the document and the live schema.</w:t>
      </w:r>
    </w:p>
    <w:p>
      <w:pPr>
        <w:pStyle w:val="Heading1"/>
        <w:spacing w:after="200" w:before="400"/>
      </w:pPr>
      <w:r>
        <w:t xml:space="preserve">WP-0002 — Verify Row-Level Security Coverage on Student-Owned Tables</w:t>
      </w:r>
    </w:p>
    <w:p>
      <w:pPr>
        <w:pStyle w:val="Heading3"/>
        <w:spacing w:after="120" w:before="240"/>
      </w:pPr>
      <w:r>
        <w:t xml:space="preserve">A. Governance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Work Package ID</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WP-0002</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Work Package Name</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Execute EGD-0007 — verify RLS coverage on student_activities, student_cognitive_responses, student_signal_vectors, and related tables</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Current Status</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Not started — 0 of 6 Work Packages executed (Phase B §12)</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Current Readiness</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Immediately startable — no blocking dependency (Phase B §4, §7)</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Priority</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Critical (Phase A.3 §9)</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Complexity</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Low (Phase A.3 §9)</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Risk Classification</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High if gap confirmed; Critical-until-verified (Phase A.2 §8; Phase B §4, §10)</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Portfolio</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2 — Enterprise Security (Phase B §3)</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Wave</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Wave 1 — Critical Foundation (Phase B §5)</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Milestone</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Critical Security Complete (Phase B §6)</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Trigger Condition</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None — EGD-0007 adoption trigger is "Not deferred — immediate" (Phase A.3 §4)</w:t>
            </w:r>
          </w:p>
        </w:tc>
      </w:tr>
    </w:tbl>
    <w:p>
      <w:pPr>
        <w:pStyle w:val="Heading3"/>
        <w:spacing w:after="120" w:before="240"/>
      </w:pPr>
      <w:r>
        <w:t xml:space="preserve">B. Architecture Traceability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Identifier</w:t>
            </w:r>
          </w:p>
        </w:tc>
        <w:tc>
          <w:tcPr>
            <w:tcW w:type="dxa" w:w="702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Traceability Detail</w:t>
            </w:r>
          </w:p>
        </w:tc>
      </w:tr>
      <w:tr>
        <w:tc>
          <w:tcPr>
            <w:tcW w:type="dxa" w:w="23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AR-0007</w:t>
            </w:r>
          </w:p>
        </w:tc>
        <w:tc>
          <w:tcPr>
            <w:tcW w:type="dxa" w:w="70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Security — uniform RLS ownership-check coverage across all student-owned tables; partially conformant, partially unverified (Phase A.3 §3)</w:t>
            </w:r>
          </w:p>
        </w:tc>
      </w:tr>
      <w:tr>
        <w:tc>
          <w:tcPr>
            <w:tcW w:type="dxa" w:w="23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EGD-0007</w:t>
            </w:r>
          </w:p>
        </w:tc>
        <w:tc>
          <w:tcPr>
            <w:tcW w:type="dxa" w:w="702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Realize — verify RLS coverage immediately (Accepted, in progress = WP-0002)</w:t>
            </w:r>
          </w:p>
        </w:tc>
      </w:tr>
      <w:tr>
        <w:tc>
          <w:tcPr>
            <w:tcW w:type="dxa" w:w="23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ER-0007</w:t>
            </w:r>
          </w:p>
        </w:tc>
        <w:tc>
          <w:tcPr>
            <w:tcW w:type="dxa" w:w="70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Planned → Implemented on completion; target release: Immediate</w:t>
            </w:r>
          </w:p>
        </w:tc>
      </w:tr>
      <w:tr>
        <w:tc>
          <w:tcPr>
            <w:tcW w:type="dxa" w:w="23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VAR</w:t>
            </w:r>
          </w:p>
        </w:tc>
        <w:tc>
          <w:tcPr>
            <w:tcW w:type="dxa" w:w="702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None — AR-0007 carries no approved variance; it is the one item in the baseline treated as an open unknown rather than a governed variance (Phase A.3 §1.7)</w:t>
            </w:r>
          </w:p>
        </w:tc>
      </w:tr>
      <w:tr>
        <w:tc>
          <w:tcPr>
            <w:tcW w:type="dxa" w:w="23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KPI-06 / KPI-09</w:t>
            </w:r>
          </w:p>
        </w:tc>
        <w:tc>
          <w:tcPr>
            <w:tcW w:type="dxa" w:w="70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RLS Coverage %, Technical Debt by Class (closes the 1 Critical item on verification)</w:t>
            </w:r>
          </w:p>
        </w:tc>
      </w:tr>
    </w:tbl>
    <w:p>
      <w:pPr>
        <w:pStyle w:val="Heading3"/>
        <w:spacing w:after="120" w:before="240"/>
      </w:pPr>
      <w:r>
        <w:t xml:space="preserve">C. Business Context</w:t>
      </w:r>
    </w:p>
    <w:p>
      <w:pPr>
        <w:pStyle w:val="ListParagraph"/>
        <w:numPr>
          <w:ilvl w:val="0"/>
          <w:numId w:val="1"/>
        </w:numPr>
        <w:spacing w:after="80"/>
      </w:pPr>
      <w:r>
        <w:rPr>
          <w:rFonts w:ascii="Calibri" w:cs="Calibri" w:eastAsia="Calibri" w:hAnsi="Calibri"/>
          <w:sz w:val="21"/>
          <w:szCs w:val="21"/>
        </w:rPr>
        <w:t xml:space="preserve">Business Objective: close the one confirmed, Critical-until-verified security gap in the enterprise baseline.</w:t>
      </w:r>
    </w:p>
    <w:p>
      <w:pPr>
        <w:pStyle w:val="ListParagraph"/>
        <w:numPr>
          <w:ilvl w:val="0"/>
          <w:numId w:val="1"/>
        </w:numPr>
        <w:spacing w:after="80"/>
      </w:pPr>
      <w:r>
        <w:rPr>
          <w:rFonts w:ascii="Calibri" w:cs="Calibri" w:eastAsia="Calibri" w:hAnsi="Calibri"/>
          <w:sz w:val="21"/>
          <w:szCs w:val="21"/>
        </w:rPr>
        <w:t xml:space="preserve">Business Value: High (Phase A.3 §9) — resolves the second of the baseline's two High-rated risks.</w:t>
      </w:r>
    </w:p>
    <w:p>
      <w:pPr>
        <w:pStyle w:val="ListParagraph"/>
        <w:numPr>
          <w:ilvl w:val="0"/>
          <w:numId w:val="1"/>
        </w:numPr>
        <w:spacing w:after="80"/>
      </w:pPr>
      <w:r>
        <w:rPr>
          <w:rFonts w:ascii="Calibri" w:cs="Calibri" w:eastAsia="Calibri" w:hAnsi="Calibri"/>
          <w:sz w:val="21"/>
          <w:szCs w:val="21"/>
        </w:rPr>
        <w:t xml:space="preserve">Strategic Importance: the mandatory precursor to Certification Level L4 for AR-0007.</w:t>
      </w:r>
    </w:p>
    <w:p>
      <w:pPr>
        <w:pStyle w:val="ListParagraph"/>
        <w:numPr>
          <w:ilvl w:val="0"/>
          <w:numId w:val="1"/>
        </w:numPr>
        <w:spacing w:after="80"/>
      </w:pPr>
      <w:r>
        <w:rPr>
          <w:rFonts w:ascii="Calibri" w:cs="Calibri" w:eastAsia="Calibri" w:hAnsi="Calibri"/>
          <w:sz w:val="21"/>
          <w:szCs w:val="21"/>
        </w:rPr>
        <w:t xml:space="preserve">Expected Outcome: written RLS status and policy-list confirmation for every student-owned table.</w:t>
      </w:r>
    </w:p>
    <w:p>
      <w:pPr>
        <w:pStyle w:val="ListParagraph"/>
        <w:numPr>
          <w:ilvl w:val="0"/>
          <w:numId w:val="1"/>
        </w:numPr>
        <w:spacing w:after="80"/>
      </w:pPr>
      <w:r>
        <w:rPr>
          <w:rFonts w:ascii="Calibri" w:cs="Calibri" w:eastAsia="Calibri" w:hAnsi="Calibri"/>
          <w:sz w:val="21"/>
          <w:szCs w:val="21"/>
        </w:rPr>
        <w:t xml:space="preserve">Success Measure: KPI-06 RLS Coverage % = 100% confirmed (currently confirmed on 2 tables; unverified elsewhere).</w:t>
      </w:r>
    </w:p>
    <w:p>
      <w:pPr>
        <w:pStyle w:val="Heading3"/>
        <w:spacing w:after="120" w:before="240"/>
      </w:pPr>
      <w:r>
        <w:t xml:space="preserve">D. Engineering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8"/>
        <w:gridCol w:w="7072"/>
      </w:tblGrid>
      <w:tr>
        <w:trPr>
          <w:tblHeader/>
        </w:trPr>
        <w:tc>
          <w:tcPr>
            <w:tcW w:type="dxa" w:w="228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Scope Area</w:t>
            </w:r>
          </w:p>
        </w:tc>
        <w:tc>
          <w:tcPr>
            <w:tcW w:type="dxa" w:w="7072"/>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Detail</w:t>
            </w:r>
          </w:p>
        </w:tc>
      </w:tr>
      <w:tr>
        <w:tc>
          <w:tcPr>
            <w:tcW w:type="dxa" w:w="228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Functional Scope</w:t>
            </w:r>
          </w:p>
        </w:tc>
        <w:tc>
          <w:tcPr>
            <w:tcW w:type="dxa" w:w="707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Verify that RLS ownership-check policies exist and function correctly on student_activities, student_cognitive_responses, student_signal_vectors, and related tables.</w:t>
            </w:r>
          </w:p>
        </w:tc>
      </w:tr>
      <w:tr>
        <w:tc>
          <w:tcPr>
            <w:tcW w:type="dxa" w:w="228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Technical Scope</w:t>
            </w:r>
          </w:p>
        </w:tc>
        <w:tc>
          <w:tcPr>
            <w:tcW w:type="dxa" w:w="707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Policy audit against the already-confirmed RLS pattern on student_academic_records and student_academic_subjects.</w:t>
            </w:r>
          </w:p>
        </w:tc>
      </w:tr>
      <w:tr>
        <w:tc>
          <w:tcPr>
            <w:tcW w:type="dxa" w:w="228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Repository Scope</w:t>
            </w:r>
          </w:p>
        </w:tc>
        <w:tc>
          <w:tcPr>
            <w:tcW w:type="dxa" w:w="707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Database repository (RLS policy definitions).</w:t>
            </w:r>
          </w:p>
        </w:tc>
      </w:tr>
      <w:tr>
        <w:tc>
          <w:tcPr>
            <w:tcW w:type="dxa" w:w="228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Database Scope</w:t>
            </w:r>
          </w:p>
        </w:tc>
        <w:tc>
          <w:tcPr>
            <w:tcW w:type="dxa" w:w="707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Verification only in baseline scope. Contingency (not baseline scope): if a gap is found, apply the proven RLS pattern from student_academic_records without delay (Phase B §10).</w:t>
            </w:r>
          </w:p>
        </w:tc>
      </w:tr>
      <w:tr>
        <w:tc>
          <w:tcPr>
            <w:tcW w:type="dxa" w:w="228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Documentation Scope</w:t>
            </w:r>
          </w:p>
        </w:tc>
        <w:tc>
          <w:tcPr>
            <w:tcW w:type="dxa" w:w="707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Written RLS status and policy list for every student-owned table.</w:t>
            </w:r>
          </w:p>
        </w:tc>
      </w:tr>
      <w:tr>
        <w:tc>
          <w:tcPr>
            <w:tcW w:type="dxa" w:w="228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Security Scope</w:t>
            </w:r>
          </w:p>
        </w:tc>
        <w:tc>
          <w:tcPr>
            <w:tcW w:type="dxa" w:w="707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Primary deliverable of this Work Package.</w:t>
            </w:r>
          </w:p>
        </w:tc>
      </w:tr>
      <w:tr>
        <w:tc>
          <w:tcPr>
            <w:tcW w:type="dxa" w:w="228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Testing Scope</w:t>
            </w:r>
          </w:p>
        </w:tc>
        <w:tc>
          <w:tcPr>
            <w:tcW w:type="dxa" w:w="707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Query-based verification with written evidence — the template this baseline adopts for all future Realize-class verification (Section 1 §7).</w:t>
            </w:r>
          </w:p>
        </w:tc>
      </w:tr>
      <w:tr>
        <w:tc>
          <w:tcPr>
            <w:tcW w:type="dxa" w:w="228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Operational Scope</w:t>
            </w:r>
          </w:p>
        </w:tc>
        <w:tc>
          <w:tcPr>
            <w:tcW w:type="dxa" w:w="707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Not Applicable this wave — no deployment or rollout in scope (Section 1 §3).</w:t>
            </w:r>
          </w:p>
        </w:tc>
      </w:tr>
    </w:tbl>
    <w:p>
      <w:pPr>
        <w:pStyle w:val="Heading3"/>
        <w:spacing w:after="120" w:before="240"/>
      </w:pPr>
      <w:r>
        <w:t xml:space="preserve">E. Engineering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Responsible Owner</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Security/Platform Engineer</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Supporting Roles</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None evidenced beyond the single named role.</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Governance Authority</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Security/Platform Engineer</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Review Authority</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Security/Platform Engineer</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Approval Authority</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Security/Platform Engineer</w:t>
            </w:r>
          </w:p>
        </w:tc>
      </w:tr>
    </w:tbl>
    <w:p>
      <w:pPr>
        <w:shd w:fill="FDEBD0" w:val="clear"/>
        <w:spacing w:after="160"/>
      </w:pPr>
      <w:r>
        <w:rPr>
          <w:rFonts w:ascii="Calibri" w:cs="Calibri" w:eastAsia="Calibri" w:hAnsi="Calibri"/>
          <w:i/>
          <w:iCs/>
          <w:color w:val="833C0C"/>
          <w:sz w:val="20"/>
          <w:szCs w:val="20"/>
        </w:rPr>
        <w:t xml:space="preserve">OWNERSHIP PENDING COMPLETION OF WP-0006 — the role above is named per Phase B §9 but carries no currently-assigned individual (KPI-08 = 0%).</w:t>
      </w:r>
    </w:p>
    <w:p>
      <w:pPr>
        <w:pStyle w:val="Heading3"/>
        <w:spacing w:after="120" w:before="240"/>
      </w:pPr>
      <w:r>
        <w:t xml:space="preserve">F.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8"/>
        <w:gridCol w:w="7072"/>
      </w:tblGrid>
      <w:tr>
        <w:trPr>
          <w:tblHeader/>
        </w:trPr>
        <w:tc>
          <w:tcPr>
            <w:tcW w:type="dxa" w:w="228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Dependency Type</w:t>
            </w:r>
          </w:p>
        </w:tc>
        <w:tc>
          <w:tcPr>
            <w:tcW w:type="dxa" w:w="7072"/>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Detail and Rationale</w:t>
            </w:r>
          </w:p>
        </w:tc>
      </w:tr>
      <w:tr>
        <w:tc>
          <w:tcPr>
            <w:tcW w:type="dxa" w:w="228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Predecessor Work Packages</w:t>
            </w:r>
          </w:p>
        </w:tc>
        <w:tc>
          <w:tcPr>
            <w:tcW w:type="dxa" w:w="707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None — startable immediately with zero blocking dependency (Phase B §7).</w:t>
            </w:r>
          </w:p>
        </w:tc>
      </w:tr>
      <w:tr>
        <w:tc>
          <w:tcPr>
            <w:tcW w:type="dxa" w:w="228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Successor Work Packages</w:t>
            </w:r>
          </w:p>
        </w:tc>
        <w:tc>
          <w:tcPr>
            <w:tcW w:type="dxa" w:w="707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WP-0005 (column-level access review) benefits from this Work Package's completion, reviewing the same tables under the same reviewer (Phase B §4).</w:t>
            </w:r>
          </w:p>
        </w:tc>
      </w:tr>
      <w:tr>
        <w:tc>
          <w:tcPr>
            <w:tcW w:type="dxa" w:w="228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Blocking Dependencies</w:t>
            </w:r>
          </w:p>
        </w:tc>
        <w:tc>
          <w:tcPr>
            <w:tcW w:type="dxa" w:w="707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None.</w:t>
            </w:r>
          </w:p>
        </w:tc>
      </w:tr>
      <w:tr>
        <w:tc>
          <w:tcPr>
            <w:tcW w:type="dxa" w:w="228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External Dependencies</w:t>
            </w:r>
          </w:p>
        </w:tc>
        <w:tc>
          <w:tcPr>
            <w:tcW w:type="dxa" w:w="707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None.</w:t>
            </w:r>
          </w:p>
        </w:tc>
      </w:tr>
      <w:tr>
        <w:tc>
          <w:tcPr>
            <w:tcW w:type="dxa" w:w="228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Trigger-based Dependencies</w:t>
            </w:r>
          </w:p>
        </w:tc>
        <w:tc>
          <w:tcPr>
            <w:tcW w:type="dxa" w:w="707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None — EGD-0007 execution is immediate, not trigger-gated.</w:t>
            </w:r>
          </w:p>
        </w:tc>
      </w:tr>
      <w:tr>
        <w:tc>
          <w:tcPr>
            <w:tcW w:type="dxa" w:w="228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Governance Dependencies</w:t>
            </w:r>
          </w:p>
        </w:tc>
        <w:tc>
          <w:tcPr>
            <w:tcW w:type="dxa" w:w="707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EGD-0007 (Accepted, in progress) — already dispositioned in Phase A.3; no new governance required.</w:t>
            </w:r>
          </w:p>
        </w:tc>
      </w:tr>
    </w:tbl>
    <w:p>
      <w:pPr>
        <w:pStyle w:val="Heading3"/>
        <w:spacing w:after="120" w:before="240"/>
      </w:pPr>
      <w:r>
        <w:t xml:space="preserve">G. Engineering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8"/>
        <w:gridCol w:w="7072"/>
      </w:tblGrid>
      <w:tr>
        <w:trPr>
          <w:tblHeader/>
        </w:trPr>
        <w:tc>
          <w:tcPr>
            <w:tcW w:type="dxa" w:w="228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Deliverable Category</w:t>
            </w:r>
          </w:p>
        </w:tc>
        <w:tc>
          <w:tcPr>
            <w:tcW w:type="dxa" w:w="7072"/>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Required Deliverable</w:t>
            </w:r>
          </w:p>
        </w:tc>
      </w:tr>
      <w:tr>
        <w:tc>
          <w:tcPr>
            <w:tcW w:type="dxa" w:w="228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Engineering Deliverables</w:t>
            </w:r>
          </w:p>
        </w:tc>
        <w:tc>
          <w:tcPr>
            <w:tcW w:type="dxa" w:w="707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RLS verification across all student-owned tables.</w:t>
            </w:r>
          </w:p>
        </w:tc>
      </w:tr>
      <w:tr>
        <w:tc>
          <w:tcPr>
            <w:tcW w:type="dxa" w:w="228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Repository Deliverables</w:t>
            </w:r>
          </w:p>
        </w:tc>
        <w:tc>
          <w:tcPr>
            <w:tcW w:type="dxa" w:w="707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None in baseline scope; a corrective RLS policy change only as contingency if a gap is confirmed.</w:t>
            </w:r>
          </w:p>
        </w:tc>
      </w:tr>
      <w:tr>
        <w:tc>
          <w:tcPr>
            <w:tcW w:type="dxa" w:w="228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Database Deliverables</w:t>
            </w:r>
          </w:p>
        </w:tc>
        <w:tc>
          <w:tcPr>
            <w:tcW w:type="dxa" w:w="707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None in baseline scope (contingency only, per above).</w:t>
            </w:r>
          </w:p>
        </w:tc>
      </w:tr>
      <w:tr>
        <w:tc>
          <w:tcPr>
            <w:tcW w:type="dxa" w:w="228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Documentation Deliverables</w:t>
            </w:r>
          </w:p>
        </w:tc>
        <w:tc>
          <w:tcPr>
            <w:tcW w:type="dxa" w:w="707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Written RLS status and policy list for every student-owned table.</w:t>
            </w:r>
          </w:p>
        </w:tc>
      </w:tr>
      <w:tr>
        <w:tc>
          <w:tcPr>
            <w:tcW w:type="dxa" w:w="228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Verification Deliverables</w:t>
            </w:r>
          </w:p>
        </w:tc>
        <w:tc>
          <w:tcPr>
            <w:tcW w:type="dxa" w:w="707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Query-based verification evidence.</w:t>
            </w:r>
          </w:p>
        </w:tc>
      </w:tr>
      <w:tr>
        <w:tc>
          <w:tcPr>
            <w:tcW w:type="dxa" w:w="228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Governance Deliverables</w:t>
            </w:r>
          </w:p>
        </w:tc>
        <w:tc>
          <w:tcPr>
            <w:tcW w:type="dxa" w:w="707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ER-0007 status update (Planned → Implemented); KPI-06 measurement update.</w:t>
            </w:r>
          </w:p>
        </w:tc>
      </w:tr>
    </w:tbl>
    <w:p>
      <w:pPr>
        <w:pStyle w:val="Heading3"/>
        <w:spacing w:after="120" w:before="240"/>
      </w:pPr>
      <w:r>
        <w:t xml:space="preserve">H. Entry Criteria</w:t>
      </w:r>
    </w:p>
    <w:p>
      <w:pPr>
        <w:pStyle w:val="ListParagraph"/>
        <w:numPr>
          <w:ilvl w:val="0"/>
          <w:numId w:val="1"/>
        </w:numPr>
        <w:spacing w:after="80"/>
      </w:pPr>
      <w:r>
        <w:rPr>
          <w:rFonts w:ascii="Calibri" w:cs="Calibri" w:eastAsia="Calibri" w:hAnsi="Calibri"/>
          <w:sz w:val="21"/>
          <w:szCs w:val="21"/>
        </w:rPr>
        <w:t xml:space="preserve">No blocking precondition — repository access and evidence are already available.</w:t>
      </w:r>
    </w:p>
    <w:p>
      <w:pPr>
        <w:pStyle w:val="Heading3"/>
        <w:spacing w:after="120" w:before="240"/>
      </w:pPr>
      <w:r>
        <w:t xml:space="preserve">I. Exit Criteria</w:t>
      </w:r>
    </w:p>
    <w:p>
      <w:pPr>
        <w:pStyle w:val="ListParagraph"/>
        <w:numPr>
          <w:ilvl w:val="0"/>
          <w:numId w:val="1"/>
        </w:numPr>
        <w:spacing w:after="80"/>
      </w:pPr>
      <w:r>
        <w:rPr>
          <w:rFonts w:ascii="Calibri" w:cs="Calibri" w:eastAsia="Calibri" w:hAnsi="Calibri"/>
          <w:sz w:val="21"/>
          <w:szCs w:val="21"/>
        </w:rPr>
        <w:t xml:space="preserve">Written RLS confirmation produced for every student-owned table.</w:t>
      </w:r>
    </w:p>
    <w:p>
      <w:pPr>
        <w:pStyle w:val="Heading3"/>
        <w:spacing w:after="120" w:before="240"/>
      </w:pPr>
      <w:r>
        <w:t xml:space="preserve">J. Acceptance Criteria</w:t>
      </w:r>
    </w:p>
    <w:p>
      <w:pPr>
        <w:pStyle w:val="ListParagraph"/>
        <w:numPr>
          <w:ilvl w:val="0"/>
          <w:numId w:val="1"/>
        </w:numPr>
        <w:spacing w:after="80"/>
      </w:pPr>
      <w:r>
        <w:rPr>
          <w:rFonts w:ascii="Calibri" w:cs="Calibri" w:eastAsia="Calibri" w:hAnsi="Calibri"/>
          <w:sz w:val="21"/>
          <w:szCs w:val="21"/>
        </w:rPr>
        <w:t xml:space="preserve">KPI-06 RLS Coverage % = 100% confirmed.</w:t>
      </w:r>
    </w:p>
    <w:p>
      <w:pPr>
        <w:pStyle w:val="ListParagraph"/>
        <w:numPr>
          <w:ilvl w:val="0"/>
          <w:numId w:val="1"/>
        </w:numPr>
        <w:spacing w:after="80"/>
      </w:pPr>
      <w:r>
        <w:rPr>
          <w:rFonts w:ascii="Calibri" w:cs="Calibri" w:eastAsia="Calibri" w:hAnsi="Calibri"/>
          <w:sz w:val="21"/>
          <w:szCs w:val="21"/>
        </w:rPr>
        <w:t xml:space="preserve">AR-0007 traceability status advances to Certification Level L4 (pending written confirmation).</w:t>
      </w:r>
    </w:p>
    <w:p>
      <w:pPr>
        <w:pStyle w:val="ListParagraph"/>
        <w:numPr>
          <w:ilvl w:val="0"/>
          <w:numId w:val="1"/>
        </w:numPr>
        <w:spacing w:after="80"/>
      </w:pPr>
      <w:r>
        <w:rPr>
          <w:rFonts w:ascii="Calibri" w:cs="Calibri" w:eastAsia="Calibri" w:hAnsi="Calibri"/>
          <w:sz w:val="21"/>
          <w:szCs w:val="21"/>
        </w:rPr>
        <w:t xml:space="preserve">KPI-09 Critical technical-debt class reduces from 1 to 0.</w:t>
      </w:r>
    </w:p>
    <w:p>
      <w:pPr>
        <w:pStyle w:val="ListParagraph"/>
        <w:numPr>
          <w:ilvl w:val="0"/>
          <w:numId w:val="1"/>
        </w:numPr>
        <w:spacing w:after="80"/>
      </w:pPr>
      <w:r>
        <w:rPr>
          <w:rFonts w:ascii="Calibri" w:cs="Calibri" w:eastAsia="Calibri" w:hAnsi="Calibri"/>
          <w:sz w:val="21"/>
          <w:szCs w:val="21"/>
        </w:rPr>
        <w:t xml:space="preserve">Zero unverified student-owned tables remaining.</w:t>
      </w:r>
    </w:p>
    <w:p>
      <w:pPr>
        <w:pStyle w:val="Heading1"/>
        <w:spacing w:after="200" w:before="400"/>
      </w:pPr>
      <w:r>
        <w:t xml:space="preserve">WP-0003 — Partitioning Assessment and Plan for High-Growth Tables</w:t>
      </w:r>
    </w:p>
    <w:p>
      <w:pPr>
        <w:pStyle w:val="Heading3"/>
        <w:spacing w:after="120" w:before="240"/>
      </w:pPr>
      <w:r>
        <w:t xml:space="preserve">A. Governance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Work Package ID</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WP-0003</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Work Package Name</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Execute EGD-0004 (once triggered) — partitioning assessment and plan for high-growth tables</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Current Status</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Not started; trigger not yet fired (Phase A.3 §1.8)</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Current Readiness</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Blocked — trigger-gated on row-count/growth data not yet gathered (Phase B §7)</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Priority</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Medium (Phase A.3 §9)</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Complexity</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Medium for assessment; High if migration is ultimately chosen (Phase A.3 §9)</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Risk Classification</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Medium, growing over time (Phase B §4)</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Portfolio</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1 — Enterprise Data Platform (Phase B §3)</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Wave</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Wave 3 — Trigger-Gated Assessment (Phase B §5)</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Milestone</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Data Platform Ready (conditional) (Phase B §8)</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Trigger Condition</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Tables exceed 10M rows, latency degrades, or a 10-downstream-system scale target is reached (EGD-0004, Phase A.3 §4)</w:t>
            </w:r>
          </w:p>
        </w:tc>
      </w:tr>
    </w:tbl>
    <w:p>
      <w:pPr>
        <w:pStyle w:val="Heading3"/>
        <w:spacing w:after="120" w:before="240"/>
      </w:pPr>
      <w:r>
        <w:t xml:space="preserve">B. Architecture Traceability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Identifier</w:t>
            </w:r>
          </w:p>
        </w:tc>
        <w:tc>
          <w:tcPr>
            <w:tcW w:type="dxa" w:w="702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Traceability Detail</w:t>
            </w:r>
          </w:p>
        </w:tc>
      </w:tr>
      <w:tr>
        <w:tc>
          <w:tcPr>
            <w:tcW w:type="dxa" w:w="23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AR-0004</w:t>
            </w:r>
          </w:p>
        </w:tc>
        <w:tc>
          <w:tcPr>
            <w:tcW w:type="dxa" w:w="70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Performance/Scalability — native range partitioning on 4 high-growth historical/derived tables; non-conformant, deferred (Phase A.3 §3)</w:t>
            </w:r>
          </w:p>
        </w:tc>
      </w:tr>
      <w:tr>
        <w:tc>
          <w:tcPr>
            <w:tcW w:type="dxa" w:w="23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EGD-0004</w:t>
            </w:r>
          </w:p>
        </w:tc>
        <w:tc>
          <w:tcPr>
            <w:tcW w:type="dxa" w:w="702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Defer partitioning (Deferred; owner: Platform Engineering Lead, unassigned pending WP-0006)</w:t>
            </w:r>
          </w:p>
        </w:tc>
      </w:tr>
      <w:tr>
        <w:tc>
          <w:tcPr>
            <w:tcW w:type="dxa" w:w="23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ER-0004</w:t>
            </w:r>
          </w:p>
        </w:tc>
        <w:tc>
          <w:tcPr>
            <w:tcW w:type="dxa" w:w="70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Deferred — team has demonstrated correct partitioning capability elsewhere (chi_scores) once volume justified it; target release: Trigger-based</w:t>
            </w:r>
          </w:p>
        </w:tc>
      </w:tr>
      <w:tr>
        <w:tc>
          <w:tcPr>
            <w:tcW w:type="dxa" w:w="23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VAR-04</w:t>
            </w:r>
          </w:p>
        </w:tc>
        <w:tc>
          <w:tcPr>
            <w:tcW w:type="dxa" w:w="702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Absence of partitioning on 4 designated tables — approved, deferred; quarterly review</w:t>
            </w:r>
          </w:p>
        </w:tc>
      </w:tr>
      <w:tr>
        <w:tc>
          <w:tcPr>
            <w:tcW w:type="dxa" w:w="23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KPI-05 / KPI-09</w:t>
            </w:r>
          </w:p>
        </w:tc>
        <w:tc>
          <w:tcPr>
            <w:tcW w:type="dxa" w:w="70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Deferred Decisions (count), Technical Debt by Class (Tactical class)</w:t>
            </w:r>
          </w:p>
        </w:tc>
      </w:tr>
    </w:tbl>
    <w:p>
      <w:pPr>
        <w:pStyle w:val="Heading3"/>
        <w:spacing w:after="120" w:before="240"/>
      </w:pPr>
      <w:r>
        <w:t xml:space="preserve">C. Business Context</w:t>
      </w:r>
    </w:p>
    <w:p>
      <w:pPr>
        <w:pStyle w:val="ListParagraph"/>
        <w:numPr>
          <w:ilvl w:val="0"/>
          <w:numId w:val="1"/>
        </w:numPr>
        <w:spacing w:after="80"/>
      </w:pPr>
      <w:r>
        <w:rPr>
          <w:rFonts w:ascii="Calibri" w:cs="Calibri" w:eastAsia="Calibri" w:hAnsi="Calibri"/>
          <w:sz w:val="21"/>
          <w:szCs w:val="21"/>
        </w:rPr>
        <w:t xml:space="preserve">Business Objective: preserve a correctly-deferred item as monitored, not neglected, per AP-008.</w:t>
      </w:r>
    </w:p>
    <w:p>
      <w:pPr>
        <w:pStyle w:val="ListParagraph"/>
        <w:numPr>
          <w:ilvl w:val="0"/>
          <w:numId w:val="1"/>
        </w:numPr>
        <w:spacing w:after="80"/>
      </w:pPr>
      <w:r>
        <w:rPr>
          <w:rFonts w:ascii="Calibri" w:cs="Calibri" w:eastAsia="Calibri" w:hAnsi="Calibri"/>
          <w:sz w:val="21"/>
          <w:szCs w:val="21"/>
        </w:rPr>
        <w:t xml:space="preserve">Business Value: Medium, time-sensitive (Phase A.3 §9).</w:t>
      </w:r>
    </w:p>
    <w:p>
      <w:pPr>
        <w:pStyle w:val="ListParagraph"/>
        <w:numPr>
          <w:ilvl w:val="0"/>
          <w:numId w:val="1"/>
        </w:numPr>
        <w:spacing w:after="80"/>
      </w:pPr>
      <w:r>
        <w:rPr>
          <w:rFonts w:ascii="Calibri" w:cs="Calibri" w:eastAsia="Calibri" w:hAnsi="Calibri"/>
          <w:sz w:val="21"/>
          <w:szCs w:val="21"/>
        </w:rPr>
        <w:t xml:space="preserve">Strategic Importance: closes AR-0004 to Certification Level L3 (standing) and to L4 only if and when the migration is executed.</w:t>
      </w:r>
    </w:p>
    <w:p>
      <w:pPr>
        <w:pStyle w:val="ListParagraph"/>
        <w:numPr>
          <w:ilvl w:val="0"/>
          <w:numId w:val="1"/>
        </w:numPr>
        <w:spacing w:after="80"/>
      </w:pPr>
      <w:r>
        <w:rPr>
          <w:rFonts w:ascii="Calibri" w:cs="Calibri" w:eastAsia="Calibri" w:hAnsi="Calibri"/>
          <w:sz w:val="21"/>
          <w:szCs w:val="21"/>
        </w:rPr>
        <w:t xml:space="preserve">Expected Outcome: a partitioning assessment and plan, produced only once the EGD-0004 trigger fires; a migration only if the assessment recommends one.</w:t>
      </w:r>
    </w:p>
    <w:p>
      <w:pPr>
        <w:pStyle w:val="ListParagraph"/>
        <w:numPr>
          <w:ilvl w:val="0"/>
          <w:numId w:val="1"/>
        </w:numPr>
        <w:spacing w:after="80"/>
      </w:pPr>
      <w:r>
        <w:rPr>
          <w:rFonts w:ascii="Calibri" w:cs="Calibri" w:eastAsia="Calibri" w:hAnsi="Calibri"/>
          <w:sz w:val="21"/>
          <w:szCs w:val="21"/>
        </w:rPr>
        <w:t xml:space="preserve">Success Measure: quarterly row-count/latency check evidence against the EGD-0004 trigger thresholds.</w:t>
      </w:r>
    </w:p>
    <w:p>
      <w:pPr>
        <w:pStyle w:val="Heading3"/>
        <w:spacing w:after="120" w:before="240"/>
      </w:pPr>
      <w:r>
        <w:t xml:space="preserve">D. Engineering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8"/>
        <w:gridCol w:w="7072"/>
      </w:tblGrid>
      <w:tr>
        <w:trPr>
          <w:tblHeader/>
        </w:trPr>
        <w:tc>
          <w:tcPr>
            <w:tcW w:type="dxa" w:w="228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Scope Area</w:t>
            </w:r>
          </w:p>
        </w:tc>
        <w:tc>
          <w:tcPr>
            <w:tcW w:type="dxa" w:w="7072"/>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Detail</w:t>
            </w:r>
          </w:p>
        </w:tc>
      </w:tr>
      <w:tr>
        <w:tc>
          <w:tcPr>
            <w:tcW w:type="dxa" w:w="228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Functional Scope</w:t>
            </w:r>
          </w:p>
        </w:tc>
        <w:tc>
          <w:tcPr>
            <w:tcW w:type="dxa" w:w="707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Assess partitioning need for the 4 designated high-growth historical/derived tables.</w:t>
            </w:r>
          </w:p>
        </w:tc>
      </w:tr>
      <w:tr>
        <w:tc>
          <w:tcPr>
            <w:tcW w:type="dxa" w:w="228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Technical Scope</w:t>
            </w:r>
          </w:p>
        </w:tc>
        <w:tc>
          <w:tcPr>
            <w:tcW w:type="dxa" w:w="707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Native PostgreSQL range partitioning design, consistent with the pattern already proven on chi_scores (Phase A.3 §5).</w:t>
            </w:r>
          </w:p>
        </w:tc>
      </w:tr>
      <w:tr>
        <w:tc>
          <w:tcPr>
            <w:tcW w:type="dxa" w:w="228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Repository Scope</w:t>
            </w:r>
          </w:p>
        </w:tc>
        <w:tc>
          <w:tcPr>
            <w:tcW w:type="dxa" w:w="707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Database migration repository — conditional on the trigger firing.</w:t>
            </w:r>
          </w:p>
        </w:tc>
      </w:tr>
      <w:tr>
        <w:tc>
          <w:tcPr>
            <w:tcW w:type="dxa" w:w="228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Database Scope</w:t>
            </w:r>
          </w:p>
        </w:tc>
        <w:tc>
          <w:tcPr>
            <w:tcW w:type="dxa" w:w="707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Conditional native partitioning migration, only once EGD-0004's trigger fires.</w:t>
            </w:r>
          </w:p>
        </w:tc>
      </w:tr>
      <w:tr>
        <w:tc>
          <w:tcPr>
            <w:tcW w:type="dxa" w:w="228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Documentation Scope</w:t>
            </w:r>
          </w:p>
        </w:tc>
        <w:tc>
          <w:tcPr>
            <w:tcW w:type="dxa" w:w="707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Partitioning assessment report.</w:t>
            </w:r>
          </w:p>
        </w:tc>
      </w:tr>
      <w:tr>
        <w:tc>
          <w:tcPr>
            <w:tcW w:type="dxa" w:w="228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Security Scope</w:t>
            </w:r>
          </w:p>
        </w:tc>
        <w:tc>
          <w:tcPr>
            <w:tcW w:type="dxa" w:w="707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Not Applicable to this Work Package.</w:t>
            </w:r>
          </w:p>
        </w:tc>
      </w:tr>
      <w:tr>
        <w:tc>
          <w:tcPr>
            <w:tcW w:type="dxa" w:w="228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Testing Scope</w:t>
            </w:r>
          </w:p>
        </w:tc>
        <w:tc>
          <w:tcPr>
            <w:tcW w:type="dxa" w:w="707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Quarterly row-count/latency check against the EGD-0004 trigger (Phase A.3 §7).</w:t>
            </w:r>
          </w:p>
        </w:tc>
      </w:tr>
      <w:tr>
        <w:tc>
          <w:tcPr>
            <w:tcW w:type="dxa" w:w="228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Operational Scope</w:t>
            </w:r>
          </w:p>
        </w:tc>
        <w:tc>
          <w:tcPr>
            <w:tcW w:type="dxa" w:w="707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Reserved for Future Realization Phases beyond the quarterly monitoring cadence — no operations/observability tooling is evidenced (Portfolio 7 carries no approved Work Package).</w:t>
            </w:r>
          </w:p>
        </w:tc>
      </w:tr>
    </w:tbl>
    <w:p>
      <w:pPr>
        <w:pStyle w:val="Heading3"/>
        <w:spacing w:after="120" w:before="240"/>
      </w:pPr>
      <w:r>
        <w:t xml:space="preserve">E. Engineering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Responsible Owner</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Platform Engineering Lead</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Supporting Roles</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None evidenced beyond the single named role.</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Governance Authority</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Platform Engineering Lead</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Review Authority</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Platform Engineering Lead</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Approval Authority</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Platform Engineering Lead</w:t>
            </w:r>
          </w:p>
        </w:tc>
      </w:tr>
    </w:tbl>
    <w:p>
      <w:pPr>
        <w:shd w:fill="FDEBD0" w:val="clear"/>
        <w:spacing w:after="160"/>
      </w:pPr>
      <w:r>
        <w:rPr>
          <w:rFonts w:ascii="Calibri" w:cs="Calibri" w:eastAsia="Calibri" w:hAnsi="Calibri"/>
          <w:i/>
          <w:iCs/>
          <w:color w:val="833C0C"/>
          <w:sz w:val="20"/>
          <w:szCs w:val="20"/>
        </w:rPr>
        <w:t xml:space="preserve">OWNERSHIP PENDING COMPLETION OF WP-0006 — the role above is named per Phase B §9 but carries no currently-assigned individual (KPI-08 = 0%).</w:t>
      </w:r>
    </w:p>
    <w:p>
      <w:pPr>
        <w:pStyle w:val="Heading3"/>
        <w:spacing w:after="120" w:before="240"/>
      </w:pPr>
      <w:r>
        <w:t xml:space="preserve">F.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8"/>
        <w:gridCol w:w="7072"/>
      </w:tblGrid>
      <w:tr>
        <w:trPr>
          <w:tblHeader/>
        </w:trPr>
        <w:tc>
          <w:tcPr>
            <w:tcW w:type="dxa" w:w="228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Dependency Type</w:t>
            </w:r>
          </w:p>
        </w:tc>
        <w:tc>
          <w:tcPr>
            <w:tcW w:type="dxa" w:w="7072"/>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Detail and Rationale</w:t>
            </w:r>
          </w:p>
        </w:tc>
      </w:tr>
      <w:tr>
        <w:tc>
          <w:tcPr>
            <w:tcW w:type="dxa" w:w="228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Predecessor Work Packages</w:t>
            </w:r>
          </w:p>
        </w:tc>
        <w:tc>
          <w:tcPr>
            <w:tcW w:type="dxa" w:w="707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None directly, but current row-count/growth data (an external, not-yet-gathered dependency) must exist before assessment can begin (Phase B §7).</w:t>
            </w:r>
          </w:p>
        </w:tc>
      </w:tr>
      <w:tr>
        <w:tc>
          <w:tcPr>
            <w:tcW w:type="dxa" w:w="228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Successor Work Packages</w:t>
            </w:r>
          </w:p>
        </w:tc>
        <w:tc>
          <w:tcPr>
            <w:tcW w:type="dxa" w:w="707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None.</w:t>
            </w:r>
          </w:p>
        </w:tc>
      </w:tr>
      <w:tr>
        <w:tc>
          <w:tcPr>
            <w:tcW w:type="dxa" w:w="228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Blocking Dependencies</w:t>
            </w:r>
          </w:p>
        </w:tc>
        <w:tc>
          <w:tcPr>
            <w:tcW w:type="dxa" w:w="707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External data-availability blocker — not a Work-Package-level blocker (Phase B §7).</w:t>
            </w:r>
          </w:p>
        </w:tc>
      </w:tr>
      <w:tr>
        <w:tc>
          <w:tcPr>
            <w:tcW w:type="dxa" w:w="228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External Dependencies</w:t>
            </w:r>
          </w:p>
        </w:tc>
        <w:tc>
          <w:tcPr>
            <w:tcW w:type="dxa" w:w="707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Row-count/growth data, not yet gathered.</w:t>
            </w:r>
          </w:p>
        </w:tc>
      </w:tr>
      <w:tr>
        <w:tc>
          <w:tcPr>
            <w:tcW w:type="dxa" w:w="228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Trigger-based Dependencies</w:t>
            </w:r>
          </w:p>
        </w:tc>
        <w:tc>
          <w:tcPr>
            <w:tcW w:type="dxa" w:w="707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EGD-0004 trigger (10M rows, latency degradation, or 10-downstream-system scale target).</w:t>
            </w:r>
          </w:p>
        </w:tc>
      </w:tr>
      <w:tr>
        <w:tc>
          <w:tcPr>
            <w:tcW w:type="dxa" w:w="228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Governance Dependencies</w:t>
            </w:r>
          </w:p>
        </w:tc>
        <w:tc>
          <w:tcPr>
            <w:tcW w:type="dxa" w:w="707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EGD-0004 (Deferred) — already dispositioned in Phase A.3; no new governance required to begin monitoring.</w:t>
            </w:r>
          </w:p>
        </w:tc>
      </w:tr>
    </w:tbl>
    <w:p>
      <w:pPr>
        <w:pStyle w:val="Heading3"/>
        <w:spacing w:after="120" w:before="240"/>
      </w:pPr>
      <w:r>
        <w:t xml:space="preserve">G. Engineering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8"/>
        <w:gridCol w:w="7072"/>
      </w:tblGrid>
      <w:tr>
        <w:trPr>
          <w:tblHeader/>
        </w:trPr>
        <w:tc>
          <w:tcPr>
            <w:tcW w:type="dxa" w:w="228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Deliverable Category</w:t>
            </w:r>
          </w:p>
        </w:tc>
        <w:tc>
          <w:tcPr>
            <w:tcW w:type="dxa" w:w="7072"/>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Required Deliverable</w:t>
            </w:r>
          </w:p>
        </w:tc>
      </w:tr>
      <w:tr>
        <w:tc>
          <w:tcPr>
            <w:tcW w:type="dxa" w:w="228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Engineering Deliverables</w:t>
            </w:r>
          </w:p>
        </w:tc>
        <w:tc>
          <w:tcPr>
            <w:tcW w:type="dxa" w:w="707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Partitioning assessment; migration only if triggered and recommended.</w:t>
            </w:r>
          </w:p>
        </w:tc>
      </w:tr>
      <w:tr>
        <w:tc>
          <w:tcPr>
            <w:tcW w:type="dxa" w:w="228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Repository Deliverables</w:t>
            </w:r>
          </w:p>
        </w:tc>
        <w:tc>
          <w:tcPr>
            <w:tcW w:type="dxa" w:w="707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Partitioning migration artifact, conditional on the trigger firing.</w:t>
            </w:r>
          </w:p>
        </w:tc>
      </w:tr>
      <w:tr>
        <w:tc>
          <w:tcPr>
            <w:tcW w:type="dxa" w:w="228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Database Deliverables</w:t>
            </w:r>
          </w:p>
        </w:tc>
        <w:tc>
          <w:tcPr>
            <w:tcW w:type="dxa" w:w="707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Conditional native partitioning DDL, meeting the AR-0010/EGD-0009 idempotent, rollback-ready standard if executed.</w:t>
            </w:r>
          </w:p>
        </w:tc>
      </w:tr>
      <w:tr>
        <w:tc>
          <w:tcPr>
            <w:tcW w:type="dxa" w:w="228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Documentation Deliverables</w:t>
            </w:r>
          </w:p>
        </w:tc>
        <w:tc>
          <w:tcPr>
            <w:tcW w:type="dxa" w:w="707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Assessment report.</w:t>
            </w:r>
          </w:p>
        </w:tc>
      </w:tr>
      <w:tr>
        <w:tc>
          <w:tcPr>
            <w:tcW w:type="dxa" w:w="228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Verification Deliverables</w:t>
            </w:r>
          </w:p>
        </w:tc>
        <w:tc>
          <w:tcPr>
            <w:tcW w:type="dxa" w:w="707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Quarterly row-count/latency check output.</w:t>
            </w:r>
          </w:p>
        </w:tc>
      </w:tr>
      <w:tr>
        <w:tc>
          <w:tcPr>
            <w:tcW w:type="dxa" w:w="228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Governance Deliverables</w:t>
            </w:r>
          </w:p>
        </w:tc>
        <w:tc>
          <w:tcPr>
            <w:tcW w:type="dxa" w:w="707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EGD-0004 trigger-monitoring log; VAR-04 quarterly review record.</w:t>
            </w:r>
          </w:p>
        </w:tc>
      </w:tr>
    </w:tbl>
    <w:p>
      <w:pPr>
        <w:pStyle w:val="Heading3"/>
        <w:spacing w:after="120" w:before="240"/>
      </w:pPr>
      <w:r>
        <w:t xml:space="preserve">H. Entry Criteria</w:t>
      </w:r>
    </w:p>
    <w:p>
      <w:pPr>
        <w:pStyle w:val="ListParagraph"/>
        <w:numPr>
          <w:ilvl w:val="0"/>
          <w:numId w:val="1"/>
        </w:numPr>
        <w:spacing w:after="80"/>
      </w:pPr>
      <w:r>
        <w:rPr>
          <w:rFonts w:ascii="Calibri" w:cs="Calibri" w:eastAsia="Calibri" w:hAnsi="Calibri"/>
          <w:sz w:val="21"/>
          <w:szCs w:val="21"/>
        </w:rPr>
        <w:t xml:space="preserve">EGD-0004 trigger has fired (row-count, latency, or downstream-scale threshold met) — not yet met.</w:t>
      </w:r>
    </w:p>
    <w:p>
      <w:pPr>
        <w:pStyle w:val="Heading3"/>
        <w:spacing w:after="120" w:before="240"/>
      </w:pPr>
      <w:r>
        <w:t xml:space="preserve">I. Exit Criteria</w:t>
      </w:r>
    </w:p>
    <w:p>
      <w:pPr>
        <w:pStyle w:val="ListParagraph"/>
        <w:numPr>
          <w:ilvl w:val="0"/>
          <w:numId w:val="1"/>
        </w:numPr>
        <w:spacing w:after="80"/>
      </w:pPr>
      <w:r>
        <w:rPr>
          <w:rFonts w:ascii="Calibri" w:cs="Calibri" w:eastAsia="Calibri" w:hAnsi="Calibri"/>
          <w:sz w:val="21"/>
          <w:szCs w:val="21"/>
        </w:rPr>
        <w:t xml:space="preserve">Partitioning assessment/plan delivered; if a migration is chosen, it is idempotent and rollback-ready per AR-0010.</w:t>
      </w:r>
    </w:p>
    <w:p>
      <w:pPr>
        <w:pStyle w:val="Heading3"/>
        <w:spacing w:after="120" w:before="240"/>
      </w:pPr>
      <w:r>
        <w:t xml:space="preserve">J. Acceptance Criteria</w:t>
      </w:r>
    </w:p>
    <w:p>
      <w:pPr>
        <w:pStyle w:val="ListParagraph"/>
        <w:numPr>
          <w:ilvl w:val="0"/>
          <w:numId w:val="1"/>
        </w:numPr>
        <w:spacing w:after="80"/>
      </w:pPr>
      <w:r>
        <w:rPr>
          <w:rFonts w:ascii="Calibri" w:cs="Calibri" w:eastAsia="Calibri" w:hAnsi="Calibri"/>
          <w:sz w:val="21"/>
          <w:szCs w:val="21"/>
        </w:rPr>
        <w:t xml:space="preserve">Quarterly monitoring evidence exists and is current.</w:t>
      </w:r>
    </w:p>
    <w:p>
      <w:pPr>
        <w:pStyle w:val="ListParagraph"/>
        <w:numPr>
          <w:ilvl w:val="0"/>
          <w:numId w:val="1"/>
        </w:numPr>
        <w:spacing w:after="80"/>
      </w:pPr>
      <w:r>
        <w:rPr>
          <w:rFonts w:ascii="Calibri" w:cs="Calibri" w:eastAsia="Calibri" w:hAnsi="Calibri"/>
          <w:sz w:val="21"/>
          <w:szCs w:val="21"/>
        </w:rPr>
        <w:t xml:space="preserve">If triggered, the migration meets the AR-0010 standard with zero rollback failures.</w:t>
      </w:r>
    </w:p>
    <w:p>
      <w:pPr>
        <w:pStyle w:val="ListParagraph"/>
        <w:numPr>
          <w:ilvl w:val="0"/>
          <w:numId w:val="1"/>
        </w:numPr>
        <w:spacing w:after="80"/>
      </w:pPr>
      <w:r>
        <w:rPr>
          <w:rFonts w:ascii="Calibri" w:cs="Calibri" w:eastAsia="Calibri" w:hAnsi="Calibri"/>
          <w:sz w:val="21"/>
          <w:szCs w:val="21"/>
        </w:rPr>
        <w:t xml:space="preserve">Row count is measured against the 10M threshold, and downstream-system count against the 10-system threshold, at each quarterly review.</w:t>
      </w:r>
    </w:p>
    <w:p>
      <w:pPr>
        <w:pStyle w:val="Heading1"/>
        <w:spacing w:after="200" w:before="400"/>
      </w:pPr>
      <w:r>
        <w:t xml:space="preserve">WP-0004 — Document the Accepted Direct-FK Taxonomy Pattern and Establish a Per-Release Denormalization Check</w:t>
      </w:r>
    </w:p>
    <w:p>
      <w:pPr>
        <w:pStyle w:val="Heading3"/>
        <w:spacing w:after="120" w:before="240"/>
      </w:pPr>
      <w:r>
        <w:t xml:space="preserve">A. Governance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Work Package ID</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WP-0004</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Work Package Name</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Execute EGD-0003 — document the accepted direct-FK taxonomy pattern; establish a per-release automated denormalization check</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Current Status</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Not started — 0 of 6 Work Packages executed (Phase B §12)</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Current Readiness</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Startable now; benefits from WP-0001's naming clarity but is not blocked by it (Phase B §4)</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Priority</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Medium (Phase A.3 §9)</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Complexity</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Low for documentation; High only if a retrofit is ever triggered (Phase A.3 §9)</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Risk Classification</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Medium, latent (Phase B §4)</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Portfolio</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1 — Enterprise Data Platform (Phase B §3)</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Wave</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Wave 2 — Platform Stabilization (Phase B §5)</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Milestone</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Data Platform Ready (Phase B §6)</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Trigger Condition</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Any student-owned table denormalizes a taxonomy fact, or taxonomy versioning becomes necessary (EGD-0003, Phase A.3 §4)</w:t>
            </w:r>
          </w:p>
        </w:tc>
      </w:tr>
    </w:tbl>
    <w:p>
      <w:pPr>
        <w:pStyle w:val="Heading3"/>
        <w:spacing w:after="120" w:before="240"/>
      </w:pPr>
      <w:r>
        <w:t xml:space="preserve">B. Architecture Traceability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Identifier</w:t>
            </w:r>
          </w:p>
        </w:tc>
        <w:tc>
          <w:tcPr>
            <w:tcW w:type="dxa" w:w="702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Traceability Detail</w:t>
            </w:r>
          </w:p>
        </w:tc>
      </w:tr>
      <w:tr>
        <w:tc>
          <w:tcPr>
            <w:tcW w:type="dxa" w:w="23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AR-0003</w:t>
            </w:r>
          </w:p>
        </w:tc>
        <w:tc>
          <w:tcPr>
            <w:tcW w:type="dxa" w:w="70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Data Governance — _code + taxonomy_version_id reference pattern for taxonomy lookups; non-conformant, conditionally accepted (Phase A.3 §3)</w:t>
            </w:r>
          </w:p>
        </w:tc>
      </w:tr>
      <w:tr>
        <w:tc>
          <w:tcPr>
            <w:tcW w:type="dxa" w:w="23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EGD-0003</w:t>
            </w:r>
          </w:p>
        </w:tc>
        <w:tc>
          <w:tcPr>
            <w:tcW w:type="dxa" w:w="702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Accept direct-FK taxonomy pattern, conditionally (Accepted, conditional; owner: Data Governance Owner, unassigned pending WP-0006)</w:t>
            </w:r>
          </w:p>
        </w:tc>
      </w:tr>
      <w:tr>
        <w:tc>
          <w:tcPr>
            <w:tcW w:type="dxa" w:w="23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ER-0003</w:t>
            </w:r>
          </w:p>
        </w:tc>
        <w:tc>
          <w:tcPr>
            <w:tcW w:type="dxa" w:w="70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Accepted, conditional — direct-FK pattern is a sound reference-data design; the specific harm Phase A warned about was not found; target release: Per-release, ongoing</w:t>
            </w:r>
          </w:p>
        </w:tc>
      </w:tr>
      <w:tr>
        <w:tc>
          <w:tcPr>
            <w:tcW w:type="dxa" w:w="23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VAR-03</w:t>
            </w:r>
          </w:p>
        </w:tc>
        <w:tc>
          <w:tcPr>
            <w:tcW w:type="dxa" w:w="702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Direct-FK taxonomy references instead of _code+version — approved, conditional; per-release review</w:t>
            </w:r>
          </w:p>
        </w:tc>
      </w:tr>
      <w:tr>
        <w:tc>
          <w:tcPr>
            <w:tcW w:type="dxa" w:w="23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KPI-04 / KPI-09</w:t>
            </w:r>
          </w:p>
        </w:tc>
        <w:tc>
          <w:tcPr>
            <w:tcW w:type="dxa" w:w="70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Approved Variances (count), Technical Debt by Class (Strategic class)</w:t>
            </w:r>
          </w:p>
        </w:tc>
      </w:tr>
    </w:tbl>
    <w:p>
      <w:pPr>
        <w:pStyle w:val="Heading3"/>
        <w:spacing w:after="120" w:before="240"/>
      </w:pPr>
      <w:r>
        <w:t xml:space="preserve">C. Business Context</w:t>
      </w:r>
    </w:p>
    <w:p>
      <w:pPr>
        <w:pStyle w:val="ListParagraph"/>
        <w:numPr>
          <w:ilvl w:val="0"/>
          <w:numId w:val="1"/>
        </w:numPr>
        <w:spacing w:after="80"/>
      </w:pPr>
      <w:r>
        <w:rPr>
          <w:rFonts w:ascii="Calibri" w:cs="Calibri" w:eastAsia="Calibri" w:hAnsi="Calibri"/>
          <w:sz w:val="21"/>
          <w:szCs w:val="21"/>
        </w:rPr>
        <w:t xml:space="preserve">Business Objective: close AR-0003's conditional-acceptance monitoring with a durable, automated check rather than a one-time document.</w:t>
      </w:r>
    </w:p>
    <w:p>
      <w:pPr>
        <w:pStyle w:val="ListParagraph"/>
        <w:numPr>
          <w:ilvl w:val="0"/>
          <w:numId w:val="1"/>
        </w:numPr>
        <w:spacing w:after="80"/>
      </w:pPr>
      <w:r>
        <w:rPr>
          <w:rFonts w:ascii="Calibri" w:cs="Calibri" w:eastAsia="Calibri" w:hAnsi="Calibri"/>
          <w:sz w:val="21"/>
          <w:szCs w:val="21"/>
        </w:rPr>
        <w:t xml:space="preserve">Business Value: Medium (Phase A.3 §9).</w:t>
      </w:r>
    </w:p>
    <w:p>
      <w:pPr>
        <w:pStyle w:val="ListParagraph"/>
        <w:numPr>
          <w:ilvl w:val="0"/>
          <w:numId w:val="1"/>
        </w:numPr>
        <w:spacing w:after="80"/>
      </w:pPr>
      <w:r>
        <w:rPr>
          <w:rFonts w:ascii="Calibri" w:cs="Calibri" w:eastAsia="Calibri" w:hAnsi="Calibri"/>
          <w:sz w:val="21"/>
          <w:szCs w:val="21"/>
        </w:rPr>
        <w:t xml:space="preserve">Strategic Importance: advances AR-0003 toward Certification Level L4.</w:t>
      </w:r>
    </w:p>
    <w:p>
      <w:pPr>
        <w:pStyle w:val="ListParagraph"/>
        <w:numPr>
          <w:ilvl w:val="0"/>
          <w:numId w:val="1"/>
        </w:numPr>
        <w:spacing w:after="80"/>
      </w:pPr>
      <w:r>
        <w:rPr>
          <w:rFonts w:ascii="Calibri" w:cs="Calibri" w:eastAsia="Calibri" w:hAnsi="Calibri"/>
          <w:sz w:val="21"/>
          <w:szCs w:val="21"/>
        </w:rPr>
        <w:t xml:space="preserve">Expected Outcome: published pattern documentation plus an operating per-release automated denormalization check.</w:t>
      </w:r>
    </w:p>
    <w:p>
      <w:pPr>
        <w:pStyle w:val="ListParagraph"/>
        <w:numPr>
          <w:ilvl w:val="0"/>
          <w:numId w:val="1"/>
        </w:numPr>
        <w:spacing w:after="80"/>
      </w:pPr>
      <w:r>
        <w:rPr>
          <w:rFonts w:ascii="Calibri" w:cs="Calibri" w:eastAsia="Calibri" w:hAnsi="Calibri"/>
          <w:sz w:val="21"/>
          <w:szCs w:val="21"/>
        </w:rPr>
        <w:t xml:space="preserve">Success Measure: per-release automated denormalization check passing with zero violations.</w:t>
      </w:r>
    </w:p>
    <w:p>
      <w:pPr>
        <w:pStyle w:val="Heading3"/>
        <w:spacing w:after="120" w:before="240"/>
      </w:pPr>
      <w:r>
        <w:t xml:space="preserve">D. Engineering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8"/>
        <w:gridCol w:w="7072"/>
      </w:tblGrid>
      <w:tr>
        <w:trPr>
          <w:tblHeader/>
        </w:trPr>
        <w:tc>
          <w:tcPr>
            <w:tcW w:type="dxa" w:w="228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Scope Area</w:t>
            </w:r>
          </w:p>
        </w:tc>
        <w:tc>
          <w:tcPr>
            <w:tcW w:type="dxa" w:w="7072"/>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Detail</w:t>
            </w:r>
          </w:p>
        </w:tc>
      </w:tr>
      <w:tr>
        <w:tc>
          <w:tcPr>
            <w:tcW w:type="dxa" w:w="228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Functional Scope</w:t>
            </w:r>
          </w:p>
        </w:tc>
        <w:tc>
          <w:tcPr>
            <w:tcW w:type="dxa" w:w="707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Document the accepted direct-FK taxonomy pattern; establish an automated per-release check for denormalization violations.</w:t>
            </w:r>
          </w:p>
        </w:tc>
      </w:tr>
      <w:tr>
        <w:tc>
          <w:tcPr>
            <w:tcW w:type="dxa" w:w="228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Technical Scope</w:t>
            </w:r>
          </w:p>
        </w:tc>
        <w:tc>
          <w:tcPr>
            <w:tcW w:type="dxa" w:w="707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Automated check tooling against academic_boards.country_id-style direct foreign keys.</w:t>
            </w:r>
          </w:p>
        </w:tc>
      </w:tr>
      <w:tr>
        <w:tc>
          <w:tcPr>
            <w:tcW w:type="dxa" w:w="228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Repository Scope</w:t>
            </w:r>
          </w:p>
        </w:tc>
        <w:tc>
          <w:tcPr>
            <w:tcW w:type="dxa" w:w="707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Database repository and CI/release pipeline, to the extent one already exists.</w:t>
            </w:r>
          </w:p>
        </w:tc>
      </w:tr>
      <w:tr>
        <w:tc>
          <w:tcPr>
            <w:tcW w:type="dxa" w:w="228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Database Scope</w:t>
            </w:r>
          </w:p>
        </w:tc>
        <w:tc>
          <w:tcPr>
            <w:tcW w:type="dxa" w:w="707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None in baseline scope — the pattern is already implemented and accepted conditionally; a retrofit to _code+version applies only as contingency if a violation is found.</w:t>
            </w:r>
          </w:p>
        </w:tc>
      </w:tr>
      <w:tr>
        <w:tc>
          <w:tcPr>
            <w:tcW w:type="dxa" w:w="228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Documentation Scope</w:t>
            </w:r>
          </w:p>
        </w:tc>
        <w:tc>
          <w:tcPr>
            <w:tcW w:type="dxa" w:w="707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Taxonomy pattern documentation.</w:t>
            </w:r>
          </w:p>
        </w:tc>
      </w:tr>
      <w:tr>
        <w:tc>
          <w:tcPr>
            <w:tcW w:type="dxa" w:w="228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Security Scope</w:t>
            </w:r>
          </w:p>
        </w:tc>
        <w:tc>
          <w:tcPr>
            <w:tcW w:type="dxa" w:w="707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Not Applicable to this Work Package.</w:t>
            </w:r>
          </w:p>
        </w:tc>
      </w:tr>
      <w:tr>
        <w:tc>
          <w:tcPr>
            <w:tcW w:type="dxa" w:w="228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Testing Scope</w:t>
            </w:r>
          </w:p>
        </w:tc>
        <w:tc>
          <w:tcPr>
            <w:tcW w:type="dxa" w:w="707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Per-release automated denormalization check.</w:t>
            </w:r>
          </w:p>
        </w:tc>
      </w:tr>
      <w:tr>
        <w:tc>
          <w:tcPr>
            <w:tcW w:type="dxa" w:w="228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Operational Scope</w:t>
            </w:r>
          </w:p>
        </w:tc>
        <w:tc>
          <w:tcPr>
            <w:tcW w:type="dxa" w:w="707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Not Applicable this wave beyond the per-release check itself — broader CI/CD tooling beyond migration idempotency is not evidenced in the approved repositories (Section 1 §7).</w:t>
            </w:r>
          </w:p>
        </w:tc>
      </w:tr>
    </w:tbl>
    <w:p>
      <w:pPr>
        <w:pStyle w:val="Heading3"/>
        <w:spacing w:after="120" w:before="240"/>
      </w:pPr>
      <w:r>
        <w:t xml:space="preserve">E. Engineering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Responsible Owner</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Data Governance Owner</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Supporting Roles</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None evidenced beyond the single named role.</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Governance Authority</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Data Governance Owner</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Review Authority</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Data Governance Owner</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Approval Authority</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Data Governance Owner</w:t>
            </w:r>
          </w:p>
        </w:tc>
      </w:tr>
    </w:tbl>
    <w:p>
      <w:pPr>
        <w:shd w:fill="FDEBD0" w:val="clear"/>
        <w:spacing w:after="160"/>
      </w:pPr>
      <w:r>
        <w:rPr>
          <w:rFonts w:ascii="Calibri" w:cs="Calibri" w:eastAsia="Calibri" w:hAnsi="Calibri"/>
          <w:i/>
          <w:iCs/>
          <w:color w:val="833C0C"/>
          <w:sz w:val="20"/>
          <w:szCs w:val="20"/>
        </w:rPr>
        <w:t xml:space="preserve">OWNERSHIP PENDING COMPLETION OF WP-0006 — the role above is named per Phase B §9 but carries no currently-assigned individual (KPI-08 = 0%).</w:t>
      </w:r>
    </w:p>
    <w:p>
      <w:pPr>
        <w:pStyle w:val="Heading3"/>
        <w:spacing w:after="120" w:before="240"/>
      </w:pPr>
      <w:r>
        <w:t xml:space="preserve">F.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8"/>
        <w:gridCol w:w="7072"/>
      </w:tblGrid>
      <w:tr>
        <w:trPr>
          <w:tblHeader/>
        </w:trPr>
        <w:tc>
          <w:tcPr>
            <w:tcW w:type="dxa" w:w="228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Dependency Type</w:t>
            </w:r>
          </w:p>
        </w:tc>
        <w:tc>
          <w:tcPr>
            <w:tcW w:type="dxa" w:w="7072"/>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Detail and Rationale</w:t>
            </w:r>
          </w:p>
        </w:tc>
      </w:tr>
      <w:tr>
        <w:tc>
          <w:tcPr>
            <w:tcW w:type="dxa" w:w="228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Predecessor Work Packages</w:t>
            </w:r>
          </w:p>
        </w:tc>
        <w:tc>
          <w:tcPr>
            <w:tcW w:type="dxa" w:w="707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Benefits from WP-0001's naming clarity — an optional, non-blocking dependency (Phase B §4).</w:t>
            </w:r>
          </w:p>
        </w:tc>
      </w:tr>
      <w:tr>
        <w:tc>
          <w:tcPr>
            <w:tcW w:type="dxa" w:w="228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Successor Work Packages</w:t>
            </w:r>
          </w:p>
        </w:tc>
        <w:tc>
          <w:tcPr>
            <w:tcW w:type="dxa" w:w="707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None.</w:t>
            </w:r>
          </w:p>
        </w:tc>
      </w:tr>
      <w:tr>
        <w:tc>
          <w:tcPr>
            <w:tcW w:type="dxa" w:w="228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Blocking Dependencies</w:t>
            </w:r>
          </w:p>
        </w:tc>
        <w:tc>
          <w:tcPr>
            <w:tcW w:type="dxa" w:w="707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None.</w:t>
            </w:r>
          </w:p>
        </w:tc>
      </w:tr>
      <w:tr>
        <w:tc>
          <w:tcPr>
            <w:tcW w:type="dxa" w:w="228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External Dependencies</w:t>
            </w:r>
          </w:p>
        </w:tc>
        <w:tc>
          <w:tcPr>
            <w:tcW w:type="dxa" w:w="707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None.</w:t>
            </w:r>
          </w:p>
        </w:tc>
      </w:tr>
      <w:tr>
        <w:tc>
          <w:tcPr>
            <w:tcW w:type="dxa" w:w="228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Trigger-based Dependencies</w:t>
            </w:r>
          </w:p>
        </w:tc>
        <w:tc>
          <w:tcPr>
            <w:tcW w:type="dxa" w:w="707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EGD-0003's ongoing condition monitoring — a retrofit to _code+version is triggered only if a denormalized taxonomy fact or a versioning need is found.</w:t>
            </w:r>
          </w:p>
        </w:tc>
      </w:tr>
      <w:tr>
        <w:tc>
          <w:tcPr>
            <w:tcW w:type="dxa" w:w="228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Governance Dependencies</w:t>
            </w:r>
          </w:p>
        </w:tc>
        <w:tc>
          <w:tcPr>
            <w:tcW w:type="dxa" w:w="707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EGD-0003 (Accepted, conditional) — already dispositioned in Phase A.3; no new governance required.</w:t>
            </w:r>
          </w:p>
        </w:tc>
      </w:tr>
    </w:tbl>
    <w:p>
      <w:pPr>
        <w:pStyle w:val="Heading3"/>
        <w:spacing w:after="120" w:before="240"/>
      </w:pPr>
      <w:r>
        <w:t xml:space="preserve">G. Engineering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8"/>
        <w:gridCol w:w="7072"/>
      </w:tblGrid>
      <w:tr>
        <w:trPr>
          <w:tblHeader/>
        </w:trPr>
        <w:tc>
          <w:tcPr>
            <w:tcW w:type="dxa" w:w="228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Deliverable Category</w:t>
            </w:r>
          </w:p>
        </w:tc>
        <w:tc>
          <w:tcPr>
            <w:tcW w:type="dxa" w:w="7072"/>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Required Deliverable</w:t>
            </w:r>
          </w:p>
        </w:tc>
      </w:tr>
      <w:tr>
        <w:tc>
          <w:tcPr>
            <w:tcW w:type="dxa" w:w="228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Engineering Deliverables</w:t>
            </w:r>
          </w:p>
        </w:tc>
        <w:tc>
          <w:tcPr>
            <w:tcW w:type="dxa" w:w="707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Automated per-release denormalization check.</w:t>
            </w:r>
          </w:p>
        </w:tc>
      </w:tr>
      <w:tr>
        <w:tc>
          <w:tcPr>
            <w:tcW w:type="dxa" w:w="228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Repository Deliverables</w:t>
            </w:r>
          </w:p>
        </w:tc>
        <w:tc>
          <w:tcPr>
            <w:tcW w:type="dxa" w:w="707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CI/release-pipeline check artifact.</w:t>
            </w:r>
          </w:p>
        </w:tc>
      </w:tr>
      <w:tr>
        <w:tc>
          <w:tcPr>
            <w:tcW w:type="dxa" w:w="228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Database Deliverables</w:t>
            </w:r>
          </w:p>
        </w:tc>
        <w:tc>
          <w:tcPr>
            <w:tcW w:type="dxa" w:w="707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None in baseline scope; a retrofit migration only as contingency if EGD-0003's condition triggers.</w:t>
            </w:r>
          </w:p>
        </w:tc>
      </w:tr>
      <w:tr>
        <w:tc>
          <w:tcPr>
            <w:tcW w:type="dxa" w:w="228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Documentation Deliverables</w:t>
            </w:r>
          </w:p>
        </w:tc>
        <w:tc>
          <w:tcPr>
            <w:tcW w:type="dxa" w:w="707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Taxonomy pattern documentation.</w:t>
            </w:r>
          </w:p>
        </w:tc>
      </w:tr>
      <w:tr>
        <w:tc>
          <w:tcPr>
            <w:tcW w:type="dxa" w:w="228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Verification Deliverables</w:t>
            </w:r>
          </w:p>
        </w:tc>
        <w:tc>
          <w:tcPr>
            <w:tcW w:type="dxa" w:w="707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Per-release check output.</w:t>
            </w:r>
          </w:p>
        </w:tc>
      </w:tr>
      <w:tr>
        <w:tc>
          <w:tcPr>
            <w:tcW w:type="dxa" w:w="228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Governance Deliverables</w:t>
            </w:r>
          </w:p>
        </w:tc>
        <w:tc>
          <w:tcPr>
            <w:tcW w:type="dxa" w:w="707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VAR-03 per-release review log.</w:t>
            </w:r>
          </w:p>
        </w:tc>
      </w:tr>
    </w:tbl>
    <w:p>
      <w:pPr>
        <w:pStyle w:val="Heading3"/>
        <w:spacing w:after="120" w:before="240"/>
      </w:pPr>
      <w:r>
        <w:t xml:space="preserve">H. Entry Criteria</w:t>
      </w:r>
    </w:p>
    <w:p>
      <w:pPr>
        <w:pStyle w:val="ListParagraph"/>
        <w:numPr>
          <w:ilvl w:val="0"/>
          <w:numId w:val="1"/>
        </w:numPr>
        <w:spacing w:after="80"/>
      </w:pPr>
      <w:r>
        <w:rPr>
          <w:rFonts w:ascii="Calibri" w:cs="Calibri" w:eastAsia="Calibri" w:hAnsi="Calibri"/>
          <w:sz w:val="21"/>
          <w:szCs w:val="21"/>
        </w:rPr>
        <w:t xml:space="preserve">WP-0001 naming clarity available (recommended, non-blocking).</w:t>
      </w:r>
    </w:p>
    <w:p>
      <w:pPr>
        <w:pStyle w:val="Heading3"/>
        <w:spacing w:after="120" w:before="240"/>
      </w:pPr>
      <w:r>
        <w:t xml:space="preserve">I. Exit Criteria</w:t>
      </w:r>
    </w:p>
    <w:p>
      <w:pPr>
        <w:pStyle w:val="ListParagraph"/>
        <w:numPr>
          <w:ilvl w:val="0"/>
          <w:numId w:val="1"/>
        </w:numPr>
        <w:spacing w:after="80"/>
      </w:pPr>
      <w:r>
        <w:rPr>
          <w:rFonts w:ascii="Calibri" w:cs="Calibri" w:eastAsia="Calibri" w:hAnsi="Calibri"/>
          <w:sz w:val="21"/>
          <w:szCs w:val="21"/>
        </w:rPr>
        <w:t xml:space="preserve">Pattern documentation published.</w:t>
      </w:r>
    </w:p>
    <w:p>
      <w:pPr>
        <w:pStyle w:val="ListParagraph"/>
        <w:numPr>
          <w:ilvl w:val="0"/>
          <w:numId w:val="1"/>
        </w:numPr>
        <w:spacing w:after="80"/>
      </w:pPr>
      <w:r>
        <w:rPr>
          <w:rFonts w:ascii="Calibri" w:cs="Calibri" w:eastAsia="Calibri" w:hAnsi="Calibri"/>
          <w:sz w:val="21"/>
          <w:szCs w:val="21"/>
        </w:rPr>
        <w:t xml:space="preserve">Automated per-release check operating.</w:t>
      </w:r>
    </w:p>
    <w:p>
      <w:pPr>
        <w:pStyle w:val="Heading3"/>
        <w:spacing w:after="120" w:before="240"/>
      </w:pPr>
      <w:r>
        <w:t xml:space="preserve">J. Acceptance Criteria</w:t>
      </w:r>
    </w:p>
    <w:p>
      <w:pPr>
        <w:pStyle w:val="ListParagraph"/>
        <w:numPr>
          <w:ilvl w:val="0"/>
          <w:numId w:val="1"/>
        </w:numPr>
        <w:spacing w:after="80"/>
      </w:pPr>
      <w:r>
        <w:rPr>
          <w:rFonts w:ascii="Calibri" w:cs="Calibri" w:eastAsia="Calibri" w:hAnsi="Calibri"/>
          <w:sz w:val="21"/>
          <w:szCs w:val="21"/>
        </w:rPr>
        <w:t xml:space="preserve">Zero denormalization violations detected in the check's operating history.</w:t>
      </w:r>
    </w:p>
    <w:p>
      <w:pPr>
        <w:pStyle w:val="ListParagraph"/>
        <w:numPr>
          <w:ilvl w:val="0"/>
          <w:numId w:val="1"/>
        </w:numPr>
        <w:spacing w:after="80"/>
      </w:pPr>
      <w:r>
        <w:rPr>
          <w:rFonts w:ascii="Calibri" w:cs="Calibri" w:eastAsia="Calibri" w:hAnsi="Calibri"/>
          <w:sz w:val="21"/>
          <w:szCs w:val="21"/>
        </w:rPr>
        <w:t xml:space="preserve">KPI-04 Approved Variances (count) remains stable or declines.</w:t>
      </w:r>
    </w:p>
    <w:p>
      <w:pPr>
        <w:pStyle w:val="Heading1"/>
        <w:spacing w:after="200" w:before="400"/>
      </w:pPr>
      <w:r>
        <w:t xml:space="preserve">WP-0005 — Column-Level Access Review for Free-Text/JSON Payload Columns</w:t>
      </w:r>
    </w:p>
    <w:p>
      <w:pPr>
        <w:pStyle w:val="Heading3"/>
        <w:spacing w:after="120" w:before="240"/>
      </w:pPr>
      <w:r>
        <w:t xml:space="preserve">A. Governance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Work Package ID</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WP-0005</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Work Package Name</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AR-0007 extension — column-level access review for free-text/JSON payload columns (e.g., cognitive raw responses)</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Current Status</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Not started — 0 of 6 Work Packages executed (Phase B §12)</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Current Readiness</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Startable; benefits from WP-0002's completion (same tables, same reviewer) but is not strictly blocked by it (Phase A.3 §8)</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Priority</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Low (Phase A.3 §9)</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Complexity</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Low–Medium (Phase A.3 §9)</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Risk Classification</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Low–Medium latent (Phase B §4)</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Portfolio</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1 — Enterprise Data Platform (Phase B §3)</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Wave</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Wave 2 — Platform Stabilization (Phase B §5)</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Milestone</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Data Platform Ready; contributes to Critical Security Complete traceability for AR-0007 (Phase B §6, §8)</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Trigger Condition</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None — an extension of an already-accepted, immediate requirement (AR-0007)</w:t>
            </w:r>
          </w:p>
        </w:tc>
      </w:tr>
    </w:tbl>
    <w:p>
      <w:pPr>
        <w:pStyle w:val="Heading3"/>
        <w:spacing w:after="120" w:before="240"/>
      </w:pPr>
      <w:r>
        <w:t xml:space="preserve">B. Architecture Traceability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Identifier</w:t>
            </w:r>
          </w:p>
        </w:tc>
        <w:tc>
          <w:tcPr>
            <w:tcW w:type="dxa" w:w="702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Traceability Detail</w:t>
            </w:r>
          </w:p>
        </w:tc>
      </w:tr>
      <w:tr>
        <w:tc>
          <w:tcPr>
            <w:tcW w:type="dxa" w:w="23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AR-0007 (extension)</w:t>
            </w:r>
          </w:p>
        </w:tc>
        <w:tc>
          <w:tcPr>
            <w:tcW w:type="dxa" w:w="70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Security — column-level protection for free-text/JSON payload columns, beyond the table-level RLS verified under WP-0002</w:t>
            </w:r>
          </w:p>
        </w:tc>
      </w:tr>
      <w:tr>
        <w:tc>
          <w:tcPr>
            <w:tcW w:type="dxa" w:w="23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EGD-0007</w:t>
            </w:r>
          </w:p>
        </w:tc>
        <w:tc>
          <w:tcPr>
            <w:tcW w:type="dxa" w:w="702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Realize — verify RLS coverage immediately; this Work Package extends the same decision to column-level protection</w:t>
            </w:r>
          </w:p>
        </w:tc>
      </w:tr>
      <w:tr>
        <w:tc>
          <w:tcPr>
            <w:tcW w:type="dxa" w:w="23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ER-0007</w:t>
            </w:r>
          </w:p>
        </w:tc>
        <w:tc>
          <w:tcPr>
            <w:tcW w:type="dxa" w:w="70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Same resolution family as WP-0002 (Planned → Implemented on completion)</w:t>
            </w:r>
          </w:p>
        </w:tc>
      </w:tr>
      <w:tr>
        <w:tc>
          <w:tcPr>
            <w:tcW w:type="dxa" w:w="23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VAR</w:t>
            </w:r>
          </w:p>
        </w:tc>
        <w:tc>
          <w:tcPr>
            <w:tcW w:type="dxa" w:w="702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None</w:t>
            </w:r>
          </w:p>
        </w:tc>
      </w:tr>
      <w:tr>
        <w:tc>
          <w:tcPr>
            <w:tcW w:type="dxa" w:w="23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KPI-06 / KPI-09</w:t>
            </w:r>
          </w:p>
        </w:tc>
        <w:tc>
          <w:tcPr>
            <w:tcW w:type="dxa" w:w="70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RLS Coverage % (extension scope), Technical Debt by Class</w:t>
            </w:r>
          </w:p>
        </w:tc>
      </w:tr>
    </w:tbl>
    <w:p>
      <w:pPr>
        <w:pStyle w:val="Heading3"/>
        <w:spacing w:after="120" w:before="240"/>
      </w:pPr>
      <w:r>
        <w:t xml:space="preserve">C. Business Context</w:t>
      </w:r>
    </w:p>
    <w:p>
      <w:pPr>
        <w:pStyle w:val="ListParagraph"/>
        <w:numPr>
          <w:ilvl w:val="0"/>
          <w:numId w:val="1"/>
        </w:numPr>
        <w:spacing w:after="80"/>
      </w:pPr>
      <w:r>
        <w:rPr>
          <w:rFonts w:ascii="Calibri" w:cs="Calibri" w:eastAsia="Calibri" w:hAnsi="Calibri"/>
          <w:sz w:val="21"/>
          <w:szCs w:val="21"/>
        </w:rPr>
        <w:t xml:space="preserve">Business Objective: close the column-level protection decision for cognitive raw-response and other free-text/JSON payload data.</w:t>
      </w:r>
    </w:p>
    <w:p>
      <w:pPr>
        <w:pStyle w:val="ListParagraph"/>
        <w:numPr>
          <w:ilvl w:val="0"/>
          <w:numId w:val="1"/>
        </w:numPr>
        <w:spacing w:after="80"/>
      </w:pPr>
      <w:r>
        <w:rPr>
          <w:rFonts w:ascii="Calibri" w:cs="Calibri" w:eastAsia="Calibri" w:hAnsi="Calibri"/>
          <w:sz w:val="21"/>
          <w:szCs w:val="21"/>
        </w:rPr>
        <w:t xml:space="preserve">Business Value: Medium (Phase A.3 §9).</w:t>
      </w:r>
    </w:p>
    <w:p>
      <w:pPr>
        <w:pStyle w:val="ListParagraph"/>
        <w:numPr>
          <w:ilvl w:val="0"/>
          <w:numId w:val="1"/>
        </w:numPr>
        <w:spacing w:after="80"/>
      </w:pPr>
      <w:r>
        <w:rPr>
          <w:rFonts w:ascii="Calibri" w:cs="Calibri" w:eastAsia="Calibri" w:hAnsi="Calibri"/>
          <w:sz w:val="21"/>
          <w:szCs w:val="21"/>
        </w:rPr>
        <w:t xml:space="preserve">Strategic Importance: extends AR-0007's security posture beyond table-level RLS.</w:t>
      </w:r>
    </w:p>
    <w:p>
      <w:pPr>
        <w:pStyle w:val="ListParagraph"/>
        <w:numPr>
          <w:ilvl w:val="0"/>
          <w:numId w:val="1"/>
        </w:numPr>
        <w:spacing w:after="80"/>
      </w:pPr>
      <w:r>
        <w:rPr>
          <w:rFonts w:ascii="Calibri" w:cs="Calibri" w:eastAsia="Calibri" w:hAnsi="Calibri"/>
          <w:sz w:val="21"/>
          <w:szCs w:val="21"/>
        </w:rPr>
        <w:t xml:space="preserve">Expected Outcome: a column-level access review report with an explicit protection-level decision for every reviewed column.</w:t>
      </w:r>
    </w:p>
    <w:p>
      <w:pPr>
        <w:pStyle w:val="ListParagraph"/>
        <w:numPr>
          <w:ilvl w:val="0"/>
          <w:numId w:val="1"/>
        </w:numPr>
        <w:spacing w:after="80"/>
      </w:pPr>
      <w:r>
        <w:rPr>
          <w:rFonts w:ascii="Calibri" w:cs="Calibri" w:eastAsia="Calibri" w:hAnsi="Calibri"/>
          <w:sz w:val="21"/>
          <w:szCs w:val="21"/>
        </w:rPr>
        <w:t xml:space="preserve">Success Measure: a documented decision exists for every free-text/JSON payload column reviewed.</w:t>
      </w:r>
    </w:p>
    <w:p>
      <w:pPr>
        <w:pStyle w:val="Heading3"/>
        <w:spacing w:after="120" w:before="240"/>
      </w:pPr>
      <w:r>
        <w:t xml:space="preserve">D. Engineering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8"/>
        <w:gridCol w:w="7072"/>
      </w:tblGrid>
      <w:tr>
        <w:trPr>
          <w:tblHeader/>
        </w:trPr>
        <w:tc>
          <w:tcPr>
            <w:tcW w:type="dxa" w:w="228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Scope Area</w:t>
            </w:r>
          </w:p>
        </w:tc>
        <w:tc>
          <w:tcPr>
            <w:tcW w:type="dxa" w:w="7072"/>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Detail</w:t>
            </w:r>
          </w:p>
        </w:tc>
      </w:tr>
      <w:tr>
        <w:tc>
          <w:tcPr>
            <w:tcW w:type="dxa" w:w="228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Functional Scope</w:t>
            </w:r>
          </w:p>
        </w:tc>
        <w:tc>
          <w:tcPr>
            <w:tcW w:type="dxa" w:w="707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Review free-text/JSON payload columns (e.g., cognitive raw responses) for column-level access-control needs.</w:t>
            </w:r>
          </w:p>
        </w:tc>
      </w:tr>
      <w:tr>
        <w:tc>
          <w:tcPr>
            <w:tcW w:type="dxa" w:w="228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Technical Scope</w:t>
            </w:r>
          </w:p>
        </w:tc>
        <w:tc>
          <w:tcPr>
            <w:tcW w:type="dxa" w:w="707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Column-level permission/RLS-extension review, using WP-0002's verification method as the template.</w:t>
            </w:r>
          </w:p>
        </w:tc>
      </w:tr>
      <w:tr>
        <w:tc>
          <w:tcPr>
            <w:tcW w:type="dxa" w:w="228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Repository Scope</w:t>
            </w:r>
          </w:p>
        </w:tc>
        <w:tc>
          <w:tcPr>
            <w:tcW w:type="dxa" w:w="707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Database repository.</w:t>
            </w:r>
          </w:p>
        </w:tc>
      </w:tr>
      <w:tr>
        <w:tc>
          <w:tcPr>
            <w:tcW w:type="dxa" w:w="228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Database Scope</w:t>
            </w:r>
          </w:p>
        </w:tc>
        <w:tc>
          <w:tcPr>
            <w:tcW w:type="dxa" w:w="707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None in baseline scope; a column-level policy change only if the review finds a protection gap warranting one.</w:t>
            </w:r>
          </w:p>
        </w:tc>
      </w:tr>
      <w:tr>
        <w:tc>
          <w:tcPr>
            <w:tcW w:type="dxa" w:w="228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Documentation Scope</w:t>
            </w:r>
          </w:p>
        </w:tc>
        <w:tc>
          <w:tcPr>
            <w:tcW w:type="dxa" w:w="707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Access-review report.</w:t>
            </w:r>
          </w:p>
        </w:tc>
      </w:tr>
      <w:tr>
        <w:tc>
          <w:tcPr>
            <w:tcW w:type="dxa" w:w="228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Security Scope</w:t>
            </w:r>
          </w:p>
        </w:tc>
        <w:tc>
          <w:tcPr>
            <w:tcW w:type="dxa" w:w="707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Primary deliverable of this Work Package — an extension of AR-0007.</w:t>
            </w:r>
          </w:p>
        </w:tc>
      </w:tr>
      <w:tr>
        <w:tc>
          <w:tcPr>
            <w:tcW w:type="dxa" w:w="228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Testing Scope</w:t>
            </w:r>
          </w:p>
        </w:tc>
        <w:tc>
          <w:tcPr>
            <w:tcW w:type="dxa" w:w="707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Review-based verification, following WP-0002's written-evidence template.</w:t>
            </w:r>
          </w:p>
        </w:tc>
      </w:tr>
      <w:tr>
        <w:tc>
          <w:tcPr>
            <w:tcW w:type="dxa" w:w="228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Operational Scope</w:t>
            </w:r>
          </w:p>
        </w:tc>
        <w:tc>
          <w:tcPr>
            <w:tcW w:type="dxa" w:w="707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Not Applicable to this Work Package.</w:t>
            </w:r>
          </w:p>
        </w:tc>
      </w:tr>
    </w:tbl>
    <w:p>
      <w:pPr>
        <w:pStyle w:val="Heading3"/>
        <w:spacing w:after="120" w:before="240"/>
      </w:pPr>
      <w:r>
        <w:t xml:space="preserve">E. Engineering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Responsible Owner</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Security/Platform Engineer</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Supporting Roles</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None evidenced beyond the single named role.</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Governance Authority</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Security/Platform Engineer</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Review Authority</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Security/Platform Engineer</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Approval Authority</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Security/Platform Engineer</w:t>
            </w:r>
          </w:p>
        </w:tc>
      </w:tr>
    </w:tbl>
    <w:p>
      <w:pPr>
        <w:shd w:fill="FDEBD0" w:val="clear"/>
        <w:spacing w:after="160"/>
      </w:pPr>
      <w:r>
        <w:rPr>
          <w:rFonts w:ascii="Calibri" w:cs="Calibri" w:eastAsia="Calibri" w:hAnsi="Calibri"/>
          <w:i/>
          <w:iCs/>
          <w:color w:val="833C0C"/>
          <w:sz w:val="20"/>
          <w:szCs w:val="20"/>
        </w:rPr>
        <w:t xml:space="preserve">OWNERSHIP PENDING COMPLETION OF WP-0006 — the role above is named per Phase B §9 but carries no currently-assigned individual (KPI-08 = 0%).</w:t>
      </w:r>
    </w:p>
    <w:p>
      <w:pPr>
        <w:pStyle w:val="Heading3"/>
        <w:spacing w:after="120" w:before="240"/>
      </w:pPr>
      <w:r>
        <w:t xml:space="preserve">F.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8"/>
        <w:gridCol w:w="7072"/>
      </w:tblGrid>
      <w:tr>
        <w:trPr>
          <w:tblHeader/>
        </w:trPr>
        <w:tc>
          <w:tcPr>
            <w:tcW w:type="dxa" w:w="228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Dependency Type</w:t>
            </w:r>
          </w:p>
        </w:tc>
        <w:tc>
          <w:tcPr>
            <w:tcW w:type="dxa" w:w="7072"/>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Detail and Rationale</w:t>
            </w:r>
          </w:p>
        </w:tc>
      </w:tr>
      <w:tr>
        <w:tc>
          <w:tcPr>
            <w:tcW w:type="dxa" w:w="228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Predecessor Work Packages</w:t>
            </w:r>
          </w:p>
        </w:tc>
        <w:tc>
          <w:tcPr>
            <w:tcW w:type="dxa" w:w="707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Benefits from WP-0002's completion — same tables, same reviewer (Phase A.3 §8) — an optional, non-blocking dependency.</w:t>
            </w:r>
          </w:p>
        </w:tc>
      </w:tr>
      <w:tr>
        <w:tc>
          <w:tcPr>
            <w:tcW w:type="dxa" w:w="228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Successor Work Packages</w:t>
            </w:r>
          </w:p>
        </w:tc>
        <w:tc>
          <w:tcPr>
            <w:tcW w:type="dxa" w:w="707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None.</w:t>
            </w:r>
          </w:p>
        </w:tc>
      </w:tr>
      <w:tr>
        <w:tc>
          <w:tcPr>
            <w:tcW w:type="dxa" w:w="228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Blocking Dependencies</w:t>
            </w:r>
          </w:p>
        </w:tc>
        <w:tc>
          <w:tcPr>
            <w:tcW w:type="dxa" w:w="707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None.</w:t>
            </w:r>
          </w:p>
        </w:tc>
      </w:tr>
      <w:tr>
        <w:tc>
          <w:tcPr>
            <w:tcW w:type="dxa" w:w="228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External Dependencies</w:t>
            </w:r>
          </w:p>
        </w:tc>
        <w:tc>
          <w:tcPr>
            <w:tcW w:type="dxa" w:w="707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None.</w:t>
            </w:r>
          </w:p>
        </w:tc>
      </w:tr>
      <w:tr>
        <w:tc>
          <w:tcPr>
            <w:tcW w:type="dxa" w:w="228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Trigger-based Dependencies</w:t>
            </w:r>
          </w:p>
        </w:tc>
        <w:tc>
          <w:tcPr>
            <w:tcW w:type="dxa" w:w="707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None.</w:t>
            </w:r>
          </w:p>
        </w:tc>
      </w:tr>
      <w:tr>
        <w:tc>
          <w:tcPr>
            <w:tcW w:type="dxa" w:w="228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Governance Dependencies</w:t>
            </w:r>
          </w:p>
        </w:tc>
        <w:tc>
          <w:tcPr>
            <w:tcW w:type="dxa" w:w="707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EGD-0007 (Accepted, in progress) — the same disposition WP-0002 executes against; no new governance required.</w:t>
            </w:r>
          </w:p>
        </w:tc>
      </w:tr>
    </w:tbl>
    <w:p>
      <w:pPr>
        <w:pStyle w:val="Heading3"/>
        <w:spacing w:after="120" w:before="240"/>
      </w:pPr>
      <w:r>
        <w:t xml:space="preserve">G. Engineering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8"/>
        <w:gridCol w:w="7072"/>
      </w:tblGrid>
      <w:tr>
        <w:trPr>
          <w:tblHeader/>
        </w:trPr>
        <w:tc>
          <w:tcPr>
            <w:tcW w:type="dxa" w:w="228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Deliverable Category</w:t>
            </w:r>
          </w:p>
        </w:tc>
        <w:tc>
          <w:tcPr>
            <w:tcW w:type="dxa" w:w="7072"/>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Required Deliverable</w:t>
            </w:r>
          </w:p>
        </w:tc>
      </w:tr>
      <w:tr>
        <w:tc>
          <w:tcPr>
            <w:tcW w:type="dxa" w:w="228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Engineering Deliverables</w:t>
            </w:r>
          </w:p>
        </w:tc>
        <w:tc>
          <w:tcPr>
            <w:tcW w:type="dxa" w:w="707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Column-level access review.</w:t>
            </w:r>
          </w:p>
        </w:tc>
      </w:tr>
      <w:tr>
        <w:tc>
          <w:tcPr>
            <w:tcW w:type="dxa" w:w="228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Repository Deliverables</w:t>
            </w:r>
          </w:p>
        </w:tc>
        <w:tc>
          <w:tcPr>
            <w:tcW w:type="dxa" w:w="707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None in baseline scope; a policy update only if warranted by the review.</w:t>
            </w:r>
          </w:p>
        </w:tc>
      </w:tr>
      <w:tr>
        <w:tc>
          <w:tcPr>
            <w:tcW w:type="dxa" w:w="228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Database Deliverables</w:t>
            </w:r>
          </w:p>
        </w:tc>
        <w:tc>
          <w:tcPr>
            <w:tcW w:type="dxa" w:w="707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Conditional column-level policy change, only if a gap is found.</w:t>
            </w:r>
          </w:p>
        </w:tc>
      </w:tr>
      <w:tr>
        <w:tc>
          <w:tcPr>
            <w:tcW w:type="dxa" w:w="228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Documentation Deliverables</w:t>
            </w:r>
          </w:p>
        </w:tc>
        <w:tc>
          <w:tcPr>
            <w:tcW w:type="dxa" w:w="707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Review report with a protection-level decision per reviewed column.</w:t>
            </w:r>
          </w:p>
        </w:tc>
      </w:tr>
      <w:tr>
        <w:tc>
          <w:tcPr>
            <w:tcW w:type="dxa" w:w="228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Verification Deliverables</w:t>
            </w:r>
          </w:p>
        </w:tc>
        <w:tc>
          <w:tcPr>
            <w:tcW w:type="dxa" w:w="707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Review findings, following WP-0002's written-evidence template.</w:t>
            </w:r>
          </w:p>
        </w:tc>
      </w:tr>
      <w:tr>
        <w:tc>
          <w:tcPr>
            <w:tcW w:type="dxa" w:w="228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Governance Deliverables</w:t>
            </w:r>
          </w:p>
        </w:tc>
        <w:tc>
          <w:tcPr>
            <w:tcW w:type="dxa" w:w="707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Protection-level decision logged per column.</w:t>
            </w:r>
          </w:p>
        </w:tc>
      </w:tr>
    </w:tbl>
    <w:p>
      <w:pPr>
        <w:pStyle w:val="Heading3"/>
        <w:spacing w:after="120" w:before="240"/>
      </w:pPr>
      <w:r>
        <w:t xml:space="preserve">H. Entry Criteria</w:t>
      </w:r>
    </w:p>
    <w:p>
      <w:pPr>
        <w:pStyle w:val="ListParagraph"/>
        <w:numPr>
          <w:ilvl w:val="0"/>
          <w:numId w:val="1"/>
        </w:numPr>
        <w:spacing w:after="80"/>
      </w:pPr>
      <w:r>
        <w:rPr>
          <w:rFonts w:ascii="Calibri" w:cs="Calibri" w:eastAsia="Calibri" w:hAnsi="Calibri"/>
          <w:sz w:val="21"/>
          <w:szCs w:val="21"/>
        </w:rPr>
        <w:t xml:space="preserve">WP-0002 completed (recommended sequence, not a hard blocker).</w:t>
      </w:r>
    </w:p>
    <w:p>
      <w:pPr>
        <w:pStyle w:val="Heading3"/>
        <w:spacing w:after="120" w:before="240"/>
      </w:pPr>
      <w:r>
        <w:t xml:space="preserve">I. Exit Criteria</w:t>
      </w:r>
    </w:p>
    <w:p>
      <w:pPr>
        <w:pStyle w:val="ListParagraph"/>
        <w:numPr>
          <w:ilvl w:val="0"/>
          <w:numId w:val="1"/>
        </w:numPr>
        <w:spacing w:after="80"/>
      </w:pPr>
      <w:r>
        <w:rPr>
          <w:rFonts w:ascii="Calibri" w:cs="Calibri" w:eastAsia="Calibri" w:hAnsi="Calibri"/>
          <w:sz w:val="21"/>
          <w:szCs w:val="21"/>
        </w:rPr>
        <w:t xml:space="preserve">Review report delivered with a protection-level decision for every reviewed free-text/JSON payload column.</w:t>
      </w:r>
    </w:p>
    <w:p>
      <w:pPr>
        <w:pStyle w:val="Heading3"/>
        <w:spacing w:after="120" w:before="240"/>
      </w:pPr>
      <w:r>
        <w:t xml:space="preserve">J. Acceptance Criteria</w:t>
      </w:r>
    </w:p>
    <w:p>
      <w:pPr>
        <w:pStyle w:val="ListParagraph"/>
        <w:numPr>
          <w:ilvl w:val="0"/>
          <w:numId w:val="1"/>
        </w:numPr>
        <w:spacing w:after="80"/>
      </w:pPr>
      <w:r>
        <w:rPr>
          <w:rFonts w:ascii="Calibri" w:cs="Calibri" w:eastAsia="Calibri" w:hAnsi="Calibri"/>
          <w:sz w:val="21"/>
          <w:szCs w:val="21"/>
        </w:rPr>
        <w:t xml:space="preserve">A documented decision exists for every reviewed column.</w:t>
      </w:r>
    </w:p>
    <w:p>
      <w:pPr>
        <w:pStyle w:val="ListParagraph"/>
        <w:numPr>
          <w:ilvl w:val="0"/>
          <w:numId w:val="1"/>
        </w:numPr>
        <w:spacing w:after="80"/>
      </w:pPr>
      <w:r>
        <w:rPr>
          <w:rFonts w:ascii="Calibri" w:cs="Calibri" w:eastAsia="Calibri" w:hAnsi="Calibri"/>
          <w:sz w:val="21"/>
          <w:szCs w:val="21"/>
        </w:rPr>
        <w:t xml:space="preserve">Zero unreviewed cognitive raw-response or equivalent free-text/JSON columns remain.</w:t>
      </w:r>
    </w:p>
    <w:p>
      <w:pPr>
        <w:pStyle w:val="Heading1"/>
        <w:spacing w:after="200" w:before="400"/>
      </w:pPr>
      <w:r>
        <w:t xml:space="preserve">WP-0006 — Assign Named, Accountable Owners to Every Unassigned Architecture, Data-Governance, Security/Platform, and Compliance Role</w:t>
      </w:r>
    </w:p>
    <w:p>
      <w:pPr>
        <w:pStyle w:val="Heading3"/>
        <w:spacing w:after="120" w:before="240"/>
      </w:pPr>
      <w:r>
        <w:t xml:space="preserve">A. Governance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Work Package ID</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WP-0006</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Work Package Name</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Assign named, accountable owners to every architecture, data-governance, security/platform, and compliance role this baseline lists as unassigned</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Current Status</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Not started — KPI-08 Ownership Assignment % = 0% (Phase A.3 §10)</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Current Readiness</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Immediately startable — no blocking dependency (Phase B §7)</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Priority</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Critical (Phase A.3 §9)</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Complexity</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Low — organizational, not technical (Phase A.3 §9)</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Risk Classification</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N/A — this Work Package is itself the mitigation for the baseline's single blocking governance risk; it is not, itself, risky (Phase A.3 §9)</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Portfolio</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8 — Governance &amp; Quality (Phase B §3)</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Wave</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Wave 1 — Critical Foundation (Phase B §5)</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Milestone</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Governance Operational (Phase B §6)</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Trigger Condition</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None — immediate.</w:t>
            </w:r>
          </w:p>
        </w:tc>
      </w:tr>
    </w:tbl>
    <w:p>
      <w:pPr>
        <w:pStyle w:val="Heading3"/>
        <w:spacing w:after="120" w:before="240"/>
      </w:pPr>
      <w:r>
        <w:t xml:space="preserve">B. Architecture Traceability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Identifier</w:t>
            </w:r>
          </w:p>
        </w:tc>
        <w:tc>
          <w:tcPr>
            <w:tcW w:type="dxa" w:w="702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Traceability Detail</w:t>
            </w:r>
          </w:p>
        </w:tc>
      </w:tr>
      <w:tr>
        <w:tc>
          <w:tcPr>
            <w:tcW w:type="dxa" w:w="23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AP-009</w:t>
            </w:r>
          </w:p>
        </w:tc>
        <w:tc>
          <w:tcPr>
            <w:tcW w:type="dxa" w:w="70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Every governance decision requires a named, accountable owner — elevated to a first-class principle in Phase A.3 §2 after recurring across every ADR and register entry</w:t>
            </w:r>
          </w:p>
        </w:tc>
      </w:tr>
      <w:tr>
        <w:tc>
          <w:tcPr>
            <w:tcW w:type="dxa" w:w="23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EGD-0001–EGD-0009 (all)</w:t>
            </w:r>
          </w:p>
        </w:tc>
        <w:tc>
          <w:tcPr>
            <w:tcW w:type="dxa" w:w="702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Every Enterprise Governance Decision's owner field is currently "unassigned — WP-0006"; this Work Package closes all nine simultaneously</w:t>
            </w:r>
          </w:p>
        </w:tc>
      </w:tr>
      <w:tr>
        <w:tc>
          <w:tcPr>
            <w:tcW w:type="dxa" w:w="23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KPI-08</w:t>
            </w:r>
          </w:p>
        </w:tc>
        <w:tc>
          <w:tcPr>
            <w:tcW w:type="dxa" w:w="70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Ownership Assignment % — the single metric this Work Package exists to move, from 0% to 100%</w:t>
            </w:r>
          </w:p>
        </w:tc>
      </w:tr>
    </w:tbl>
    <w:p>
      <w:pPr>
        <w:pStyle w:val="Heading3"/>
        <w:spacing w:after="120" w:before="240"/>
      </w:pPr>
      <w:r>
        <w:t xml:space="preserve">C. Business Context</w:t>
      </w:r>
    </w:p>
    <w:p>
      <w:pPr>
        <w:pStyle w:val="ListParagraph"/>
        <w:numPr>
          <w:ilvl w:val="0"/>
          <w:numId w:val="1"/>
        </w:numPr>
        <w:spacing w:after="80"/>
      </w:pPr>
      <w:r>
        <w:rPr>
          <w:rFonts w:ascii="Calibri" w:cs="Calibri" w:eastAsia="Calibri" w:hAnsi="Calibri"/>
          <w:sz w:val="21"/>
          <w:szCs w:val="21"/>
        </w:rPr>
        <w:t xml:space="preserve">Business Objective: resolve the single cross-cutting governance blocker — universally unassigned ownership — before any other Work Package is treated as fully executable.</w:t>
      </w:r>
    </w:p>
    <w:p>
      <w:pPr>
        <w:pStyle w:val="ListParagraph"/>
        <w:numPr>
          <w:ilvl w:val="0"/>
          <w:numId w:val="1"/>
        </w:numPr>
        <w:spacing w:after="80"/>
      </w:pPr>
      <w:r>
        <w:rPr>
          <w:rFonts w:ascii="Calibri" w:cs="Calibri" w:eastAsia="Calibri" w:hAnsi="Calibri"/>
          <w:sz w:val="21"/>
          <w:szCs w:val="21"/>
        </w:rPr>
        <w:t xml:space="preserve">Business Value: Critical (Phase A.3 §9) — the precondition for every other recommendation in the baseline being executable rather than aspirational.</w:t>
      </w:r>
    </w:p>
    <w:p>
      <w:pPr>
        <w:pStyle w:val="ListParagraph"/>
        <w:numPr>
          <w:ilvl w:val="0"/>
          <w:numId w:val="1"/>
        </w:numPr>
        <w:spacing w:after="80"/>
      </w:pPr>
      <w:r>
        <w:rPr>
          <w:rFonts w:ascii="Calibri" w:cs="Calibri" w:eastAsia="Calibri" w:hAnsi="Calibri"/>
          <w:sz w:val="21"/>
          <w:szCs w:val="21"/>
        </w:rPr>
        <w:t xml:space="preserve">Strategic Importance: converts every disposition in Phase A.3 from a documented decision into an accountable, trackable one.</w:t>
      </w:r>
    </w:p>
    <w:p>
      <w:pPr>
        <w:pStyle w:val="ListParagraph"/>
        <w:numPr>
          <w:ilvl w:val="0"/>
          <w:numId w:val="1"/>
        </w:numPr>
        <w:spacing w:after="80"/>
      </w:pPr>
      <w:r>
        <w:rPr>
          <w:rFonts w:ascii="Calibri" w:cs="Calibri" w:eastAsia="Calibri" w:hAnsi="Calibri"/>
          <w:sz w:val="21"/>
          <w:szCs w:val="21"/>
        </w:rPr>
        <w:t xml:space="preserve">Expected Outcome: five named, accountable owners assigned — Enterprise Architecture Owner, Data Governance Owner, Platform Engineering Lead, Security/Platform Engineer, and Executive Sponsor/Governance Board (Phase B §9).</w:t>
      </w:r>
    </w:p>
    <w:p>
      <w:pPr>
        <w:pStyle w:val="ListParagraph"/>
        <w:numPr>
          <w:ilvl w:val="0"/>
          <w:numId w:val="1"/>
        </w:numPr>
        <w:spacing w:after="80"/>
      </w:pPr>
      <w:r>
        <w:rPr>
          <w:rFonts w:ascii="Calibri" w:cs="Calibri" w:eastAsia="Calibri" w:hAnsi="Calibri"/>
          <w:sz w:val="21"/>
          <w:szCs w:val="21"/>
        </w:rPr>
        <w:t xml:space="preserve">Success Measure: KPI-08 Ownership Assignment % = 100%.</w:t>
      </w:r>
    </w:p>
    <w:p>
      <w:pPr>
        <w:pStyle w:val="Heading3"/>
        <w:spacing w:after="120" w:before="240"/>
      </w:pPr>
      <w:r>
        <w:t xml:space="preserve">D. Engineering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8"/>
        <w:gridCol w:w="7072"/>
      </w:tblGrid>
      <w:tr>
        <w:trPr>
          <w:tblHeader/>
        </w:trPr>
        <w:tc>
          <w:tcPr>
            <w:tcW w:type="dxa" w:w="228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Scope Area</w:t>
            </w:r>
          </w:p>
        </w:tc>
        <w:tc>
          <w:tcPr>
            <w:tcW w:type="dxa" w:w="7072"/>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Detail</w:t>
            </w:r>
          </w:p>
        </w:tc>
      </w:tr>
      <w:tr>
        <w:tc>
          <w:tcPr>
            <w:tcW w:type="dxa" w:w="228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Functional Scope</w:t>
            </w:r>
          </w:p>
        </w:tc>
        <w:tc>
          <w:tcPr>
            <w:tcW w:type="dxa" w:w="707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Name accountable owners for the five roles identified in Phase B §9.</w:t>
            </w:r>
          </w:p>
        </w:tc>
      </w:tr>
      <w:tr>
        <w:tc>
          <w:tcPr>
            <w:tcW w:type="dxa" w:w="228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Technical Scope</w:t>
            </w:r>
          </w:p>
        </w:tc>
        <w:tc>
          <w:tcPr>
            <w:tcW w:type="dxa" w:w="707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Not Applicable — this is an organizational action, not an engineering one.</w:t>
            </w:r>
          </w:p>
        </w:tc>
      </w:tr>
      <w:tr>
        <w:tc>
          <w:tcPr>
            <w:tcW w:type="dxa" w:w="228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Repository Scope</w:t>
            </w:r>
          </w:p>
        </w:tc>
        <w:tc>
          <w:tcPr>
            <w:tcW w:type="dxa" w:w="707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None.</w:t>
            </w:r>
          </w:p>
        </w:tc>
      </w:tr>
      <w:tr>
        <w:tc>
          <w:tcPr>
            <w:tcW w:type="dxa" w:w="228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Database Scope</w:t>
            </w:r>
          </w:p>
        </w:tc>
        <w:tc>
          <w:tcPr>
            <w:tcW w:type="dxa" w:w="707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None.</w:t>
            </w:r>
          </w:p>
        </w:tc>
      </w:tr>
      <w:tr>
        <w:tc>
          <w:tcPr>
            <w:tcW w:type="dxa" w:w="228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Documentation Scope</w:t>
            </w:r>
          </w:p>
        </w:tc>
        <w:tc>
          <w:tcPr>
            <w:tcW w:type="dxa" w:w="707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Owner-assignment record applied across all nine Enterprise Governance Decisions (EGD-0001–0009) and all six Work Packages.</w:t>
            </w:r>
          </w:p>
        </w:tc>
      </w:tr>
      <w:tr>
        <w:tc>
          <w:tcPr>
            <w:tcW w:type="dxa" w:w="228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Security Scope</w:t>
            </w:r>
          </w:p>
        </w:tc>
        <w:tc>
          <w:tcPr>
            <w:tcW w:type="dxa" w:w="707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Not Applicable to this Work Package.</w:t>
            </w:r>
          </w:p>
        </w:tc>
      </w:tr>
      <w:tr>
        <w:tc>
          <w:tcPr>
            <w:tcW w:type="dxa" w:w="228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Testing Scope</w:t>
            </w:r>
          </w:p>
        </w:tc>
        <w:tc>
          <w:tcPr>
            <w:tcW w:type="dxa" w:w="707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Not Applicable to this Work Package.</w:t>
            </w:r>
          </w:p>
        </w:tc>
      </w:tr>
      <w:tr>
        <w:tc>
          <w:tcPr>
            <w:tcW w:type="dxa" w:w="228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Operational Scope</w:t>
            </w:r>
          </w:p>
        </w:tc>
        <w:tc>
          <w:tcPr>
            <w:tcW w:type="dxa" w:w="707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Not Applicable to this Work Package.</w:t>
            </w:r>
          </w:p>
        </w:tc>
      </w:tr>
    </w:tbl>
    <w:p>
      <w:pPr>
        <w:pStyle w:val="Heading3"/>
        <w:spacing w:after="120" w:before="240"/>
      </w:pPr>
      <w:r>
        <w:t xml:space="preserve">E. Engineering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Responsible Owner</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Executive Sponsor / Governance Board</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Supporting Roles</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None — this Work Package is the mechanism by which the other four roles are named.</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Governance Authority</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Executive Sponsor / Governance Board</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Review Authority</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Executive Sponsor / Governance Board</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Approval Authority</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Executive Sponsor / Governance Board</w:t>
            </w:r>
          </w:p>
        </w:tc>
      </w:tr>
    </w:tbl>
    <w:p>
      <w:pPr>
        <w:pStyle w:val="Heading3"/>
        <w:spacing w:after="120" w:before="240"/>
      </w:pPr>
      <w:r>
        <w:t xml:space="preserve">F.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8"/>
        <w:gridCol w:w="7072"/>
      </w:tblGrid>
      <w:tr>
        <w:trPr>
          <w:tblHeader/>
        </w:trPr>
        <w:tc>
          <w:tcPr>
            <w:tcW w:type="dxa" w:w="228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Dependency Type</w:t>
            </w:r>
          </w:p>
        </w:tc>
        <w:tc>
          <w:tcPr>
            <w:tcW w:type="dxa" w:w="7072"/>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Detail and Rationale</w:t>
            </w:r>
          </w:p>
        </w:tc>
      </w:tr>
      <w:tr>
        <w:tc>
          <w:tcPr>
            <w:tcW w:type="dxa" w:w="228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Predecessor Work Packages</w:t>
            </w:r>
          </w:p>
        </w:tc>
        <w:tc>
          <w:tcPr>
            <w:tcW w:type="dxa" w:w="707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None.</w:t>
            </w:r>
          </w:p>
        </w:tc>
      </w:tr>
      <w:tr>
        <w:tc>
          <w:tcPr>
            <w:tcW w:type="dxa" w:w="228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Successor Work Packages</w:t>
            </w:r>
          </w:p>
        </w:tc>
        <w:tc>
          <w:tcPr>
            <w:tcW w:type="dxa" w:w="707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Unlocks accountable execution for WP-0001 (Enterprise Architecture Owner), WP-0003/WP-0004 (Platform Engineering Lead / Data Governance Owner), and confirms the Security/Platform Engineer for WP-0002/WP-0005.</w:t>
            </w:r>
          </w:p>
        </w:tc>
      </w:tr>
      <w:tr>
        <w:tc>
          <w:tcPr>
            <w:tcW w:type="dxa" w:w="228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Blocking Dependencies</w:t>
            </w:r>
          </w:p>
        </w:tc>
        <w:tc>
          <w:tcPr>
            <w:tcW w:type="dxa" w:w="707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None — startable immediately.</w:t>
            </w:r>
          </w:p>
        </w:tc>
      </w:tr>
      <w:tr>
        <w:tc>
          <w:tcPr>
            <w:tcW w:type="dxa" w:w="228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External Dependencies</w:t>
            </w:r>
          </w:p>
        </w:tc>
        <w:tc>
          <w:tcPr>
            <w:tcW w:type="dxa" w:w="707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None.</w:t>
            </w:r>
          </w:p>
        </w:tc>
      </w:tr>
      <w:tr>
        <w:tc>
          <w:tcPr>
            <w:tcW w:type="dxa" w:w="228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Trigger-based Dependencies</w:t>
            </w:r>
          </w:p>
        </w:tc>
        <w:tc>
          <w:tcPr>
            <w:tcW w:type="dxa" w:w="707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None.</w:t>
            </w:r>
          </w:p>
        </w:tc>
      </w:tr>
      <w:tr>
        <w:tc>
          <w:tcPr>
            <w:tcW w:type="dxa" w:w="228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Governance Dependencies</w:t>
            </w:r>
          </w:p>
        </w:tc>
        <w:tc>
          <w:tcPr>
            <w:tcW w:type="dxa" w:w="707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This Work Package is itself the precondition for every EGD's execution accountability (Phase A.3 §8) — it does not depend on any other governance action.</w:t>
            </w:r>
          </w:p>
        </w:tc>
      </w:tr>
    </w:tbl>
    <w:p>
      <w:pPr>
        <w:pStyle w:val="Heading3"/>
        <w:spacing w:after="120" w:before="240"/>
      </w:pPr>
      <w:r>
        <w:t xml:space="preserve">G. Engineering Deliverables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88"/>
        <w:gridCol w:w="7072"/>
      </w:tblGrid>
      <w:tr>
        <w:trPr>
          <w:tblHeader/>
        </w:trPr>
        <w:tc>
          <w:tcPr>
            <w:tcW w:type="dxa" w:w="228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Deliverable Category</w:t>
            </w:r>
          </w:p>
        </w:tc>
        <w:tc>
          <w:tcPr>
            <w:tcW w:type="dxa" w:w="7072"/>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Required Deliverable</w:t>
            </w:r>
          </w:p>
        </w:tc>
      </w:tr>
      <w:tr>
        <w:tc>
          <w:tcPr>
            <w:tcW w:type="dxa" w:w="228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Engineering Deliverables</w:t>
            </w:r>
          </w:p>
        </w:tc>
        <w:tc>
          <w:tcPr>
            <w:tcW w:type="dxa" w:w="707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Not Applicable — organizational action.</w:t>
            </w:r>
          </w:p>
        </w:tc>
      </w:tr>
      <w:tr>
        <w:tc>
          <w:tcPr>
            <w:tcW w:type="dxa" w:w="228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Repository Deliverables</w:t>
            </w:r>
          </w:p>
        </w:tc>
        <w:tc>
          <w:tcPr>
            <w:tcW w:type="dxa" w:w="707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None.</w:t>
            </w:r>
          </w:p>
        </w:tc>
      </w:tr>
      <w:tr>
        <w:tc>
          <w:tcPr>
            <w:tcW w:type="dxa" w:w="228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Database Deliverables</w:t>
            </w:r>
          </w:p>
        </w:tc>
        <w:tc>
          <w:tcPr>
            <w:tcW w:type="dxa" w:w="707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None.</w:t>
            </w:r>
          </w:p>
        </w:tc>
      </w:tr>
      <w:tr>
        <w:tc>
          <w:tcPr>
            <w:tcW w:type="dxa" w:w="228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Documentation Deliverables</w:t>
            </w:r>
          </w:p>
        </w:tc>
        <w:tc>
          <w:tcPr>
            <w:tcW w:type="dxa" w:w="707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Named-owner record across all nine EGD entries and all six Work Packages.</w:t>
            </w:r>
          </w:p>
        </w:tc>
      </w:tr>
      <w:tr>
        <w:tc>
          <w:tcPr>
            <w:tcW w:type="dxa" w:w="228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Verification Deliverables</w:t>
            </w:r>
          </w:p>
        </w:tc>
        <w:tc>
          <w:tcPr>
            <w:tcW w:type="dxa" w:w="707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KPI-08 measurement confirming 100% assignment.</w:t>
            </w:r>
          </w:p>
        </w:tc>
      </w:tr>
      <w:tr>
        <w:tc>
          <w:tcPr>
            <w:tcW w:type="dxa" w:w="228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Governance Deliverables</w:t>
            </w:r>
          </w:p>
        </w:tc>
        <w:tc>
          <w:tcPr>
            <w:tcW w:type="dxa" w:w="707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Closure of the AP-009 gap (0% → 100% satisfied) — the first governance item resolved in this baseline, ahead of any individual EGD's own trigger.</w:t>
            </w:r>
          </w:p>
        </w:tc>
      </w:tr>
    </w:tbl>
    <w:p>
      <w:pPr>
        <w:pStyle w:val="Heading3"/>
        <w:spacing w:after="120" w:before="240"/>
      </w:pPr>
      <w:r>
        <w:t xml:space="preserve">H. Entry Criteria</w:t>
      </w:r>
    </w:p>
    <w:p>
      <w:pPr>
        <w:pStyle w:val="ListParagraph"/>
        <w:numPr>
          <w:ilvl w:val="0"/>
          <w:numId w:val="1"/>
        </w:numPr>
        <w:spacing w:after="80"/>
      </w:pPr>
      <w:r>
        <w:rPr>
          <w:rFonts w:ascii="Calibri" w:cs="Calibri" w:eastAsia="Calibri" w:hAnsi="Calibri"/>
          <w:sz w:val="21"/>
          <w:szCs w:val="21"/>
        </w:rPr>
        <w:t xml:space="preserve">None — immediately startable.</w:t>
      </w:r>
    </w:p>
    <w:p>
      <w:pPr>
        <w:pStyle w:val="Heading3"/>
        <w:spacing w:after="120" w:before="240"/>
      </w:pPr>
      <w:r>
        <w:t xml:space="preserve">I. Exit Criteria</w:t>
      </w:r>
    </w:p>
    <w:p>
      <w:pPr>
        <w:pStyle w:val="ListParagraph"/>
        <w:numPr>
          <w:ilvl w:val="0"/>
          <w:numId w:val="1"/>
        </w:numPr>
        <w:spacing w:after="80"/>
      </w:pPr>
      <w:r>
        <w:rPr>
          <w:rFonts w:ascii="Calibri" w:cs="Calibri" w:eastAsia="Calibri" w:hAnsi="Calibri"/>
          <w:sz w:val="21"/>
          <w:szCs w:val="21"/>
        </w:rPr>
        <w:t xml:space="preserve">Every EGD (EGD-0001–0009) and every Work Package (WP-0001–0006) has a named, accountable owner recorded.</w:t>
      </w:r>
    </w:p>
    <w:p>
      <w:pPr>
        <w:pStyle w:val="Heading3"/>
        <w:spacing w:after="120" w:before="240"/>
      </w:pPr>
      <w:r>
        <w:t xml:space="preserve">J. Acceptance Criteria</w:t>
      </w:r>
    </w:p>
    <w:p>
      <w:pPr>
        <w:pStyle w:val="ListParagraph"/>
        <w:numPr>
          <w:ilvl w:val="0"/>
          <w:numId w:val="1"/>
        </w:numPr>
        <w:spacing w:after="80"/>
      </w:pPr>
      <w:r>
        <w:rPr>
          <w:rFonts w:ascii="Calibri" w:cs="Calibri" w:eastAsia="Calibri" w:hAnsi="Calibri"/>
          <w:sz w:val="21"/>
          <w:szCs w:val="21"/>
        </w:rPr>
        <w:t xml:space="preserve">KPI-08 Ownership Assignment % = 100%.</w:t>
      </w:r>
    </w:p>
    <w:p>
      <w:pPr>
        <w:pStyle w:val="ListParagraph"/>
        <w:numPr>
          <w:ilvl w:val="0"/>
          <w:numId w:val="1"/>
        </w:numPr>
        <w:spacing w:after="80"/>
      </w:pPr>
      <w:r>
        <w:rPr>
          <w:rFonts w:ascii="Calibri" w:cs="Calibri" w:eastAsia="Calibri" w:hAnsi="Calibri"/>
          <w:sz w:val="21"/>
          <w:szCs w:val="21"/>
        </w:rPr>
        <w:t xml:space="preserve">Zero unassigned owner fields remain across EGD-0001–0009 and WP-0001–0006.</w:t>
      </w:r>
    </w:p>
    <w:p>
      <w:pPr>
        <w:pStyle w:val="Heading1"/>
        <w:spacing w:after="200" w:before="400"/>
      </w:pPr>
      <w:r>
        <w:t xml:space="preserve">3. Portfolio Engineering Summary</w:t>
      </w:r>
    </w:p>
    <w:p>
      <w:pPr>
        <w:pStyle w:val="Heading3"/>
        <w:spacing w:after="120" w:before="240"/>
      </w:pPr>
      <w:r>
        <w:t xml:space="preserve">Active Portfolios</w:t>
      </w:r>
    </w:p>
    <w:tbl>
      <w:tblPr>
        <w:tblW w:type="dxa" w:w="9361"/>
        <w:tblBorders>
          <w:top w:val="single" w:color="auto" w:sz="4"/>
          <w:left w:val="single" w:color="auto" w:sz="4"/>
          <w:bottom w:val="single" w:color="auto" w:sz="4"/>
          <w:right w:val="single" w:color="auto" w:sz="4"/>
          <w:insideH w:val="single" w:color="auto" w:sz="4"/>
          <w:insideV w:val="single" w:color="auto" w:sz="4"/>
        </w:tblBorders>
      </w:tblPr>
      <w:tblGrid>
        <w:gridCol w:w="562"/>
        <w:gridCol w:w="2434"/>
        <w:gridCol w:w="2808"/>
        <w:gridCol w:w="3557"/>
      </w:tblGrid>
      <w:tr>
        <w:trPr>
          <w:tblHeader/>
        </w:trPr>
        <w:tc>
          <w:tcPr>
            <w:tcW w:type="dxa" w:w="562"/>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w:t>
            </w:r>
          </w:p>
        </w:tc>
        <w:tc>
          <w:tcPr>
            <w:tcW w:type="dxa" w:w="2434"/>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Portfolio</w:t>
            </w:r>
          </w:p>
        </w:tc>
        <w:tc>
          <w:tcPr>
            <w:tcW w:type="dxa" w:w="280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Work Packages</w:t>
            </w:r>
          </w:p>
        </w:tc>
        <w:tc>
          <w:tcPr>
            <w:tcW w:type="dxa" w:w="3557"/>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Status</w:t>
            </w:r>
          </w:p>
        </w:tc>
      </w:tr>
      <w:tr>
        <w:tc>
          <w:tcPr>
            <w:tcW w:type="dxa" w:w="56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1</w:t>
            </w:r>
          </w:p>
        </w:tc>
        <w:tc>
          <w:tcPr>
            <w:tcW w:type="dxa" w:w="2434"/>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Enterprise Data Platform</w:t>
            </w:r>
          </w:p>
        </w:tc>
        <w:tc>
          <w:tcPr>
            <w:tcW w:type="dxa" w:w="28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WP-0001, WP-0003, WP-0004, WP-0005</w:t>
            </w:r>
          </w:p>
        </w:tc>
        <w:tc>
          <w:tcPr>
            <w:tcW w:type="dxa" w:w="3557"/>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Active — 4 evidenced Work Packages</w:t>
            </w:r>
          </w:p>
        </w:tc>
      </w:tr>
      <w:tr>
        <w:tc>
          <w:tcPr>
            <w:tcW w:type="dxa" w:w="56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2</w:t>
            </w:r>
          </w:p>
        </w:tc>
        <w:tc>
          <w:tcPr>
            <w:tcW w:type="dxa" w:w="2434"/>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Enterprise Security</w:t>
            </w:r>
          </w:p>
        </w:tc>
        <w:tc>
          <w:tcPr>
            <w:tcW w:type="dxa" w:w="28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WP-0002</w:t>
            </w:r>
          </w:p>
        </w:tc>
        <w:tc>
          <w:tcPr>
            <w:tcW w:type="dxa" w:w="3557"/>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Active — 1 evidenced Work Package</w:t>
            </w:r>
          </w:p>
        </w:tc>
      </w:tr>
      <w:tr>
        <w:tc>
          <w:tcPr>
            <w:tcW w:type="dxa" w:w="56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8</w:t>
            </w:r>
          </w:p>
        </w:tc>
        <w:tc>
          <w:tcPr>
            <w:tcW w:type="dxa" w:w="2434"/>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Governance &amp; Quality</w:t>
            </w:r>
          </w:p>
        </w:tc>
        <w:tc>
          <w:tcPr>
            <w:tcW w:type="dxa" w:w="28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WP-0006</w:t>
            </w:r>
          </w:p>
        </w:tc>
        <w:tc>
          <w:tcPr>
            <w:tcW w:type="dxa" w:w="3557"/>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Active — 1 evidenced Work Package, treated as the portfolio's own precondition</w:t>
            </w:r>
          </w:p>
        </w:tc>
      </w:tr>
    </w:tbl>
    <w:p>
      <w:pPr>
        <w:pStyle w:val="Heading3"/>
        <w:spacing w:after="120" w:before="240"/>
      </w:pPr>
      <w:r>
        <w:t xml:space="preserve">Reserved Portfolios</w:t>
      </w:r>
    </w:p>
    <w:tbl>
      <w:tblPr>
        <w:tblW w:type="dxa" w:w="9361"/>
        <w:tblBorders>
          <w:top w:val="single" w:color="auto" w:sz="4"/>
          <w:left w:val="single" w:color="auto" w:sz="4"/>
          <w:bottom w:val="single" w:color="auto" w:sz="4"/>
          <w:right w:val="single" w:color="auto" w:sz="4"/>
          <w:insideH w:val="single" w:color="auto" w:sz="4"/>
          <w:insideV w:val="single" w:color="auto" w:sz="4"/>
        </w:tblBorders>
      </w:tblPr>
      <w:tblGrid>
        <w:gridCol w:w="562"/>
        <w:gridCol w:w="2434"/>
        <w:gridCol w:w="2808"/>
        <w:gridCol w:w="3557"/>
      </w:tblGrid>
      <w:tr>
        <w:trPr>
          <w:tblHeader/>
        </w:trPr>
        <w:tc>
          <w:tcPr>
            <w:tcW w:type="dxa" w:w="562"/>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w:t>
            </w:r>
          </w:p>
        </w:tc>
        <w:tc>
          <w:tcPr>
            <w:tcW w:type="dxa" w:w="2434"/>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Portfolio</w:t>
            </w:r>
          </w:p>
        </w:tc>
        <w:tc>
          <w:tcPr>
            <w:tcW w:type="dxa" w:w="2808"/>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Work Packages</w:t>
            </w:r>
          </w:p>
        </w:tc>
        <w:tc>
          <w:tcPr>
            <w:tcW w:type="dxa" w:w="3557"/>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Status</w:t>
            </w:r>
          </w:p>
        </w:tc>
      </w:tr>
      <w:tr>
        <w:tc>
          <w:tcPr>
            <w:tcW w:type="dxa" w:w="56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3</w:t>
            </w:r>
          </w:p>
        </w:tc>
        <w:tc>
          <w:tcPr>
            <w:tcW w:type="dxa" w:w="2434"/>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Enterprise AI</w:t>
            </w:r>
          </w:p>
        </w:tc>
        <w:tc>
          <w:tcPr>
            <w:tcW w:type="dxa" w:w="28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None</w:t>
            </w:r>
          </w:p>
        </w:tc>
        <w:tc>
          <w:tcPr>
            <w:tcW w:type="dxa" w:w="3557"/>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Open, empty — no AI-domain realization assessment exists yet</w:t>
            </w:r>
          </w:p>
        </w:tc>
      </w:tr>
      <w:tr>
        <w:tc>
          <w:tcPr>
            <w:tcW w:type="dxa" w:w="56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4</w:t>
            </w:r>
          </w:p>
        </w:tc>
        <w:tc>
          <w:tcPr>
            <w:tcW w:type="dxa" w:w="2434"/>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Business Capabilities</w:t>
            </w:r>
          </w:p>
        </w:tc>
        <w:tc>
          <w:tcPr>
            <w:tcW w:type="dxa" w:w="28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None</w:t>
            </w:r>
          </w:p>
        </w:tc>
        <w:tc>
          <w:tcPr>
            <w:tcW w:type="dxa" w:w="3557"/>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Open, empty — no business-capability realization assessment exists yet</w:t>
            </w:r>
          </w:p>
        </w:tc>
      </w:tr>
      <w:tr>
        <w:tc>
          <w:tcPr>
            <w:tcW w:type="dxa" w:w="56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5</w:t>
            </w:r>
          </w:p>
        </w:tc>
        <w:tc>
          <w:tcPr>
            <w:tcW w:type="dxa" w:w="2434"/>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Knowledge Platform</w:t>
            </w:r>
          </w:p>
        </w:tc>
        <w:tc>
          <w:tcPr>
            <w:tcW w:type="dxa" w:w="28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None</w:t>
            </w:r>
          </w:p>
        </w:tc>
        <w:tc>
          <w:tcPr>
            <w:tcW w:type="dxa" w:w="3557"/>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Open, empty — no knowledge-platform realization assessment exists yet</w:t>
            </w:r>
          </w:p>
        </w:tc>
      </w:tr>
      <w:tr>
        <w:tc>
          <w:tcPr>
            <w:tcW w:type="dxa" w:w="56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6</w:t>
            </w:r>
          </w:p>
        </w:tc>
        <w:tc>
          <w:tcPr>
            <w:tcW w:type="dxa" w:w="2434"/>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Integration Platform</w:t>
            </w:r>
          </w:p>
        </w:tc>
        <w:tc>
          <w:tcPr>
            <w:tcW w:type="dxa" w:w="2808"/>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None</w:t>
            </w:r>
          </w:p>
        </w:tc>
        <w:tc>
          <w:tcPr>
            <w:tcW w:type="dxa" w:w="3557"/>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Open, empty — no integration realization assessment exists yet</w:t>
            </w:r>
          </w:p>
        </w:tc>
      </w:tr>
      <w:tr>
        <w:tc>
          <w:tcPr>
            <w:tcW w:type="dxa" w:w="56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7</w:t>
            </w:r>
          </w:p>
        </w:tc>
        <w:tc>
          <w:tcPr>
            <w:tcW w:type="dxa" w:w="2434"/>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Operations &amp; Observability</w:t>
            </w:r>
          </w:p>
        </w:tc>
        <w:tc>
          <w:tcPr>
            <w:tcW w:type="dxa" w:w="2808"/>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None</w:t>
            </w:r>
          </w:p>
        </w:tc>
        <w:tc>
          <w:tcPr>
            <w:tcW w:type="dxa" w:w="3557"/>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Open, empty — no operations realization assessment exists yet</w:t>
            </w:r>
          </w:p>
        </w:tc>
      </w:tr>
    </w:tbl>
    <w:p>
      <w:pPr>
        <w:shd w:fill="FDEBD0" w:val="clear"/>
        <w:spacing w:after="160"/>
      </w:pPr>
      <w:r>
        <w:rPr>
          <w:rFonts w:ascii="Calibri" w:cs="Calibri" w:eastAsia="Calibri" w:hAnsi="Calibri"/>
          <w:i/>
          <w:iCs/>
          <w:color w:val="833C0C"/>
          <w:sz w:val="20"/>
          <w:szCs w:val="20"/>
        </w:rPr>
        <w:t xml:space="preserve">These five portfolios remain named, numbered, and structurally reserved so a future ERP-01 phase can populate them without renumbering — consistent with Phase A.3's permanent-ID policy. No work is scheduled against them here.</w:t>
      </w:r>
    </w:p>
    <w:p>
      <w:pPr>
        <w:pStyle w:val="Heading3"/>
        <w:spacing w:after="120" w:before="240"/>
      </w:pPr>
      <w:r>
        <w:t xml:space="preserve">Work Package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936"/>
        <w:gridCol w:w="5242"/>
      </w:tblGrid>
      <w:tr>
        <w:trPr>
          <w:tblHeader/>
        </w:trPr>
        <w:tc>
          <w:tcPr>
            <w:tcW w:type="dxa" w:w="3182"/>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Portfolio</w:t>
            </w:r>
          </w:p>
        </w:tc>
        <w:tc>
          <w:tcPr>
            <w:tcW w:type="dxa" w:w="936"/>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Count</w:t>
            </w:r>
          </w:p>
        </w:tc>
        <w:tc>
          <w:tcPr>
            <w:tcW w:type="dxa" w:w="5242"/>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Work Packages</w:t>
            </w:r>
          </w:p>
        </w:tc>
      </w:tr>
      <w:tr>
        <w:tc>
          <w:tcPr>
            <w:tcW w:type="dxa" w:w="318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1 — Enterprise Data Platform</w:t>
            </w:r>
          </w:p>
        </w:tc>
        <w:tc>
          <w:tcPr>
            <w:tcW w:type="dxa" w:w="93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4</w:t>
            </w:r>
          </w:p>
        </w:tc>
        <w:tc>
          <w:tcPr>
            <w:tcW w:type="dxa" w:w="524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WP-0001, WP-0003, WP-0004, WP-0005</w:t>
            </w:r>
          </w:p>
        </w:tc>
      </w:tr>
      <w:tr>
        <w:tc>
          <w:tcPr>
            <w:tcW w:type="dxa" w:w="318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2 — Enterprise Security</w:t>
            </w:r>
          </w:p>
        </w:tc>
        <w:tc>
          <w:tcPr>
            <w:tcW w:type="dxa" w:w="936"/>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1</w:t>
            </w:r>
          </w:p>
        </w:tc>
        <w:tc>
          <w:tcPr>
            <w:tcW w:type="dxa" w:w="524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WP-0002</w:t>
            </w:r>
          </w:p>
        </w:tc>
      </w:tr>
      <w:tr>
        <w:tc>
          <w:tcPr>
            <w:tcW w:type="dxa" w:w="318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8 — Governance &amp; Quality</w:t>
            </w:r>
          </w:p>
        </w:tc>
        <w:tc>
          <w:tcPr>
            <w:tcW w:type="dxa" w:w="93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1</w:t>
            </w:r>
          </w:p>
        </w:tc>
        <w:tc>
          <w:tcPr>
            <w:tcW w:type="dxa" w:w="5242"/>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WP-0006</w:t>
            </w:r>
          </w:p>
        </w:tc>
      </w:tr>
      <w:tr>
        <w:tc>
          <w:tcPr>
            <w:tcW w:type="dxa" w:w="318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3–7 (Reserved)</w:t>
            </w:r>
          </w:p>
        </w:tc>
        <w:tc>
          <w:tcPr>
            <w:tcW w:type="dxa" w:w="936"/>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0</w:t>
            </w:r>
          </w:p>
        </w:tc>
        <w:tc>
          <w:tcPr>
            <w:tcW w:type="dxa" w:w="5242"/>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None</w:t>
            </w:r>
          </w:p>
        </w:tc>
      </w:tr>
    </w:tbl>
    <w:p>
      <w:pPr>
        <w:pStyle w:val="Heading3"/>
        <w:spacing w:after="120" w:before="240"/>
      </w:pPr>
      <w:r>
        <w:t xml:space="preserve">Wave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3"/>
        <w:gridCol w:w="3931"/>
        <w:gridCol w:w="4306"/>
      </w:tblGrid>
      <w:tr>
        <w:trPr>
          <w:tblHeader/>
        </w:trPr>
        <w:tc>
          <w:tcPr>
            <w:tcW w:type="dxa" w:w="1123"/>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Wave</w:t>
            </w:r>
          </w:p>
        </w:tc>
        <w:tc>
          <w:tcPr>
            <w:tcW w:type="dxa" w:w="3931"/>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Theme</w:t>
            </w:r>
          </w:p>
        </w:tc>
        <w:tc>
          <w:tcPr>
            <w:tcW w:type="dxa" w:w="4306"/>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Assigned Work Packages</w:t>
            </w:r>
          </w:p>
        </w:tc>
      </w:tr>
      <w:tr>
        <w:tc>
          <w:tcPr>
            <w:tcW w:type="dxa" w:w="1123"/>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Wave 1</w:t>
            </w:r>
          </w:p>
        </w:tc>
        <w:tc>
          <w:tcPr>
            <w:tcW w:type="dxa" w:w="393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Critical Foundation</w:t>
            </w:r>
          </w:p>
        </w:tc>
        <w:tc>
          <w:tcPr>
            <w:tcW w:type="dxa" w:w="430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WP-0006, WP-0002</w:t>
            </w:r>
          </w:p>
        </w:tc>
      </w:tr>
      <w:tr>
        <w:tc>
          <w:tcPr>
            <w:tcW w:type="dxa" w:w="1123"/>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Wave 2</w:t>
            </w:r>
          </w:p>
        </w:tc>
        <w:tc>
          <w:tcPr>
            <w:tcW w:type="dxa" w:w="3931"/>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Platform Stabilization</w:t>
            </w:r>
          </w:p>
        </w:tc>
        <w:tc>
          <w:tcPr>
            <w:tcW w:type="dxa" w:w="4306"/>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WP-0001, WP-0004, WP-0005</w:t>
            </w:r>
          </w:p>
        </w:tc>
      </w:tr>
      <w:tr>
        <w:tc>
          <w:tcPr>
            <w:tcW w:type="dxa" w:w="1123"/>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Wave 3</w:t>
            </w:r>
          </w:p>
        </w:tc>
        <w:tc>
          <w:tcPr>
            <w:tcW w:type="dxa" w:w="393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Trigger-Gated Assessment</w:t>
            </w:r>
          </w:p>
        </w:tc>
        <w:tc>
          <w:tcPr>
            <w:tcW w:type="dxa" w:w="430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WP-0003 (not yet triggered)</w:t>
            </w:r>
          </w:p>
        </w:tc>
      </w:tr>
      <w:tr>
        <w:tc>
          <w:tcPr>
            <w:tcW w:type="dxa" w:w="1123"/>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Wave 4</w:t>
            </w:r>
          </w:p>
        </w:tc>
        <w:tc>
          <w:tcPr>
            <w:tcW w:type="dxa" w:w="3931"/>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Business/AI Intelligence (Reserved)</w:t>
            </w:r>
          </w:p>
        </w:tc>
        <w:tc>
          <w:tcPr>
            <w:tcW w:type="dxa" w:w="4306"/>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None assigned — no AR/EGD exists in this domain</w:t>
            </w:r>
          </w:p>
        </w:tc>
      </w:tr>
      <w:tr>
        <w:tc>
          <w:tcPr>
            <w:tcW w:type="dxa" w:w="1123"/>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Wave 5</w:t>
            </w:r>
          </w:p>
        </w:tc>
        <w:tc>
          <w:tcPr>
            <w:tcW w:type="dxa" w:w="3931"/>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Enterprise Optimization (Reserved)</w:t>
            </w:r>
          </w:p>
        </w:tc>
        <w:tc>
          <w:tcPr>
            <w:tcW w:type="dxa" w:w="430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None assigned</w:t>
            </w:r>
          </w:p>
        </w:tc>
      </w:tr>
    </w:tbl>
    <w:p>
      <w:pPr>
        <w:pStyle w:val="Heading3"/>
        <w:spacing w:after="120" w:before="240"/>
      </w:pPr>
      <w:r>
        <w:t xml:space="preserve">Milestone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Milestone</w:t>
            </w:r>
          </w:p>
        </w:tc>
        <w:tc>
          <w:tcPr>
            <w:tcW w:type="dxa" w:w="624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Work Packages</w:t>
            </w:r>
          </w:p>
        </w:tc>
      </w:tr>
      <w:tr>
        <w:tc>
          <w:tcPr>
            <w:tcW w:type="dxa" w:w="31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Baseline Complete</w:t>
            </w:r>
          </w:p>
        </w:tc>
        <w:tc>
          <w:tcPr>
            <w:tcW w:type="dxa" w:w="62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Met — Phase A.3's own deliverable (no Work Package required)</w:t>
            </w:r>
          </w:p>
        </w:tc>
      </w:tr>
      <w:tr>
        <w:tc>
          <w:tcPr>
            <w:tcW w:type="dxa" w:w="312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Governance Operational</w:t>
            </w:r>
          </w:p>
        </w:tc>
        <w:tc>
          <w:tcPr>
            <w:tcW w:type="dxa" w:w="62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WP-0006</w:t>
            </w:r>
          </w:p>
        </w:tc>
      </w:tr>
      <w:tr>
        <w:tc>
          <w:tcPr>
            <w:tcW w:type="dxa" w:w="31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Critical Security Complete</w:t>
            </w:r>
          </w:p>
        </w:tc>
        <w:tc>
          <w:tcPr>
            <w:tcW w:type="dxa" w:w="62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WP-0002</w:t>
            </w:r>
          </w:p>
        </w:tc>
      </w:tr>
      <w:tr>
        <w:tc>
          <w:tcPr>
            <w:tcW w:type="dxa" w:w="312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Data Platform Ready</w:t>
            </w:r>
          </w:p>
        </w:tc>
        <w:tc>
          <w:tcPr>
            <w:tcW w:type="dxa" w:w="62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WP-0001, WP-0003 (conditional), WP-0004, WP-0005</w:t>
            </w:r>
          </w:p>
        </w:tc>
      </w:tr>
      <w:tr>
        <w:tc>
          <w:tcPr>
            <w:tcW w:type="dxa" w:w="31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Enterprise Integration Ready / AI Platform Ready / Business Platform Ready</w:t>
            </w:r>
          </w:p>
        </w:tc>
        <w:tc>
          <w:tcPr>
            <w:tcW w:type="dxa" w:w="62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Not yet applicable — no entry criteria met (Reserved Portfolios 3, 4, 6)</w:t>
            </w:r>
          </w:p>
        </w:tc>
      </w:tr>
      <w:tr>
        <w:tc>
          <w:tcPr>
            <w:tcW w:type="dxa" w:w="312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Production Ready</w:t>
            </w:r>
          </w:p>
        </w:tc>
        <w:tc>
          <w:tcPr>
            <w:tcW w:type="dxa" w:w="62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All Wave 1–3 Work Packages, once executed and verified</w:t>
            </w:r>
          </w:p>
        </w:tc>
      </w:tr>
      <w:tr>
        <w:tc>
          <w:tcPr>
            <w:tcW w:type="dxa" w:w="31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Enterprise Certified</w:t>
            </w:r>
          </w:p>
        </w:tc>
        <w:tc>
          <w:tcPr>
            <w:tcW w:type="dxa" w:w="62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Contingent on a future closed-loop re-assessment, not on any single Work Package</w:t>
            </w:r>
          </w:p>
        </w:tc>
      </w:tr>
    </w:tbl>
    <w:p>
      <w:pPr>
        <w:pStyle w:val="Heading3"/>
        <w:spacing w:after="120" w:before="240"/>
      </w:pPr>
      <w:r>
        <w:t xml:space="preserve">Risk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Risk Tier</w:t>
            </w:r>
          </w:p>
        </w:tc>
        <w:tc>
          <w:tcPr>
            <w:tcW w:type="dxa" w:w="67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Work Packages</w:t>
            </w:r>
          </w:p>
        </w:tc>
      </w:tr>
      <w:tr>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High (if confirmed)</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WP-0002 — Critical-until-verified security gap</w:t>
            </w:r>
          </w:p>
        </w:tc>
      </w:tr>
      <w:tr>
        <w:tc>
          <w:tcPr>
            <w:tcW w:type="dxa" w:w="26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Medium</w:t>
            </w:r>
          </w:p>
        </w:tc>
        <w:tc>
          <w:tcPr>
            <w:tcW w:type="dxa" w:w="67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WP-0003 (unpartitioned tables, growing over time); WP-0004 (latent taxonomy-denormalization risk); WP-0005 (low–medium latent)</w:t>
            </w:r>
          </w:p>
        </w:tc>
      </w:tr>
      <w:tr>
        <w:tc>
          <w:tcPr>
            <w:tcW w:type="dxa" w:w="26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Low / Organizational</w:t>
            </w:r>
          </w:p>
        </w:tc>
        <w:tc>
          <w:tcPr>
            <w:tcW w:type="dxa" w:w="67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WP-0001, WP-0006 — no technical risk; WP-0006 is organizationally blocking but not itself risky</w:t>
            </w:r>
          </w:p>
        </w:tc>
      </w:tr>
    </w:tbl>
    <w:p>
      <w:pPr>
        <w:pStyle w:val="Heading3"/>
        <w:spacing w:after="120" w:before="240"/>
      </w:pPr>
      <w:r>
        <w:t xml:space="preserve">Complexity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5200"/>
      </w:tblGrid>
      <w:tr>
        <w:trPr>
          <w:tblHeader/>
        </w:trPr>
        <w:tc>
          <w:tcPr>
            <w:tcW w:type="dxa" w:w="416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Complexity</w:t>
            </w:r>
          </w:p>
        </w:tc>
        <w:tc>
          <w:tcPr>
            <w:tcW w:type="dxa" w:w="520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Work Packages</w:t>
            </w:r>
          </w:p>
        </w:tc>
      </w:tr>
      <w:tr>
        <w:tc>
          <w:tcPr>
            <w:tcW w:type="dxa" w:w="41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Low</w:t>
            </w:r>
          </w:p>
        </w:tc>
        <w:tc>
          <w:tcPr>
            <w:tcW w:type="dxa" w:w="5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WP-0001, WP-0002, WP-0006</w:t>
            </w:r>
          </w:p>
        </w:tc>
      </w:tr>
      <w:tr>
        <w:tc>
          <w:tcPr>
            <w:tcW w:type="dxa" w:w="41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Low–Medium</w:t>
            </w:r>
          </w:p>
        </w:tc>
        <w:tc>
          <w:tcPr>
            <w:tcW w:type="dxa" w:w="52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WP-0005</w:t>
            </w:r>
          </w:p>
        </w:tc>
      </w:tr>
      <w:tr>
        <w:tc>
          <w:tcPr>
            <w:tcW w:type="dxa" w:w="416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Low (doc) to High (if retrofit triggered)</w:t>
            </w:r>
          </w:p>
        </w:tc>
        <w:tc>
          <w:tcPr>
            <w:tcW w:type="dxa" w:w="520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WP-0004</w:t>
            </w:r>
          </w:p>
        </w:tc>
      </w:tr>
      <w:tr>
        <w:tc>
          <w:tcPr>
            <w:tcW w:type="dxa" w:w="416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Medium (assessment); High if migration chosen</w:t>
            </w:r>
          </w:p>
        </w:tc>
        <w:tc>
          <w:tcPr>
            <w:tcW w:type="dxa" w:w="520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WP-0003</w:t>
            </w:r>
          </w:p>
        </w:tc>
      </w:tr>
    </w:tbl>
    <w:p>
      <w:pPr>
        <w:spacing w:after="160"/>
      </w:pPr>
      <w:r>
        <w:rPr>
          <w:rFonts w:ascii="Calibri" w:cs="Calibri" w:eastAsia="Calibri" w:hAnsi="Calibri"/>
          <w:sz w:val="21"/>
          <w:szCs w:val="21"/>
        </w:rPr>
        <w:t xml:space="preserve">Approved implementation scope is limited to Portfolios 1, 2, and 8 across Waves 1–3. Portfolios 3–7 and Waves 4–5 are future enterprise expansion only — no engineering profile, ownership, or deliverable is populated against them in this catalog.</w:t>
      </w:r>
    </w:p>
    <w:p>
      <w:pPr>
        <w:pStyle w:val="Heading1"/>
        <w:spacing w:after="200" w:before="400"/>
      </w:pPr>
      <w:r>
        <w:t xml:space="preserve">4. Enterprise Dependency Matrix</w:t>
      </w:r>
    </w:p>
    <w:p>
      <w:pPr>
        <w:pStyle w:val="Heading3"/>
        <w:spacing w:after="120" w:before="240"/>
      </w:pPr>
      <w:r>
        <w:t xml:space="preserve">Work Package Sequencing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56"/>
        <w:gridCol w:w="1040"/>
        <w:gridCol w:w="3120"/>
        <w:gridCol w:w="3744"/>
      </w:tblGrid>
      <w:tr>
        <w:trPr>
          <w:tblHeader/>
        </w:trPr>
        <w:tc>
          <w:tcPr>
            <w:tcW w:type="dxa" w:w="1456"/>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Work Package</w:t>
            </w:r>
          </w:p>
        </w:tc>
        <w:tc>
          <w:tcPr>
            <w:tcW w:type="dxa" w:w="104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Wave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Depends On</w:t>
            </w:r>
          </w:p>
        </w:tc>
        <w:tc>
          <w:tcPr>
            <w:tcW w:type="dxa" w:w="3744"/>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Blocks / Enables</w:t>
            </w:r>
          </w:p>
        </w:tc>
      </w:tr>
      <w:tr>
        <w:tc>
          <w:tcPr>
            <w:tcW w:type="dxa" w:w="145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WP-0006</w:t>
            </w:r>
          </w:p>
        </w:tc>
        <w:tc>
          <w:tcPr>
            <w:tcW w:type="dxa" w:w="1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Wave 1</w:t>
            </w:r>
          </w:p>
        </w:tc>
        <w:tc>
          <w:tcPr>
            <w:tcW w:type="dxa" w:w="31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None</w:t>
            </w:r>
          </w:p>
        </w:tc>
        <w:tc>
          <w:tcPr>
            <w:tcW w:type="dxa" w:w="3744"/>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Accountable execution for every other Work Package (organizational precondition, not a technical one)</w:t>
            </w:r>
          </w:p>
        </w:tc>
      </w:tr>
      <w:tr>
        <w:tc>
          <w:tcPr>
            <w:tcW w:type="dxa" w:w="1456"/>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WP-0002</w:t>
            </w:r>
          </w:p>
        </w:tc>
        <w:tc>
          <w:tcPr>
            <w:tcW w:type="dxa" w:w="10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Wave 1</w:t>
            </w:r>
          </w:p>
        </w:tc>
        <w:tc>
          <w:tcPr>
            <w:tcW w:type="dxa" w:w="312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None</w:t>
            </w:r>
          </w:p>
        </w:tc>
        <w:tc>
          <w:tcPr>
            <w:tcW w:type="dxa" w:w="3744"/>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Certification L4 for AR-0007; closes the one open security unknown</w:t>
            </w:r>
          </w:p>
        </w:tc>
      </w:tr>
      <w:tr>
        <w:tc>
          <w:tcPr>
            <w:tcW w:type="dxa" w:w="145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WP-0001</w:t>
            </w:r>
          </w:p>
        </w:tc>
        <w:tc>
          <w:tcPr>
            <w:tcW w:type="dxa" w:w="1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Wave 2</w:t>
            </w:r>
          </w:p>
        </w:tc>
        <w:tc>
          <w:tcPr>
            <w:tcW w:type="dxa" w:w="31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WP-0006 (recommended, not blocking)</w:t>
            </w:r>
          </w:p>
        </w:tc>
        <w:tc>
          <w:tcPr>
            <w:tcW w:type="dxa" w:w="3744"/>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Certification L4 for AR-0002; naming clarity for WP-0004/WP-0005</w:t>
            </w:r>
          </w:p>
        </w:tc>
      </w:tr>
      <w:tr>
        <w:tc>
          <w:tcPr>
            <w:tcW w:type="dxa" w:w="1456"/>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WP-0004</w:t>
            </w:r>
          </w:p>
        </w:tc>
        <w:tc>
          <w:tcPr>
            <w:tcW w:type="dxa" w:w="10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Wave 2</w:t>
            </w:r>
          </w:p>
        </w:tc>
        <w:tc>
          <w:tcPr>
            <w:tcW w:type="dxa" w:w="312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WP-0001 (optional, non-blocking)</w:t>
            </w:r>
          </w:p>
        </w:tc>
        <w:tc>
          <w:tcPr>
            <w:tcW w:type="dxa" w:w="3744"/>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Ongoing condition monitoring for AR-0003</w:t>
            </w:r>
          </w:p>
        </w:tc>
      </w:tr>
      <w:tr>
        <w:tc>
          <w:tcPr>
            <w:tcW w:type="dxa" w:w="145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WP-0005</w:t>
            </w:r>
          </w:p>
        </w:tc>
        <w:tc>
          <w:tcPr>
            <w:tcW w:type="dxa" w:w="10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Wave 2</w:t>
            </w:r>
          </w:p>
        </w:tc>
        <w:tc>
          <w:tcPr>
            <w:tcW w:type="dxa" w:w="312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WP-0002 (optional, non-blocking)</w:t>
            </w:r>
          </w:p>
        </w:tc>
        <w:tc>
          <w:tcPr>
            <w:tcW w:type="dxa" w:w="3744"/>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Column-level protection decision, extending AR-0007</w:t>
            </w:r>
          </w:p>
        </w:tc>
      </w:tr>
      <w:tr>
        <w:tc>
          <w:tcPr>
            <w:tcW w:type="dxa" w:w="1456"/>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WP-0003</w:t>
            </w:r>
          </w:p>
        </w:tc>
        <w:tc>
          <w:tcPr>
            <w:tcW w:type="dxa" w:w="10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Wave 3</w:t>
            </w:r>
          </w:p>
        </w:tc>
        <w:tc>
          <w:tcPr>
            <w:tcW w:type="dxa" w:w="312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External row-count/growth data (not yet gathered); EGD-0004 trigger</w:t>
            </w:r>
          </w:p>
        </w:tc>
        <w:tc>
          <w:tcPr>
            <w:tcW w:type="dxa" w:w="3744"/>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Partitioning decision for AR-0004, once triggered</w:t>
            </w:r>
          </w:p>
        </w:tc>
      </w:tr>
    </w:tbl>
    <w:p>
      <w:pPr>
        <w:pStyle w:val="Heading3"/>
        <w:spacing w:after="120" w:before="240"/>
      </w:pPr>
      <w:r>
        <w:t xml:space="preserve">Critical Path</w:t>
      </w:r>
    </w:p>
    <w:p>
      <w:pPr>
        <w:spacing w:after="160"/>
      </w:pPr>
      <w:r>
        <w:rPr>
          <w:rFonts w:ascii="Calibri" w:cs="Calibri" w:eastAsia="Calibri" w:hAnsi="Calibri"/>
          <w:b w:val="false"/>
          <w:bCs w:val="false"/>
          <w:sz w:val="21"/>
          <w:szCs w:val="21"/>
        </w:rPr>
        <w:t xml:space="preserve">WP-0006 (owner assignment, days) → WP-0002 (RLS verification, 1–2 days, parallel) → WP-0001 (documentation revision, 1 session, under the newly-assigned owner) → WP-0004 / WP-0005 (parallel, low effort) → Production Ready milestone. WP-0003 and Portfolios 3–7 sit outside this critical path entirely, gated on external triggers or future assessments rather than on any item within it (Phase B §7).</w:t>
      </w:r>
    </w:p>
    <w:p>
      <w:pPr>
        <w:pStyle w:val="Heading3"/>
        <w:spacing w:after="120" w:before="240"/>
      </w:pPr>
      <w:r>
        <w:t xml:space="preserve">Parallel Execution Opportunities</w:t>
      </w:r>
    </w:p>
    <w:p>
      <w:pPr>
        <w:pStyle w:val="ListParagraph"/>
        <w:numPr>
          <w:ilvl w:val="0"/>
          <w:numId w:val="1"/>
        </w:numPr>
        <w:spacing w:after="80"/>
      </w:pPr>
      <w:r>
        <w:rPr>
          <w:rFonts w:ascii="Calibri" w:cs="Calibri" w:eastAsia="Calibri" w:hAnsi="Calibri"/>
          <w:sz w:val="21"/>
          <w:szCs w:val="21"/>
        </w:rPr>
        <w:t xml:space="preserve">WP-0002 and WP-0006 (Wave 1) — no dependency on each other; both startable immediately.</w:t>
      </w:r>
    </w:p>
    <w:p>
      <w:pPr>
        <w:pStyle w:val="ListParagraph"/>
        <w:numPr>
          <w:ilvl w:val="0"/>
          <w:numId w:val="1"/>
        </w:numPr>
        <w:spacing w:after="80"/>
      </w:pPr>
      <w:r>
        <w:rPr>
          <w:rFonts w:ascii="Calibri" w:cs="Calibri" w:eastAsia="Calibri" w:hAnsi="Calibri"/>
          <w:sz w:val="21"/>
          <w:szCs w:val="21"/>
        </w:rPr>
        <w:t xml:space="preserve">WP-0001, WP-0004, and WP-0005 (Wave 2) — each benefits from, but is not blocked by, its respective Wave 1 predecessor; all three can proceed in parallel once Wave 1 completes.</w:t>
      </w:r>
    </w:p>
    <w:p>
      <w:pPr>
        <w:pStyle w:val="Heading3"/>
        <w:spacing w:after="120" w:before="240"/>
      </w:pPr>
      <w:r>
        <w:t xml:space="preserve">Trigger-Based Execution</w:t>
      </w:r>
    </w:p>
    <w:p>
      <w:pPr>
        <w:spacing w:after="160"/>
      </w:pPr>
      <w:r>
        <w:rPr>
          <w:rFonts w:ascii="Calibri" w:cs="Calibri" w:eastAsia="Calibri" w:hAnsi="Calibri"/>
          <w:sz w:val="21"/>
          <w:szCs w:val="21"/>
        </w:rPr>
        <w:t xml:space="preserve">WP-0003 alone is trigger-gated: it begins only once EGD-0004's threshold (10M rows, latency degradation, or a 10-downstream-system scale target) is met, consistent with this program's own demonstrated pattern of partitioning only once volume actually justifies it (Phase A.2, ADR-004).</w:t>
      </w:r>
    </w:p>
    <w:p>
      <w:pPr>
        <w:pStyle w:val="Heading3"/>
        <w:spacing w:after="120" w:before="240"/>
      </w:pPr>
      <w:r>
        <w:t xml:space="preserve">Governance Dependencies</w:t>
      </w:r>
    </w:p>
    <w:p>
      <w:pPr>
        <w:spacing w:after="160"/>
      </w:pPr>
      <w:r>
        <w:rPr>
          <w:rFonts w:ascii="Calibri" w:cs="Calibri" w:eastAsia="Calibri" w:hAnsi="Calibri"/>
          <w:sz w:val="21"/>
          <w:szCs w:val="21"/>
        </w:rPr>
        <w:t xml:space="preserve">Every Work Package's governing EGD is already dispositioned in Phase A.3 §4 — none requires new governance to begin. WP-0006 is the sole precondition for governance decisions to carry accountable, rather than aspirational, ownership.</w:t>
      </w:r>
    </w:p>
    <w:p>
      <w:pPr>
        <w:pStyle w:val="Heading3"/>
        <w:spacing w:after="120" w:before="240"/>
      </w:pPr>
      <w:r>
        <w:t xml:space="preserve">Portfolio Dependencies</w:t>
      </w:r>
    </w:p>
    <w:p>
      <w:pPr>
        <w:spacing w:after="160"/>
      </w:pPr>
      <w:r>
        <w:rPr>
          <w:rFonts w:ascii="Calibri" w:cs="Calibri" w:eastAsia="Calibri" w:hAnsi="Calibri"/>
          <w:sz w:val="21"/>
          <w:szCs w:val="21"/>
        </w:rPr>
        <w:t xml:space="preserve">Portfolios 3–7 are blocked on prerequisite realization assessments that do not yet exist — this is a portfolio-level evidence gap, not a Work-Package-level dependency, since no Work Package exists in those portfolios to depend on anything.</w:t>
      </w:r>
    </w:p>
    <w:p>
      <w:pPr>
        <w:pStyle w:val="Heading3"/>
        <w:spacing w:after="120" w:before="240"/>
      </w:pPr>
      <w:r>
        <w:t xml:space="preserve">Milestone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3640"/>
        <w:gridCol w:w="3640"/>
      </w:tblGrid>
      <w:tr>
        <w:trPr>
          <w:tblHeader/>
        </w:trPr>
        <w:tc>
          <w:tcPr>
            <w:tcW w:type="dxa" w:w="208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Milestone</w:t>
            </w:r>
          </w:p>
        </w:tc>
        <w:tc>
          <w:tcPr>
            <w:tcW w:type="dxa" w:w="364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Entry Criteria</w:t>
            </w:r>
          </w:p>
        </w:tc>
        <w:tc>
          <w:tcPr>
            <w:tcW w:type="dxa" w:w="3640"/>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Exit Criteria</w:t>
            </w:r>
          </w:p>
        </w:tc>
      </w:tr>
      <w:tr>
        <w:tc>
          <w:tcPr>
            <w:tcW w:type="dxa" w:w="20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Governance Operational</w:t>
            </w:r>
          </w:p>
        </w:tc>
        <w:tc>
          <w:tcPr>
            <w:tcW w:type="dxa" w:w="36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Baseline Complete met</w:t>
            </w:r>
          </w:p>
        </w:tc>
        <w:tc>
          <w:tcPr>
            <w:tcW w:type="dxa" w:w="36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WP-0006 executed — every EGD/WP has a named, accountable owner</w:t>
            </w:r>
          </w:p>
        </w:tc>
      </w:tr>
      <w:tr>
        <w:tc>
          <w:tcPr>
            <w:tcW w:type="dxa" w:w="208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Critical Security Complete</w:t>
            </w:r>
          </w:p>
        </w:tc>
        <w:tc>
          <w:tcPr>
            <w:tcW w:type="dxa" w:w="36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Governance Operational (recommended, not strictly blocking)</w:t>
            </w:r>
          </w:p>
        </w:tc>
        <w:tc>
          <w:tcPr>
            <w:tcW w:type="dxa" w:w="36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WP-0002 executed — written RLS confirmation for every student-owned table</w:t>
            </w:r>
          </w:p>
        </w:tc>
      </w:tr>
      <w:tr>
        <w:tc>
          <w:tcPr>
            <w:tcW w:type="dxa" w:w="208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Data Platform Ready</w:t>
            </w:r>
          </w:p>
        </w:tc>
        <w:tc>
          <w:tcPr>
            <w:tcW w:type="dxa" w:w="36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Governance Operational</w:t>
            </w:r>
          </w:p>
        </w:tc>
        <w:tc>
          <w:tcPr>
            <w:tcW w:type="dxa" w:w="3640"/>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WP-0001, WP-0003 (if triggered), WP-0004, WP-0005 executed</w:t>
            </w:r>
          </w:p>
        </w:tc>
      </w:tr>
      <w:tr>
        <w:tc>
          <w:tcPr>
            <w:tcW w:type="dxa" w:w="208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Production Ready</w:t>
            </w:r>
          </w:p>
        </w:tc>
        <w:tc>
          <w:tcPr>
            <w:tcW w:type="dxa" w:w="36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Critical Security Complete + Data Platform Ready</w:t>
            </w:r>
          </w:p>
        </w:tc>
        <w:tc>
          <w:tcPr>
            <w:tcW w:type="dxa" w:w="3640"/>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All Wave 1–3 Work Packages executed and verified</w:t>
            </w:r>
          </w:p>
        </w:tc>
      </w:tr>
    </w:tbl>
    <w:p>
      <w:pPr>
        <w:pStyle w:val="Heading3"/>
        <w:spacing w:after="120" w:before="240"/>
      </w:pPr>
      <w:r>
        <w:t xml:space="preserve">Overall Implementation Critical Path</w:t>
      </w:r>
    </w:p>
    <w:p>
      <w:pPr>
        <w:spacing w:after="160"/>
      </w:pPr>
      <w:r>
        <w:rPr>
          <w:rFonts w:ascii="Calibri" w:cs="Calibri" w:eastAsia="Calibri" w:hAnsi="Calibri"/>
          <w:sz w:val="21"/>
          <w:szCs w:val="21"/>
        </w:rPr>
        <w:t xml:space="preserve">The critical path runs entirely through Portfolios 1, 2, and 8: WP-0006 → WP-0002 → WP-0001 → (WP-0004 ∥ WP-0005) → Production Ready. WP-0003 is the only Work Package outside this path, and Portfolios 3–7 contribute no path segment at all, since they carry no approved Work Package.</w:t>
      </w:r>
    </w:p>
    <w:p>
      <w:pPr>
        <w:pStyle w:val="Heading1"/>
        <w:spacing w:after="200" w:before="400"/>
      </w:pPr>
      <w:r>
        <w:t xml:space="preserve">5. Engineering Readiness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96"/>
        <w:gridCol w:w="6864"/>
      </w:tblGrid>
      <w:tr>
        <w:trPr>
          <w:tblHeader/>
        </w:trPr>
        <w:tc>
          <w:tcPr>
            <w:tcW w:type="dxa" w:w="2496"/>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Dimension</w:t>
            </w:r>
          </w:p>
        </w:tc>
        <w:tc>
          <w:tcPr>
            <w:tcW w:type="dxa" w:w="6864"/>
            <w:tcBorders>
              <w:top w:val="single" w:color="BFBFBF" w:sz="2"/>
              <w:left w:val="single" w:color="BFBFBF" w:sz="2"/>
              <w:bottom w:val="single" w:color="BFBFBF" w:sz="2"/>
              <w:right w:val="single" w:color="BFBFBF" w:sz="2"/>
            </w:tcBorders>
            <w:shd w:fill="1F3864" w:val="clear"/>
            <w:tcMar>
              <w:top w:type="dxa" w:w="60"/>
              <w:left w:type="dxa" w:w="100"/>
              <w:bottom w:type="dxa" w:w="60"/>
              <w:right w:type="dxa" w:w="100"/>
            </w:tcMar>
            <w:vAlign w:val="center"/>
          </w:tcPr>
          <w:p>
            <w:pPr>
              <w:spacing w:after="0"/>
            </w:pPr>
            <w:r>
              <w:rPr>
                <w:rFonts w:ascii="Calibri" w:cs="Calibri" w:eastAsia="Calibri" w:hAnsi="Calibri"/>
                <w:b/>
                <w:bCs/>
                <w:color w:val="FFFFFF"/>
                <w:sz w:val="19"/>
                <w:szCs w:val="19"/>
              </w:rPr>
              <w:t xml:space="preserve">Assessment</w:t>
            </w:r>
          </w:p>
        </w:tc>
      </w:tr>
      <w:tr>
        <w:tc>
          <w:tcPr>
            <w:tcW w:type="dxa" w:w="249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Engineering Readiness</w:t>
            </w:r>
          </w:p>
        </w:tc>
        <w:tc>
          <w:tcPr>
            <w:tcW w:type="dxa" w:w="6864"/>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Wave 1 (WP-0002, WP-0006) is startable immediately with zero blocking dependency. Wave 2 (WP-0001, WP-0004, WP-0005) is ready to follow. Wave 3 (WP-0003) is not ready — trigger not yet fired.</w:t>
            </w:r>
          </w:p>
        </w:tc>
      </w:tr>
      <w:tr>
        <w:tc>
          <w:tcPr>
            <w:tcW w:type="dxa" w:w="2496"/>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Repository Readiness</w:t>
            </w:r>
          </w:p>
        </w:tc>
        <w:tc>
          <w:tcPr>
            <w:tcW w:type="dxa" w:w="6864"/>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Sound independently of Phase A conformance — no integrity or engineering-quality blocker was found in Phase A.1 §15.</w:t>
            </w:r>
          </w:p>
        </w:tc>
      </w:tr>
      <w:tr>
        <w:tc>
          <w:tcPr>
            <w:tcW w:type="dxa" w:w="249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Governance Readiness</w:t>
            </w:r>
          </w:p>
        </w:tc>
        <w:tc>
          <w:tcPr>
            <w:tcW w:type="dxa" w:w="6864"/>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Complete for the three active portfolios — every Work Package traces to a dispositioned EGD (Phase A.3 §4). Not applicable for Portfolios 3–7 (no scope yet).</w:t>
            </w:r>
          </w:p>
        </w:tc>
      </w:tr>
      <w:tr>
        <w:tc>
          <w:tcPr>
            <w:tcW w:type="dxa" w:w="2496"/>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Documentation Readiness</w:t>
            </w:r>
          </w:p>
        </w:tc>
        <w:tc>
          <w:tcPr>
            <w:tcW w:type="dxa" w:w="6864"/>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WP-0001 (the primary documentation deliverable) is not yet started; KPI-02 Documentation Accuracy % remains at its 30/100 baseline pending completion.</w:t>
            </w:r>
          </w:p>
        </w:tc>
      </w:tr>
      <w:tr>
        <w:tc>
          <w:tcPr>
            <w:tcW w:type="dxa" w:w="249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Resource Readiness</w:t>
            </w:r>
          </w:p>
        </w:tc>
        <w:tc>
          <w:tcPr>
            <w:tcW w:type="dxa" w:w="6864"/>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Not met — KPI-08 Ownership Assignment % = 0%. This is the single readiness gap across the entire catalog, and WP-0006 exists specifically to close it.</w:t>
            </w:r>
          </w:p>
        </w:tc>
      </w:tr>
      <w:tr>
        <w:tc>
          <w:tcPr>
            <w:tcW w:type="dxa" w:w="2496"/>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Dependency Readiness</w:t>
            </w:r>
          </w:p>
        </w:tc>
        <w:tc>
          <w:tcPr>
            <w:tcW w:type="dxa" w:w="6864"/>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Fully mapped (§4 above). The only external dependency is row-count/growth data for WP-0003, which does not block Waves 1–2.</w:t>
            </w:r>
          </w:p>
        </w:tc>
      </w:tr>
      <w:tr>
        <w:tc>
          <w:tcPr>
            <w:tcW w:type="dxa" w:w="2496"/>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Testing Readiness</w:t>
            </w:r>
          </w:p>
        </w:tc>
        <w:tc>
          <w:tcPr>
            <w:tcW w:type="dxa" w:w="6864"/>
            <w:tcBorders>
              <w:top w:val="single" w:color="BFBFBF" w:sz="2"/>
              <w:left w:val="single" w:color="BFBFBF" w:sz="2"/>
              <w:bottom w:val="single" w:color="BFBFBF" w:sz="2"/>
              <w:right w:val="single" w:color="BFBFBF" w:sz="2"/>
            </w:tcBorders>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WP-0002's written RLS confirmation method is fully defined and ready to execute; it is the adopted template for future Realize-class verification (Section 1 §7).</w:t>
            </w:r>
          </w:p>
        </w:tc>
      </w:tr>
      <w:tr>
        <w:tc>
          <w:tcPr>
            <w:tcW w:type="dxa" w:w="2496"/>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Overall Execution Readiness</w:t>
            </w:r>
          </w:p>
        </w:tc>
        <w:tc>
          <w:tcPr>
            <w:tcW w:type="dxa" w:w="6864"/>
            <w:tcBorders>
              <w:top w:val="single" w:color="BFBFBF" w:sz="2"/>
              <w:left w:val="single" w:color="BFBFBF" w:sz="2"/>
              <w:bottom w:val="single" w:color="BFBFBF" w:sz="2"/>
              <w:right w:val="single" w:color="BFBFBF" w:sz="2"/>
            </w:tcBorders>
            <w:shd w:fill="F2F2F2" w:val="clear"/>
            <w:tcMar>
              <w:top w:type="dxa" w:w="60"/>
              <w:left w:type="dxa" w:w="100"/>
              <w:bottom w:type="dxa" w:w="60"/>
              <w:right w:type="dxa" w:w="100"/>
            </w:tcMar>
            <w:vAlign w:val="center"/>
          </w:tcPr>
          <w:p>
            <w:pPr>
              <w:spacing w:after="0"/>
            </w:pPr>
            <w:r>
              <w:rPr>
                <w:rFonts w:ascii="Calibri" w:cs="Calibri" w:eastAsia="Calibri" w:hAnsi="Calibri"/>
                <w:b w:val="false"/>
                <w:bCs w:val="false"/>
                <w:color w:val="000000"/>
                <w:sz w:val="19"/>
                <w:szCs w:val="19"/>
              </w:rPr>
              <w:t xml:space="preserve">READY WITH CONDITIONS — Wave 1 may begin immediately. The single condition, carried forward unchanged from Phase A.3 and Phase B, is that Resource Readiness is not yet met; this catalog should be treated as immediately startable, not yet fully executable, until WP-0006 closes that gap.</w:t>
            </w:r>
          </w:p>
        </w:tc>
      </w:tr>
    </w:tbl>
    <w:p>
      <w:pPr>
        <w:spacing w:after="160"/>
      </w:pPr>
      <w:r>
        <w:rPr>
          <w:rFonts w:ascii="Calibri" w:cs="Calibri" w:eastAsia="Calibri" w:hAnsi="Calibri"/>
          <w:sz w:val="21"/>
          <w:szCs w:val="21"/>
        </w:rPr>
        <w:t xml:space="preserve">Base all assessments solely on approved evidence: this assessment introduces no new readiness dimension beyond those already scored in Phase A.3 §15 and Phase B §14, applied here at the Work Package level.</w:t>
      </w:r>
    </w:p>
    <w:p>
      <w:pPr>
        <w:pStyle w:val="Heading1"/>
        <w:spacing w:after="200" w:before="400"/>
      </w:pPr>
      <w:r>
        <w:t xml:space="preserve">6. Executive Summary</w:t>
      </w:r>
    </w:p>
    <w:p>
      <w:pPr>
        <w:spacing w:after="160"/>
      </w:pPr>
      <w:r>
        <w:rPr>
          <w:rFonts w:ascii="Calibri" w:cs="Calibri" w:eastAsia="Calibri" w:hAnsi="Calibri"/>
          <w:sz w:val="21"/>
          <w:szCs w:val="21"/>
        </w:rPr>
        <w:t xml:space="preserve">This Enterprise Work Package Engineering Catalog transforms the approved Phase B realization roadmap into a structured engineering execution inventory for WP-0001 through WP-0006 — the complete, currently-approved Work Package set within Portfolios 1 (Enterprise Data Platform), 2 (Enterprise Security), and 8 (Governance &amp; Quality).</w:t>
      </w:r>
    </w:p>
    <w:p>
      <w:pPr>
        <w:pStyle w:val="Heading3"/>
        <w:spacing w:after="120" w:before="240"/>
      </w:pPr>
      <w:r>
        <w:t xml:space="preserve">Architecture Integrity</w:t>
      </w:r>
    </w:p>
    <w:p>
      <w:pPr>
        <w:spacing w:after="160"/>
      </w:pPr>
      <w:r>
        <w:rPr>
          <w:rFonts w:ascii="Calibri" w:cs="Calibri" w:eastAsia="Calibri" w:hAnsi="Calibri"/>
          <w:sz w:val="21"/>
          <w:szCs w:val="21"/>
        </w:rPr>
        <w:t xml:space="preserve">Every Work Package profile traces to its exact AR/EGD/ER/VAR/KPI evidence from Phase A.3, with no reinterpretation of any governance decision already made.</w:t>
      </w:r>
    </w:p>
    <w:p>
      <w:pPr>
        <w:pStyle w:val="Heading3"/>
        <w:spacing w:after="120" w:before="240"/>
      </w:pPr>
      <w:r>
        <w:t xml:space="preserve">Governance Integrity</w:t>
      </w:r>
    </w:p>
    <w:p>
      <w:pPr>
        <w:spacing w:after="160"/>
      </w:pPr>
      <w:r>
        <w:rPr>
          <w:rFonts w:ascii="Calibri" w:cs="Calibri" w:eastAsia="Calibri" w:hAnsi="Calibri"/>
          <w:sz w:val="21"/>
          <w:szCs w:val="21"/>
        </w:rPr>
        <w:t xml:space="preserve">No Work Package in this catalog proceeds without an already-dispositioned EGD. WP-0006 remains the single precondition for every other Work Package carrying accountable, rather than aspirational, ownership.</w:t>
      </w:r>
    </w:p>
    <w:p>
      <w:pPr>
        <w:pStyle w:val="Heading3"/>
        <w:spacing w:after="120" w:before="240"/>
      </w:pPr>
      <w:r>
        <w:t xml:space="preserve">Evidence-Based Implementation</w:t>
      </w:r>
    </w:p>
    <w:p>
      <w:pPr>
        <w:spacing w:after="160"/>
      </w:pPr>
      <w:r>
        <w:rPr>
          <w:rFonts w:ascii="Calibri" w:cs="Calibri" w:eastAsia="Calibri" w:hAnsi="Calibri"/>
          <w:sz w:val="21"/>
          <w:szCs w:val="21"/>
        </w:rPr>
        <w:t xml:space="preserve">Every scope, deliverable, dependency, and criterion in this catalog is either reused directly from Phase A.3, Phase B, and Section 1, or is a direct, non-speculative decomposition of that evidence into engineering-profile format. Nothing is asserted beyond what the approved repositories support.</w:t>
      </w:r>
    </w:p>
    <w:p>
      <w:pPr>
        <w:pStyle w:val="Heading3"/>
        <w:spacing w:after="120" w:before="240"/>
      </w:pPr>
      <w:r>
        <w:t xml:space="preserve">Complete Traceability</w:t>
      </w:r>
    </w:p>
    <w:p>
      <w:pPr>
        <w:spacing w:after="160"/>
      </w:pPr>
      <w:r>
        <w:rPr>
          <w:rFonts w:ascii="Calibri" w:cs="Calibri" w:eastAsia="Calibri" w:hAnsi="Calibri"/>
          <w:sz w:val="21"/>
          <w:szCs w:val="21"/>
        </w:rPr>
        <w:t xml:space="preserve">The full chain — Architecture Requirement → Enterprise Governance Decision → Repository Evidence → Implementation Status → Work Package → Portfolio → Wave → Milestone → Owner → Verification Method → Certification Level — is preserved intact for every Work Package in this catalog.</w:t>
      </w:r>
    </w:p>
    <w:p>
      <w:pPr>
        <w:pStyle w:val="Heading3"/>
        <w:spacing w:after="120" w:before="240"/>
      </w:pPr>
      <w:r>
        <w:t xml:space="preserve">Engineering Readiness</w:t>
      </w:r>
    </w:p>
    <w:p>
      <w:pPr>
        <w:spacing w:after="160"/>
      </w:pPr>
      <w:r>
        <w:rPr>
          <w:rFonts w:ascii="Calibri" w:cs="Calibri" w:eastAsia="Calibri" w:hAnsi="Calibri"/>
          <w:sz w:val="21"/>
          <w:szCs w:val="21"/>
        </w:rPr>
        <w:t xml:space="preserve">Wave 1 (WP-0002, WP-0006) is ready to execute today. The catalog's overall status is READY WITH CONDITIONS, gated on the single readiness item every prior phase has already identified: named ownership (KPI-08). Portfolios 3–7 and Waves 4–5 remain correctly excluded from this catalog's implementation scope, to be populated only once a future ERP-01 phase produces the realization evidence they require.</w:t>
      </w:r>
    </w:p>
    <w:p>
      <w:pPr>
        <w:shd w:fill="FDEBD0" w:val="clear"/>
        <w:spacing w:after="160"/>
      </w:pPr>
      <w:r>
        <w:rPr>
          <w:rFonts w:ascii="Calibri" w:cs="Calibri" w:eastAsia="Calibri" w:hAnsi="Calibri"/>
          <w:i/>
          <w:iCs/>
          <w:color w:val="833C0C"/>
          <w:sz w:val="20"/>
          <w:szCs w:val="20"/>
        </w:rPr>
        <w:t xml:space="preserve">This document introduces no new Architecture Requirement, Enterprise Governance Decision, Enterprise Resolution, Variance, Work Package, Portfolio, Wave, Milestone, or KPI identifier, and asserts no implementation authority beyond what Phase A.3, Phase B, and Phase C Section 1 already establish. It is the authoritative engineering inventory for all remaining sections of ERP-01 Phase C.</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180" w:before="360"/>
    </w:pPr>
    <w:rPr>
      <w:rFonts w:ascii="Calibri" w:cs="Calibri" w:eastAsia="Calibri" w:hAnsi="Calibri"/>
      <w:b/>
      <w:bCs/>
      <w:color w:val="1F3864"/>
      <w:sz w:val="27"/>
      <w:szCs w:val="27"/>
    </w:rPr>
  </w:style>
  <w:style w:type="paragraph" w:styleId="Heading2">
    <w:name w:val="Heading 2"/>
    <w:basedOn w:val="Normal"/>
    <w:next w:val="Normal"/>
    <w:qFormat/>
    <w:pPr>
      <w:spacing w:after="140" w:before="280"/>
    </w:pPr>
    <w:rPr>
      <w:rFonts w:ascii="Calibri" w:cs="Calibri" w:eastAsia="Calibri" w:hAnsi="Calibri"/>
      <w:b/>
      <w:bCs/>
      <w:color w:val="1F3864"/>
      <w:sz w:val="24"/>
      <w:szCs w:val="24"/>
    </w:rPr>
  </w:style>
  <w:style w:type="paragraph" w:styleId="Heading3">
    <w:name w:val="Heading 3"/>
    <w:basedOn w:val="Normal"/>
    <w:next w:val="Normal"/>
    <w:qFormat/>
    <w:pPr>
      <w:spacing w:after="100" w:before="220"/>
    </w:pPr>
    <w:rPr>
      <w:rFonts w:ascii="Calibri" w:cs="Calibri" w:eastAsia="Calibri" w:hAnsi="Calibri"/>
      <w:b/>
      <w:bCs/>
      <w:color w:val="2E539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2026-07-09T04:52:00.407Z</dcterms:created>
  <dcterms:modified xsi:type="dcterms:W3CDTF">2026-07-09T04:52:00.421Z</dcterms:modified>
</cp:coreProperties>
</file>

<file path=docProps/custom.xml><?xml version="1.0" encoding="utf-8"?>
<Properties xmlns="http://schemas.openxmlformats.org/officeDocument/2006/custom-properties" xmlns:vt="http://schemas.openxmlformats.org/officeDocument/2006/docPropsVTypes"/>
</file>