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ERP-01 — Phase C</w:t>
      </w:r>
    </w:p>
    <w:p>
      <w:pPr>
        <w:pStyle w:val="BodyText"/>
      </w:pPr>
      <w:r>
        <w:t xml:space="preserve">Section 4 — Engineering Design Specification</w:t>
      </w:r>
    </w:p>
    <w:p>
      <w:pPr>
        <w:pStyle w:val="BodyText"/>
      </w:pPr>
      <w:r>
        <w:rPr>
          <w:iCs/>
          <w:i/>
        </w:rPr>
        <w:t xml:space="preserve">HireRise Career Intelligence Platform</w:t>
      </w:r>
    </w:p>
    <w:p>
      <w:pPr>
        <w:pStyle w:val="BodyText"/>
      </w:pPr>
      <w:r>
        <w:t xml:space="preserve">Version 1.0 | Status: DRAFT FOR REVIEW</w:t>
      </w:r>
    </w:p>
    <w:p>
      <w:pPr>
        <w:pStyle w:val="BodyText"/>
      </w:pPr>
      <w:r>
        <w:rPr>
          <w:iCs/>
          <w:i/>
        </w:rPr>
        <w:t xml:space="preserve">Authoritative inputs: ERP-01 Phase A.1 — Enterprise Physical Data Model Realization Assessment; Phase A.2 — Enterprise Architecture Governance &amp; Disposition Assessment; Phase A.3 — Enterprise Architecture Baseline &amp; Resolution Repository; Phase B — Enterprise Architecture Realization Roadmap &amp; Portfolio Plan; Phase C Section 1 — Enterprise Work Package Execution Strategy; Phase C Section 2 — Enterprise Work Package Engineering Catalog; Phase C Section 3 — Repository Impact Assessment. No repository re-inspection and no re-governance was performed to produce this document; every design statement below traces to one or more of these seven approved repositories.</w:t>
      </w:r>
    </w:p>
    <w:p>
      <w:pPr>
        <w:pStyle w:val="BodyText"/>
      </w:pPr>
      <w:r>
        <w:t xml:space="preserve">A Note on Scope and Evidence</w:t>
      </w:r>
    </w:p>
    <w:p>
      <w:pPr>
        <w:pStyle w:val="BodyText"/>
      </w:pPr>
      <w:r>
        <w:t xml:space="preserve">This specification produces engineering design detail for exactly the six approved Work Packages established in Phase A.3 §9 and carried through every subsequent ERP-01 Phase C section: WP-0001 through WP-0006, within the three currently-active portfolios (Enterprise Data Platform, Enterprise Security, Governance &amp; Quality). It introduces no new Architecture Requirement, Enterprise Governance Decision, Enterprise Resolution, Variance, Work Package, Portfolio, Wave, Milestone, or KPI identifier. Every design statement below is either (a) a direct restatement of scope, ownership, or dependency detail already established in Section 2, (b) a direct restatement of repository-artifact detail already established in Section 3, or (c) a non-speculative decomposition of that evidence into engineering-design form — sequencing steps, data-flow direction, and design constraints that follow necessarily from the approved scope, without inventing a mechanism the approved repositories do not describe.</w:t>
      </w:r>
    </w:p>
    <w:p>
      <w:pPr>
        <w:pStyle w:val="BodyText"/>
      </w:pPr>
      <w:r>
        <w:rPr>
          <w:iCs/>
          <w:i/>
        </w:rPr>
        <w:t xml:space="preserve">RESERVED FOR FUTURE REALIZATION PHASES — NO APPROVED WORK PACKAGE EXISTS.</w:t>
      </w:r>
      <w:r>
        <w:t xml:space="preserve"> </w:t>
      </w:r>
      <w:r>
        <w:t xml:space="preserve">Portfolios 3 (Enterprise AI), 4 (Business Capabilities), 5 (Knowledge Platform), 6 (Integration Platform), and 7 (Operations &amp; Observability), together with Waves 4–5, remain named, numbered, and structurally reserved per Phase B §3 and Section 1 §1. This specification designs nothing for any of them.</w:t>
      </w:r>
    </w:p>
    <w:p>
      <w:pPr>
        <w:pStyle w:val="BodyText"/>
      </w:pPr>
      <w:r>
        <w:t xml:space="preserve">Two fallback labels are used throughout, carried forward unchanged from Section 3:</w:t>
      </w:r>
      <w:r>
        <w:t xml:space="preserve"> </w:t>
      </w:r>
      <w:r>
        <w:rPr>
          <w:bCs/>
          <w:b/>
        </w:rPr>
        <w:t xml:space="preserve">Not Evidenced in Current Baseline</w:t>
      </w:r>
      <w:r>
        <w:t xml:space="preserve"> </w:t>
      </w:r>
      <w:r>
        <w:t xml:space="preserve">marks a design dimension the approved documents neither confirm nor rule out (most often backend, frontend, infrastructure, and general application-layer detail — Section 1 §7 confirms none of these is approved beyond what supports the physical data model).</w:t>
      </w:r>
      <w:r>
        <w:t xml:space="preserve"> </w:t>
      </w:r>
      <w:r>
        <w:rPr>
          <w:bCs/>
          <w:b/>
        </w:rPr>
        <w:t xml:space="preserve">Reserved for Future Realization Phases</w:t>
      </w:r>
      <w:r>
        <w:t xml:space="preserve"> </w:t>
      </w:r>
      <w:r>
        <w:t xml:space="preserve">marks a dimension belonging to a Portfolio carrying zero approved Work Packages. Neither label is a finding of absence.</w:t>
      </w:r>
    </w:p>
    <w:bookmarkStart w:id="20" w:name="executive-overview"/>
    <w:p>
      <w:pPr>
        <w:pStyle w:val="Heading2"/>
      </w:pPr>
      <w:r>
        <w:t xml:space="preserve">1. Executive Overview</w:t>
      </w:r>
    </w:p>
    <w:p>
      <w:pPr>
        <w:pStyle w:val="FirstParagraph"/>
      </w:pPr>
      <w:r>
        <w:rPr>
          <w:bCs/>
          <w:b/>
        </w:rPr>
        <w:t xml:space="preserve">Purpose.</w:t>
      </w:r>
      <w:r>
        <w:t xml:space="preserve"> </w:t>
      </w:r>
      <w:r>
        <w:t xml:space="preserve">This document is the Engineering Design Specification for ERP-01 Phase C — the architecture-conformant design detail for how each of the six approved Work Packages will be engineered, given the scope Section 2 already fixed and the repository artifacts Section 3 already identified. It is not a Solution Design Document and does not invent implementation detail; it is the last of four Phase C sections that together decompose Phase B’s roadmap into execution-ready form without ever re-opening a decision already made in Phase A.3.</w:t>
      </w:r>
    </w:p>
    <w:p>
      <w:pPr>
        <w:pStyle w:val="BodyText"/>
      </w:pPr>
      <w:r>
        <w:rPr>
          <w:bCs/>
          <w:b/>
        </w:rPr>
        <w:t xml:space="preserve">Relationship with Sections 1–3.</w:t>
      </w:r>
      <w:r>
        <w:t xml:space="preserve"> </w:t>
      </w:r>
      <w:r>
        <w:t xml:space="preserve">Section 1 established the engineering principles and governance checkpoints common to all six Work Packages. Section 2 established each Work Package’s complete engineering profile — governance, scope, ownership, dependencies, deliverables, and entry/exit/acceptance criteria. Section 3 mapped that profile onto concrete repository artifacts across eight repository categories, finding approved impact in exactly three (Documentation, Database, Test). This section takes that repository-impact map and adds the one layer none of the first three sections produced:</w:t>
      </w:r>
      <w:r>
        <w:t xml:space="preserve"> </w:t>
      </w:r>
      <w:r>
        <w:rPr>
          <w:iCs/>
          <w:i/>
        </w:rPr>
        <w:t xml:space="preserve">how</w:t>
      </w:r>
      <w:r>
        <w:t xml:space="preserve"> </w:t>
      </w:r>
      <w:r>
        <w:t xml:space="preserve">each impact is engineered — functional behavior, technical approach, logical sequencing, data flow, security design, error handling, and design constraints — for each Work Package individually.</w:t>
      </w:r>
    </w:p>
    <w:p>
      <w:pPr>
        <w:pStyle w:val="BodyText"/>
      </w:pPr>
      <w:r>
        <w:rPr>
          <w:bCs/>
          <w:b/>
        </w:rPr>
        <w:t xml:space="preserve">Engineering Objectives.</w:t>
      </w:r>
      <w:r>
        <w:t xml:space="preserve"> </w:t>
      </w:r>
      <w:r>
        <w:t xml:space="preserve">Produce a complete, traceable engineering design for WP-0001–WP-0006 that a named owner (once WP-0006 assigns one) could execute directly from this document without needing to re-derive scope from Phase A.3, Phase B, or Sections 1–2. Preserve the full traceability chain — Architecture Requirement → Enterprise Governance Decision → Repository Evidence → Implementation Status → Work Package → Portfolio → Wave → Milestone → Owner → Verification Method → Certification Level — through to a concrete engineering design for every row.</w:t>
      </w:r>
    </w:p>
    <w:p>
      <w:pPr>
        <w:pStyle w:val="BodyText"/>
      </w:pPr>
      <w:r>
        <w:rPr>
          <w:bCs/>
          <w:b/>
        </w:rPr>
        <w:t xml:space="preserve">Design Philosophy.</w:t>
      </w:r>
      <w:r>
        <w:t xml:space="preserve"> </w:t>
      </w:r>
      <w:r>
        <w:t xml:space="preserve">Identical to Section 1 §2’s engineering philosophy, applied at design granularity: architecture is the corrigible source of truth (AP-001); repository evidence governs every design choice (AP-002); no design step is invented beyond what the approved scope (Section 2, Part D) and repository impact (Section 3, §4) already support. Where the master engineering template calls for solution-design detail this baseline’s evidence does not reach — new services, new APIs, new integrations, new AI components — this document states</w:t>
      </w:r>
      <w:r>
        <w:t xml:space="preserve"> </w:t>
      </w:r>
      <w:r>
        <w:rPr>
          <w:bCs/>
          <w:b/>
        </w:rPr>
        <w:t xml:space="preserve">Not Evidenced in Current Baseline</w:t>
      </w:r>
      <w:r>
        <w:t xml:space="preserve"> </w:t>
      </w:r>
      <w:r>
        <w:t xml:space="preserve">rather than filling the gap.</w:t>
      </w:r>
    </w:p>
    <w:p>
      <w:pPr>
        <w:pStyle w:val="BodyText"/>
      </w:pPr>
      <w:r>
        <w:rPr>
          <w:bCs/>
          <w:b/>
        </w:rPr>
        <w:t xml:space="preserve">Architecture Conformance Objectives.</w:t>
      </w:r>
      <w:r>
        <w:t xml:space="preserve"> </w:t>
      </w:r>
      <w:r>
        <w:t xml:space="preserve">Every design below is scoped to move its Work Package’s Architecture Requirement toward Certification Level L4 (Implementation Verified), per the certification framework Phase A.3 §11 established and Phase B, Section 1, and Section 3 each extended unchanged. No design introduces conformance obligations beyond the ten Architecture Requirements (AR-0001–0010) already catalogued.</w:t>
      </w:r>
    </w:p>
    <w:p>
      <w:pPr>
        <w:pStyle w:val="BodyText"/>
      </w:pPr>
      <w:r>
        <w:rPr>
          <w:bCs/>
          <w:b/>
        </w:rPr>
        <w:t xml:space="preserve">Evidence Limitations.</w:t>
      </w:r>
      <w:r>
        <w:t xml:space="preserve"> </w:t>
      </w:r>
      <w:r>
        <w:t xml:space="preserve">This document inherits, unchanged, the evidence limitation Section 3 §1 stated: Phase A.1 §9 explicitly declined to assess repository-layer (backend/frontend/infrastructure) code, and this specification does not perform that inspection retroactively. Wherever a design dimension in the master template presumes backend, frontend, integration, AI, or infrastructure engineering, this document marks it Not Evidenced in Current Baseline rather than designing against unverified assumptions about code that has not been inspected.</w:t>
      </w:r>
    </w:p>
    <w:p>
      <w:pPr>
        <w:pStyle w:val="BodyText"/>
      </w:pPr>
      <w:r>
        <w:rPr>
          <w:bCs/>
          <w:b/>
        </w:rPr>
        <w:t xml:space="preserve">Scope.</w:t>
      </w:r>
      <w:r>
        <w:t xml:space="preserve"> </w:t>
      </w:r>
      <w:r>
        <w:t xml:space="preserve">Engineering design for WP-0001 through WP-0006 only, within Portfolios 1 (Enterprise Data Platform), 2 (Enterprise Security), and 8 (Governance &amp; Quality), across Waves 1–3. Portfolios 3–7 and Waves 4–5 are out of scope in their entirety.</w:t>
      </w:r>
    </w:p>
    <w:bookmarkEnd w:id="20"/>
    <w:bookmarkStart w:id="21" w:name="enterprise-engineering-design-principles"/>
    <w:p>
      <w:pPr>
        <w:pStyle w:val="Heading2"/>
      </w:pPr>
      <w:r>
        <w:t xml:space="preserve">2. Enterprise Engineering Design Principles</w:t>
      </w:r>
    </w:p>
    <w:p>
      <w:pPr>
        <w:pStyle w:val="FirstParagraph"/>
      </w:pPr>
      <w:r>
        <w:t xml:space="preserve">No new engineering principle is introduced beyond the nine established in Phase A.3 §2 and already mapped to execution in Section 1 §2. The table below completes that mapping at design granularity — the same nine principles (AP-001–AP-009), now applied to</w:t>
      </w:r>
      <w:r>
        <w:t xml:space="preserve"> </w:t>
      </w:r>
      <w:r>
        <w:rPr>
          <w:iCs/>
          <w:i/>
        </w:rPr>
        <w:t xml:space="preserve">how</w:t>
      </w:r>
      <w:r>
        <w:t xml:space="preserve"> </w:t>
      </w:r>
      <w:r>
        <w:t xml:space="preserve">each Work Package is designed rather than</w:t>
      </w:r>
      <w:r>
        <w:t xml:space="preserve"> </w:t>
      </w:r>
      <w:r>
        <w:rPr>
          <w:iCs/>
          <w:i/>
        </w:rPr>
        <w:t xml:space="preserve">how</w:t>
      </w:r>
      <w:r>
        <w:t xml:space="preserve"> </w:t>
      </w:r>
      <w:r>
        <w:t xml:space="preserve">it is executed.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Requested Design Principle</w:t>
            </w:r>
          </w:p>
        </w:tc>
        <w:tc>
          <w:tcPr/>
          <w:p>
            <w:pPr>
              <w:pStyle w:val="Compact"/>
              <w:jc w:val="left"/>
            </w:pPr>
            <w:r>
              <w:t xml:space="preserve">Governing Principle</w:t>
            </w:r>
          </w:p>
        </w:tc>
        <w:tc>
          <w:tcPr/>
          <w:p>
            <w:pPr>
              <w:pStyle w:val="Compact"/>
              <w:jc w:val="left"/>
            </w:pPr>
            <w:r>
              <w:t xml:space="preserve">Application at Design Level</w:t>
            </w:r>
          </w:p>
        </w:tc>
      </w:tr>
      <w:tr>
        <w:tc>
          <w:tcPr/>
          <w:p>
            <w:pPr>
              <w:pStyle w:val="Compact"/>
              <w:jc w:val="left"/>
            </w:pPr>
            <w:r>
              <w:t xml:space="preserve">Architecture-first implementation</w:t>
            </w:r>
          </w:p>
        </w:tc>
        <w:tc>
          <w:tcPr/>
          <w:p>
            <w:pPr>
              <w:pStyle w:val="Compact"/>
              <w:jc w:val="left"/>
            </w:pPr>
            <w:r>
              <w:t xml:space="preserve">AP-001</w:t>
            </w:r>
          </w:p>
        </w:tc>
        <w:tc>
          <w:tcPr/>
          <w:p>
            <w:pPr>
              <w:pStyle w:val="Compact"/>
              <w:jc w:val="left"/>
            </w:pPr>
            <w:r>
              <w:t xml:space="preserve">Every design choice below defers to the live, approved schema (Phase A.3 §1.2) as the design’s technical ground truth, not to EEP-01 Phase A’s original, superseded design.</w:t>
            </w:r>
          </w:p>
        </w:tc>
      </w:tr>
      <w:tr>
        <w:tc>
          <w:tcPr/>
          <w:p>
            <w:pPr>
              <w:pStyle w:val="Compact"/>
              <w:jc w:val="left"/>
            </w:pPr>
            <w:r>
              <w:t xml:space="preserve">Evidence-based engineering</w:t>
            </w:r>
          </w:p>
        </w:tc>
        <w:tc>
          <w:tcPr/>
          <w:p>
            <w:pPr>
              <w:pStyle w:val="Compact"/>
              <w:jc w:val="left"/>
            </w:pPr>
            <w:r>
              <w:t xml:space="preserve">AP-002</w:t>
            </w:r>
          </w:p>
        </w:tc>
        <w:tc>
          <w:tcPr/>
          <w:p>
            <w:pPr>
              <w:pStyle w:val="Compact"/>
              <w:jc w:val="left"/>
            </w:pPr>
            <w:r>
              <w:t xml:space="preserve">No design step is asserted without a citation to Phase A.1’s file-level evidence or a direct, non-speculative reading of Section 2/Section 3 scope.</w:t>
            </w:r>
          </w:p>
        </w:tc>
      </w:tr>
      <w:tr>
        <w:tc>
          <w:tcPr/>
          <w:p>
            <w:pPr>
              <w:pStyle w:val="Compact"/>
              <w:jc w:val="left"/>
            </w:pPr>
            <w:r>
              <w:t xml:space="preserve">Repository-first implementation</w:t>
            </w:r>
          </w:p>
        </w:tc>
        <w:tc>
          <w:tcPr/>
          <w:p>
            <w:pPr>
              <w:pStyle w:val="Compact"/>
              <w:jc w:val="left"/>
            </w:pPr>
            <w:r>
              <w:t xml:space="preserve">AP-002; Section 1 §7</w:t>
            </w:r>
          </w:p>
        </w:tc>
        <w:tc>
          <w:tcPr/>
          <w:p>
            <w:pPr>
              <w:pStyle w:val="Compact"/>
              <w:jc w:val="left"/>
            </w:pPr>
            <w:r>
              <w:t xml:space="preserve">Design detail is produced only for the three repository categories Section 3 §2 found evidenced impact in: Documentation, Database, Test.</w:t>
            </w:r>
          </w:p>
        </w:tc>
      </w:tr>
      <w:tr>
        <w:tc>
          <w:tcPr/>
          <w:p>
            <w:pPr>
              <w:pStyle w:val="Compact"/>
              <w:jc w:val="left"/>
            </w:pPr>
            <w:r>
              <w:t xml:space="preserve">Incremental realization</w:t>
            </w:r>
          </w:p>
        </w:tc>
        <w:tc>
          <w:tcPr/>
          <w:p>
            <w:pPr>
              <w:pStyle w:val="Compact"/>
              <w:jc w:val="left"/>
            </w:pPr>
            <w:r>
              <w:t xml:space="preserve">Phase B §2</w:t>
            </w:r>
          </w:p>
        </w:tc>
        <w:tc>
          <w:tcPr/>
          <w:p>
            <w:pPr>
              <w:pStyle w:val="Compact"/>
              <w:jc w:val="left"/>
            </w:pPr>
            <w:r>
              <w:t xml:space="preserve">Each Work Package’s design is scoped to close exactly one Architecture Requirement without disturbing the three already-conformant standards (AR-0008–0010).</w:t>
            </w:r>
          </w:p>
        </w:tc>
      </w:tr>
      <w:tr>
        <w:tc>
          <w:tcPr/>
          <w:p>
            <w:pPr>
              <w:pStyle w:val="Compact"/>
              <w:jc w:val="left"/>
            </w:pPr>
            <w:r>
              <w:t xml:space="preserve">Verification-driven implementation</w:t>
            </w:r>
          </w:p>
        </w:tc>
        <w:tc>
          <w:tcPr/>
          <w:p>
            <w:pPr>
              <w:pStyle w:val="Compact"/>
              <w:jc w:val="left"/>
            </w:pPr>
            <w:r>
              <w:t xml:space="preserve">Section 1 §7; WP-0002’s method</w:t>
            </w:r>
          </w:p>
        </w:tc>
        <w:tc>
          <w:tcPr/>
          <w:p>
            <w:pPr>
              <w:pStyle w:val="Compact"/>
              <w:jc w:val="left"/>
            </w:pPr>
            <w:r>
              <w:t xml:space="preserve">WP-0002’s written, query-evidenced verification method is the adopted design template for every Realize-class Work Package’s verification design (WP-0002, WP-0004, WP-0005).</w:t>
            </w:r>
          </w:p>
        </w:tc>
      </w:tr>
      <w:tr>
        <w:tc>
          <w:tcPr/>
          <w:p>
            <w:pPr>
              <w:pStyle w:val="Compact"/>
              <w:jc w:val="left"/>
            </w:pPr>
            <w:r>
              <w:t xml:space="preserve">Governance-controlled implementation</w:t>
            </w:r>
          </w:p>
        </w:tc>
        <w:tc>
          <w:tcPr/>
          <w:p>
            <w:pPr>
              <w:pStyle w:val="Compact"/>
              <w:jc w:val="left"/>
            </w:pPr>
            <w:r>
              <w:t xml:space="preserve">AP-003 / AP-006</w:t>
            </w:r>
          </w:p>
        </w:tc>
        <w:tc>
          <w:tcPr/>
          <w:p>
            <w:pPr>
              <w:pStyle w:val="Compact"/>
              <w:jc w:val="left"/>
            </w:pPr>
            <w:r>
              <w:t xml:space="preserve">No design below proceeds without its Work Package’s EGD already dispositioned in Phase A.3 §4; none requires new governance to be designed.</w:t>
            </w:r>
          </w:p>
        </w:tc>
      </w:tr>
      <w:tr>
        <w:tc>
          <w:tcPr/>
          <w:p>
            <w:pPr>
              <w:pStyle w:val="Compact"/>
              <w:jc w:val="left"/>
            </w:pPr>
            <w:r>
              <w:t xml:space="preserve">Risk-managed engineering</w:t>
            </w:r>
          </w:p>
        </w:tc>
        <w:tc>
          <w:tcPr/>
          <w:p>
            <w:pPr>
              <w:pStyle w:val="Compact"/>
              <w:jc w:val="left"/>
            </w:pPr>
            <w:r>
              <w:t xml:space="preserve">Phase B §2, §5, §10</w:t>
            </w:r>
          </w:p>
        </w:tc>
        <w:tc>
          <w:tcPr/>
          <w:p>
            <w:pPr>
              <w:pStyle w:val="Compact"/>
              <w:jc w:val="left"/>
            </w:pPr>
            <w:r>
              <w:t xml:space="preserve">Design sequencing for WP-0002 and WP-0006 places their risk-closing activity first, consistent with their Wave 1 placement.</w:t>
            </w:r>
          </w:p>
        </w:tc>
      </w:tr>
      <w:tr>
        <w:tc>
          <w:tcPr/>
          <w:p>
            <w:pPr>
              <w:pStyle w:val="Compact"/>
              <w:jc w:val="left"/>
            </w:pPr>
            <w:r>
              <w:t xml:space="preserve">Documentation-first delivery</w:t>
            </w:r>
          </w:p>
        </w:tc>
        <w:tc>
          <w:tcPr/>
          <w:p>
            <w:pPr>
              <w:pStyle w:val="Compact"/>
              <w:jc w:val="left"/>
            </w:pPr>
            <w:r>
              <w:t xml:space="preserve">Phase A.3 §14; Section 3 §9</w:t>
            </w:r>
          </w:p>
        </w:tc>
        <w:tc>
          <w:tcPr/>
          <w:p>
            <w:pPr>
              <w:pStyle w:val="Compact"/>
              <w:jc w:val="left"/>
            </w:pPr>
            <w:r>
              <w:t xml:space="preserve">WP-0001 and WP-0004’s designs are sequenced to directly remedy the baseline’s dominant, confirmed risk (documentation describing a schema never built) before any other design activity depends on it.</w:t>
            </w:r>
          </w:p>
        </w:tc>
      </w:tr>
      <w:tr>
        <w:tc>
          <w:tcPr/>
          <w:p>
            <w:pPr>
              <w:pStyle w:val="Compact"/>
              <w:jc w:val="left"/>
            </w:pPr>
            <w:r>
              <w:t xml:space="preserve">Trigger-based implementation</w:t>
            </w:r>
          </w:p>
        </w:tc>
        <w:tc>
          <w:tcPr/>
          <w:p>
            <w:pPr>
              <w:pStyle w:val="Compact"/>
              <w:jc w:val="left"/>
            </w:pPr>
            <w:r>
              <w:t xml:space="preserve">AP-008</w:t>
            </w:r>
          </w:p>
        </w:tc>
        <w:tc>
          <w:tcPr/>
          <w:p>
            <w:pPr>
              <w:pStyle w:val="Compact"/>
              <w:jc w:val="left"/>
            </w:pPr>
            <w:r>
              <w:t xml:space="preserve">WP-0003’s entire design is conditional on EGD-0004’s threshold; no design activity beyond quarterly monitoring is specified until the trigger fires.</w:t>
            </w:r>
          </w:p>
        </w:tc>
      </w:tr>
      <w:tr>
        <w:tc>
          <w:tcPr/>
          <w:p>
            <w:pPr>
              <w:pStyle w:val="Compact"/>
              <w:jc w:val="left"/>
            </w:pPr>
            <w:r>
              <w:t xml:space="preserve">Continuous architecture conformance</w:t>
            </w:r>
          </w:p>
        </w:tc>
        <w:tc>
          <w:tcPr/>
          <w:p>
            <w:pPr>
              <w:pStyle w:val="Compact"/>
              <w:jc w:val="left"/>
            </w:pPr>
            <w:r>
              <w:t xml:space="preserve">Phase B §2, §13</w:t>
            </w:r>
          </w:p>
        </w:tc>
        <w:tc>
          <w:tcPr/>
          <w:p>
            <w:pPr>
              <w:pStyle w:val="Compact"/>
              <w:jc w:val="left"/>
            </w:pPr>
            <w:r>
              <w:t xml:space="preserve">Every Work Package’s design includes a conformance-measurement step (KPI-01/KPI-07) at completion, not only at phase boundaries.</w:t>
            </w:r>
          </w:p>
        </w:tc>
      </w:tr>
    </w:tbl>
    <w:bookmarkEnd w:id="21"/>
    <w:bookmarkStart w:id="28" w:name="X36bdf5f8375f4add20125c748d6d2c8a503cee3"/>
    <w:p>
      <w:pPr>
        <w:pStyle w:val="Heading2"/>
      </w:pPr>
      <w:r>
        <w:t xml:space="preserve">3. Engineering Design Specification by Work Package</w:t>
      </w:r>
    </w:p>
    <w:p>
      <w:pPr>
        <w:pStyle w:val="FirstParagraph"/>
      </w:pPr>
      <w:r>
        <w:t xml:space="preserve">Complete engineering design for each of the six approved Work Packages, in the order established by Phase A.3 §9 and carried through Section 2.</w:t>
      </w:r>
    </w:p>
    <w:p>
      <w:r>
        <w:pict>
          <v:rect style="width:0;height:1.5pt" o:hralign="center" o:hrstd="t" o:hr="t"/>
        </w:pict>
      </w:r>
    </w:p>
    <w:bookmarkStart w:id="22" w:name="Xcad27f721b1c69e46305a3dc6e029d9a3d65232"/>
    <w:p>
      <w:pPr>
        <w:pStyle w:val="Heading3"/>
      </w:pPr>
      <w:r>
        <w:t xml:space="preserve">WP-0001 — Revise EEP-01 Phase A Architecture Document to the Canonical Live-Schema Baseline</w:t>
      </w:r>
    </w:p>
    <w:p>
      <w:pPr>
        <w:pStyle w:val="FirstParagraph"/>
      </w:pPr>
      <w:r>
        <w:rPr>
          <w:bCs/>
          <w:b/>
        </w:rPr>
        <w:t xml:space="preserve">A. Engineering Overview</w:t>
      </w:r>
    </w:p>
    <w:p>
      <w:pPr>
        <w:pStyle w:val="BodyText"/>
      </w:pPr>
      <w:r>
        <w:rPr>
          <w:iCs/>
          <w:i/>
        </w:rPr>
        <w:t xml:space="preserve">Engineering objective:</w:t>
      </w:r>
      <w:r>
        <w:t xml:space="preserve"> </w:t>
      </w:r>
      <w:r>
        <w:t xml:space="preserve">produce a revised EEP-01 Phase A document that describes the live public-schema student-academic table set as the canonical architecture baseline, executing EGD-0002 (Supersede).</w:t>
      </w:r>
    </w:p>
    <w:p>
      <w:pPr>
        <w:pStyle w:val="BodyText"/>
      </w:pPr>
      <w:r>
        <w:rPr>
          <w:iCs/>
          <w:i/>
        </w:rPr>
        <w:t xml:space="preserve">Design intent:</w:t>
      </w:r>
      <w:r>
        <w:t xml:space="preserve"> </w:t>
      </w:r>
      <w:r>
        <w:t xml:space="preserve">this is a documentation-correction design, not an architecture-redesign — the design goal is accurate description of what already exists, not new schema design. ADR-002’s own risk note (Phase A.2) applies directly: the revision must be produced with the same justification rigor (normalization rationale, partitioning rationale) the original Phase A document had, applied to the real tables, so it does not simply rubber-stamp accidental structure as intentional design.</w:t>
      </w:r>
    </w:p>
    <w:p>
      <w:pPr>
        <w:pStyle w:val="BodyText"/>
      </w:pPr>
      <w:r>
        <w:rPr>
          <w:iCs/>
          <w:i/>
        </w:rPr>
        <w:t xml:space="preserve">Design scope:</w:t>
      </w:r>
      <w:r>
        <w:t xml:space="preserve"> </w:t>
      </w:r>
      <w:r>
        <w:t xml:space="preserve">the six live table groups Phase A.3 §1.1 identifies —</w:t>
      </w:r>
      <w:r>
        <w:t xml:space="preserve"> </w:t>
      </w:r>
      <w:r>
        <w:rPr>
          <w:rStyle w:val="VerbatimChar"/>
        </w:rPr>
        <w:t xml:space="preserve">student_education_profiles</w:t>
      </w:r>
      <w:r>
        <w:t xml:space="preserve">;</w:t>
      </w:r>
      <w:r>
        <w:t xml:space="preserve"> </w:t>
      </w:r>
      <w:r>
        <w:rPr>
          <w:rStyle w:val="VerbatimChar"/>
        </w:rPr>
        <w:t xml:space="preserve">student_academic_records</w:t>
      </w:r>
      <w:r>
        <w:t xml:space="preserve">;</w:t>
      </w:r>
      <w:r>
        <w:t xml:space="preserve"> </w:t>
      </w:r>
      <w:r>
        <w:rPr>
          <w:rStyle w:val="VerbatimChar"/>
        </w:rPr>
        <w:t xml:space="preserve">student_academic_subjects</w:t>
      </w:r>
      <w:r>
        <w:t xml:space="preserve">;</w:t>
      </w:r>
      <w:r>
        <w:t xml:space="preserve"> </w:t>
      </w:r>
      <w:r>
        <w:rPr>
          <w:rStyle w:val="VerbatimChar"/>
        </w:rPr>
        <w:t xml:space="preserve">student_activities</w:t>
      </w:r>
      <w:r>
        <w:t xml:space="preserve"> </w:t>
      </w:r>
      <w:r>
        <w:t xml:space="preserve">plus its achievement/reflection tables;</w:t>
      </w:r>
      <w:r>
        <w:t xml:space="preserve"> </w:t>
      </w:r>
      <w:r>
        <w:rPr>
          <w:rStyle w:val="VerbatimChar"/>
        </w:rPr>
        <w:t xml:space="preserve">student_cognitive_responses</w:t>
      </w:r>
      <w:r>
        <w:t xml:space="preserve"> </w:t>
      </w:r>
      <w:r>
        <w:t xml:space="preserve">and related cognitive tables;</w:t>
      </w:r>
      <w:r>
        <w:t xml:space="preserve"> </w:t>
      </w:r>
      <w:r>
        <w:rPr>
          <w:rStyle w:val="VerbatimChar"/>
        </w:rPr>
        <w:t xml:space="preserve">student_signal_vectors</w:t>
      </w:r>
      <w:r>
        <w:t xml:space="preserve"> </w:t>
      </w:r>
      <w:r>
        <w:t xml:space="preserve">and related intelligence-signal tables.</w:t>
      </w:r>
    </w:p>
    <w:p>
      <w:pPr>
        <w:pStyle w:val="BodyText"/>
      </w:pPr>
      <w:r>
        <w:rPr>
          <w:iCs/>
          <w:i/>
        </w:rPr>
        <w:t xml:space="preserve">Engineering boundaries:</w:t>
      </w:r>
      <w:r>
        <w:t xml:space="preserve"> </w:t>
      </w:r>
      <w:r>
        <w:t xml:space="preserve">no schema migration, no application-code change, no new table design. The design boundary is strictly the documentation repository.</w:t>
      </w:r>
    </w:p>
    <w:p>
      <w:pPr>
        <w:pStyle w:val="BodyText"/>
      </w:pPr>
      <w:r>
        <w:rPr>
          <w:bCs/>
          <w:b/>
        </w:rPr>
        <w:t xml:space="preserve">B. Functional Design</w:t>
      </w:r>
    </w:p>
    <w:p>
      <w:pPr>
        <w:pStyle w:val="BodyText"/>
      </w:pPr>
      <w:r>
        <w:rPr>
          <w:iCs/>
          <w:i/>
        </w:rPr>
        <w:t xml:space="preserve">Functional behavior:</w:t>
      </w:r>
      <w:r>
        <w:t xml:space="preserve"> </w:t>
      </w:r>
      <w:r>
        <w:t xml:space="preserve">author a document that inventories, names, and justifies each live table exactly as Phase A originally did for its own (superseded) design.</w:t>
      </w:r>
    </w:p>
    <w:p>
      <w:pPr>
        <w:pStyle w:val="BodyText"/>
      </w:pPr>
      <w:r>
        <w:rPr>
          <w:iCs/>
          <w:i/>
        </w:rPr>
        <w:t xml:space="preserve">Functional responsibilities:</w:t>
      </w:r>
      <w:r>
        <w:t xml:space="preserve"> </w:t>
      </w:r>
      <w:r>
        <w:t xml:space="preserve">the Enterprise Architecture Owner (named via WP-0006) authors and is accountable for the document; no supporting role is evidenced (Section 2, Part E).</w:t>
      </w:r>
    </w:p>
    <w:p>
      <w:pPr>
        <w:pStyle w:val="BodyText"/>
      </w:pPr>
      <w:r>
        <w:rPr>
          <w:iCs/>
          <w:i/>
        </w:rPr>
        <w:t xml:space="preserve">Functional outcomes:</w:t>
      </w:r>
      <w:r>
        <w:t xml:space="preserve"> </w:t>
      </w:r>
      <w:r>
        <w:t xml:space="preserve">a published document whose table inventory matches the live schema with zero discrepancy (Section 2, Part I).</w:t>
      </w:r>
    </w:p>
    <w:p>
      <w:pPr>
        <w:pStyle w:val="BodyText"/>
      </w:pPr>
      <w:r>
        <w:rPr>
          <w:bCs/>
          <w:b/>
        </w:rPr>
        <w:t xml:space="preserve">C. Technical Design</w:t>
      </w:r>
    </w:p>
    <w:p>
      <w:pPr>
        <w:pStyle w:val="BodyText"/>
      </w:pPr>
      <w:r>
        <w:rPr>
          <w:iCs/>
          <w:i/>
        </w:rPr>
        <w:t xml:space="preserve">Technical implementation approach:</w:t>
      </w:r>
      <w:r>
        <w:t xml:space="preserve"> </w:t>
      </w:r>
      <w:r>
        <w:t xml:space="preserve">description of the existing public-schema table set; no new technical design is performed (Section 2, Part D — Technical Scope).</w:t>
      </w:r>
    </w:p>
    <w:p>
      <w:pPr>
        <w:pStyle w:val="BodyText"/>
      </w:pPr>
      <w:r>
        <w:rPr>
          <w:iCs/>
          <w:i/>
        </w:rPr>
        <w:t xml:space="preserve">Repository interaction:</w:t>
      </w:r>
      <w:r>
        <w:t xml:space="preserve"> </w:t>
      </w:r>
      <w:r>
        <w:t xml:space="preserve">documentation repository only.</w:t>
      </w:r>
    </w:p>
    <w:p>
      <w:pPr>
        <w:pStyle w:val="BodyText"/>
      </w:pPr>
      <w:r>
        <w:rPr>
          <w:iCs/>
          <w:i/>
        </w:rPr>
        <w:t xml:space="preserve">Database interaction:</w:t>
      </w:r>
      <w:r>
        <w:t xml:space="preserve"> </w:t>
      </w:r>
      <w:r>
        <w:t xml:space="preserve">read-only schema introspection (equivalent to</w:t>
      </w:r>
      <w:r>
        <w:t xml:space="preserve"> </w:t>
      </w:r>
      <w:r>
        <w:rPr>
          <w:rStyle w:val="VerbatimChar"/>
        </w:rPr>
        <w:t xml:space="preserve">\dt public.*</w:t>
      </w:r>
      <w:r>
        <w:t xml:space="preserve">) to build and verify the table inventory; no write interaction.</w:t>
      </w:r>
    </w:p>
    <w:p>
      <w:pPr>
        <w:pStyle w:val="BodyText"/>
      </w:pPr>
      <w:r>
        <w:rPr>
          <w:iCs/>
          <w:i/>
        </w:rPr>
        <w:t xml:space="preserve">Documentation interaction:</w:t>
      </w:r>
      <w:r>
        <w:t xml:space="preserve"> </w:t>
      </w:r>
      <w:r>
        <w:t xml:space="preserve">this Work Package’s primary deliverable.</w:t>
      </w:r>
    </w:p>
    <w:p>
      <w:pPr>
        <w:pStyle w:val="BodyText"/>
      </w:pPr>
      <w:r>
        <w:rPr>
          <w:iCs/>
          <w:i/>
        </w:rPr>
        <w:t xml:space="preserve">Verification interaction:</w:t>
      </w:r>
      <w:r>
        <w:t xml:space="preserve"> </w:t>
      </w:r>
      <w:r>
        <w:t xml:space="preserve">table inventory diff against the live schema, target zero discrepancies (Phase A.3 §7).</w:t>
      </w:r>
    </w:p>
    <w:p>
      <w:pPr>
        <w:pStyle w:val="BodyText"/>
      </w:pPr>
      <w:r>
        <w:rPr>
          <w:bCs/>
          <w:b/>
        </w:rPr>
        <w:t xml:space="preserve">D. Logical Engineering Flow</w:t>
      </w:r>
    </w:p>
    <w:p>
      <w:pPr>
        <w:numPr>
          <w:ilvl w:val="0"/>
          <w:numId w:val="1001"/>
        </w:numPr>
        <w:pStyle w:val="Compact"/>
      </w:pPr>
      <w:r>
        <w:t xml:space="preserve">Enterprise Architecture Owner assignment via WP-0006 (recommended, not strictly blocking — Section 2, Part F).</w:t>
      </w:r>
    </w:p>
    <w:p>
      <w:pPr>
        <w:numPr>
          <w:ilvl w:val="0"/>
          <w:numId w:val="1001"/>
        </w:numPr>
        <w:pStyle w:val="Compact"/>
      </w:pPr>
      <w:r>
        <w:t xml:space="preserve">Inventory the live public schema (table names, columns, keys, constraints, RLS status where already confirmed).</w:t>
      </w:r>
    </w:p>
    <w:p>
      <w:pPr>
        <w:numPr>
          <w:ilvl w:val="0"/>
          <w:numId w:val="1001"/>
        </w:numPr>
        <w:pStyle w:val="Compact"/>
      </w:pPr>
      <w:r>
        <w:t xml:space="preserve">Draft the revised document, mapping each live table to the business intent it fulfills, applying the same justification-rigor standard as the original Phase A document (Phase A.2, ADR-002 risk note).</w:t>
      </w:r>
    </w:p>
    <w:p>
      <w:pPr>
        <w:numPr>
          <w:ilvl w:val="0"/>
          <w:numId w:val="1001"/>
        </w:numPr>
        <w:pStyle w:val="Compact"/>
      </w:pPr>
      <w:r>
        <w:t xml:space="preserve">Run the table-inventory diff against the live schema.</w:t>
      </w:r>
    </w:p>
    <w:p>
      <w:pPr>
        <w:numPr>
          <w:ilvl w:val="0"/>
          <w:numId w:val="1001"/>
        </w:numPr>
        <w:pStyle w:val="Compact"/>
      </w:pPr>
      <w:r>
        <w:t xml:space="preserve">Resolve any discrepancy found by revising the document (not the schema) until the diff is zero.</w:t>
      </w:r>
    </w:p>
    <w:p>
      <w:pPr>
        <w:numPr>
          <w:ilvl w:val="0"/>
          <w:numId w:val="1001"/>
        </w:numPr>
        <w:pStyle w:val="Compact"/>
      </w:pPr>
      <w:r>
        <w:t xml:space="preserve">Publish the revised document.</w:t>
      </w:r>
    </w:p>
    <w:p>
      <w:pPr>
        <w:numPr>
          <w:ilvl w:val="0"/>
          <w:numId w:val="1001"/>
        </w:numPr>
        <w:pStyle w:val="Compact"/>
      </w:pPr>
      <w:r>
        <w:t xml:space="preserve">Update ER-0002 (Superseded → Implemented) and close the VAR-02 one-time review (Section 2, Part G).</w:t>
      </w:r>
    </w:p>
    <w:p>
      <w:pPr>
        <w:pStyle w:val="FirstParagraph"/>
      </w:pPr>
      <w:r>
        <w:rPr>
          <w:bCs/>
          <w:b/>
        </w:rPr>
        <w:t xml:space="preserve">E. Data Flow</w:t>
      </w:r>
    </w:p>
    <w:p>
      <w:pPr>
        <w:pStyle w:val="BodyText"/>
      </w:pPr>
      <w:r>
        <w:rPr>
          <w:iCs/>
          <w:i/>
        </w:rPr>
        <w:t xml:space="preserve">Data sources:</w:t>
      </w:r>
      <w:r>
        <w:t xml:space="preserve"> </w:t>
      </w:r>
      <w:r>
        <w:t xml:space="preserve">the live public-schema catalog (table/column/constraint metadata) as it exists today.</w:t>
      </w:r>
    </w:p>
    <w:p>
      <w:pPr>
        <w:pStyle w:val="BodyText"/>
      </w:pPr>
      <w:r>
        <w:rPr>
          <w:iCs/>
          <w:i/>
        </w:rPr>
        <w:t xml:space="preserve">Data consumers:</w:t>
      </w:r>
      <w:r>
        <w:t xml:space="preserve"> </w:t>
      </w:r>
      <w:r>
        <w:t xml:space="preserve">the Enterprise Architecture Owner during authoring; every subsequent ERP-01 phase and engineering team as the new documentation system-of-record.</w:t>
      </w:r>
    </w:p>
    <w:p>
      <w:pPr>
        <w:pStyle w:val="BodyText"/>
      </w:pPr>
      <w:r>
        <w:rPr>
          <w:iCs/>
          <w:i/>
        </w:rPr>
        <w:t xml:space="preserve">Data verification:</w:t>
      </w:r>
      <w:r>
        <w:t xml:space="preserve"> </w:t>
      </w:r>
      <w:r>
        <w:t xml:space="preserve">table-inventory diff, zero discrepancies.</w:t>
      </w:r>
    </w:p>
    <w:p>
      <w:pPr>
        <w:pStyle w:val="BodyText"/>
      </w:pPr>
      <w:r>
        <w:rPr>
          <w:iCs/>
          <w:i/>
        </w:rPr>
        <w:t xml:space="preserve">Data updates:</w:t>
      </w:r>
      <w:r>
        <w:t xml:space="preserve"> </w:t>
      </w:r>
      <w:r>
        <w:t xml:space="preserve">the document is updated; the schema itself is not (Database Impact: Documentation Only, Section 3 §4).</w:t>
      </w:r>
    </w:p>
    <w:p>
      <w:pPr>
        <w:pStyle w:val="BodyText"/>
      </w:pPr>
      <w:r>
        <w:rPr>
          <w:bCs/>
          <w:b/>
        </w:rPr>
        <w:t xml:space="preserve">F. Repository Flow</w:t>
      </w:r>
    </w:p>
    <w:p>
      <w:pPr>
        <w:pStyle w:val="BodyText"/>
      </w:pPr>
      <w:r>
        <w:rPr>
          <w:iCs/>
          <w:i/>
        </w:rPr>
        <w:t xml:space="preserve">Documentation flow:</w:t>
      </w:r>
      <w:r>
        <w:t xml:space="preserve"> </w:t>
      </w:r>
      <w:r>
        <w:t xml:space="preserve">draft → justification pass → table-inventory diff → publish.</w:t>
      </w:r>
    </w:p>
    <w:p>
      <w:pPr>
        <w:pStyle w:val="BodyText"/>
      </w:pPr>
      <w:r>
        <w:rPr>
          <w:iCs/>
          <w:i/>
        </w:rPr>
        <w:t xml:space="preserve">Database flow:</w:t>
      </w:r>
      <w:r>
        <w:t xml:space="preserve"> </w:t>
      </w:r>
      <w:r>
        <w:t xml:space="preserve">none — read-only introspection only, no migration (Section 3 §4).</w:t>
      </w:r>
    </w:p>
    <w:p>
      <w:pPr>
        <w:pStyle w:val="BodyText"/>
      </w:pPr>
      <w:r>
        <w:rPr>
          <w:iCs/>
          <w:i/>
        </w:rPr>
        <w:t xml:space="preserve">Verification flow:</w:t>
      </w:r>
      <w:r>
        <w:t xml:space="preserve"> </w:t>
      </w:r>
      <w:r>
        <w:t xml:space="preserve">table-inventory diff against live schema.</w:t>
      </w:r>
    </w:p>
    <w:p>
      <w:pPr>
        <w:pStyle w:val="BodyText"/>
      </w:pPr>
      <w:r>
        <w:rPr>
          <w:iCs/>
          <w:i/>
        </w:rPr>
        <w:t xml:space="preserve">Governance flow:</w:t>
      </w:r>
      <w:r>
        <w:t xml:space="preserve"> </w:t>
      </w:r>
      <w:r>
        <w:t xml:space="preserve">ER-0002 status update; VAR-02 one-time review closure; AR-0002 traceability status update to Certification Level L4 (pending) on publication.</w:t>
      </w:r>
    </w:p>
    <w:p>
      <w:pPr>
        <w:pStyle w:val="BodyText"/>
      </w:pPr>
      <w:r>
        <w:rPr>
          <w:bCs/>
          <w:b/>
        </w:rPr>
        <w:t xml:space="preserve">G. Security Design</w:t>
      </w:r>
    </w:p>
    <w:p>
      <w:pPr>
        <w:pStyle w:val="BodyText"/>
      </w:pPr>
      <w:r>
        <w:t xml:space="preserve">Not Applicable to this Work Package. RLS coverage and all other security scope is governed separately under WP-0002 / AR-0007 (Section 2, Part D — Security Scope).</w:t>
      </w:r>
    </w:p>
    <w:p>
      <w:pPr>
        <w:pStyle w:val="BodyText"/>
      </w:pPr>
      <w:r>
        <w:rPr>
          <w:bCs/>
          <w:b/>
        </w:rPr>
        <w:t xml:space="preserve">H. Error Handling</w:t>
      </w:r>
    </w:p>
    <w:p>
      <w:pPr>
        <w:pStyle w:val="BodyText"/>
      </w:pPr>
      <w:r>
        <w:rPr>
          <w:iCs/>
          <w:i/>
        </w:rPr>
        <w:t xml:space="preserve">Validation failures:</w:t>
      </w:r>
      <w:r>
        <w:t xml:space="preserve"> </w:t>
      </w:r>
      <w:r>
        <w:t xml:space="preserve">a discrepancy found in the table-inventory diff is resolved by revising the document, not the schema, until the diff reaches zero.</w:t>
      </w:r>
    </w:p>
    <w:p>
      <w:pPr>
        <w:pStyle w:val="BodyText"/>
      </w:pPr>
      <w:r>
        <w:rPr>
          <w:iCs/>
          <w:i/>
        </w:rPr>
        <w:t xml:space="preserve">Verification failures:</w:t>
      </w:r>
      <w:r>
        <w:t xml:space="preserve"> </w:t>
      </w:r>
      <w:r>
        <w:t xml:space="preserve">Not Evidenced in Current Baseline beyond the diff method itself.</w:t>
      </w:r>
    </w:p>
    <w:p>
      <w:pPr>
        <w:pStyle w:val="BodyText"/>
      </w:pPr>
      <w:r>
        <w:rPr>
          <w:iCs/>
          <w:i/>
        </w:rPr>
        <w:t xml:space="preserve">Governance failures:</w:t>
      </w:r>
      <w:r>
        <w:t xml:space="preserve"> </w:t>
      </w:r>
      <w:r>
        <w:t xml:space="preserve">Not Evidenced in Current Baseline for this Work Package.</w:t>
      </w:r>
    </w:p>
    <w:p>
      <w:pPr>
        <w:pStyle w:val="BodyText"/>
      </w:pPr>
      <w:r>
        <w:rPr>
          <w:iCs/>
          <w:i/>
        </w:rPr>
        <w:t xml:space="preserve">Trigger failures:</w:t>
      </w:r>
      <w:r>
        <w:t xml:space="preserve"> </w:t>
      </w:r>
      <w:r>
        <w:t xml:space="preserve">Not Applicable — EGD-0002’s adoption trigger is</w:t>
      </w:r>
      <w:r>
        <w:t xml:space="preserve"> </w:t>
      </w:r>
      <w:r>
        <w:t xml:space="preserve">“</w:t>
      </w:r>
      <w:r>
        <w:t xml:space="preserve">not deferred, immediate</w:t>
      </w:r>
      <w:r>
        <w:t xml:space="preserve">”</w:t>
      </w:r>
      <w:r>
        <w:t xml:space="preserve"> </w:t>
      </w:r>
      <w:r>
        <w:t xml:space="preserve">(Phase A.3 §4); this Work Package is not trigger-gated.</w:t>
      </w:r>
    </w:p>
    <w:p>
      <w:pPr>
        <w:pStyle w:val="BodyText"/>
      </w:pPr>
      <w:r>
        <w:rPr>
          <w:bCs/>
          <w:b/>
        </w:rPr>
        <w:t xml:space="preserve">I. Performance Considerations</w:t>
      </w:r>
    </w:p>
    <w:p>
      <w:pPr>
        <w:pStyle w:val="BodyText"/>
      </w:pPr>
      <w:r>
        <w:t xml:space="preserve">Not Evidenced in Current Baseline. This is a documentation Work Package; Section 1 §9 confirms no performance-validation dimension applies to documentation-only scope.</w:t>
      </w:r>
    </w:p>
    <w:p>
      <w:pPr>
        <w:pStyle w:val="BodyText"/>
      </w:pPr>
      <w:r>
        <w:rPr>
          <w:bCs/>
          <w:b/>
        </w:rPr>
        <w:t xml:space="preserve">J. Design Constraints</w:t>
      </w:r>
    </w:p>
    <w:p>
      <w:pPr>
        <w:numPr>
          <w:ilvl w:val="0"/>
          <w:numId w:val="1002"/>
        </w:numPr>
        <w:pStyle w:val="Compact"/>
      </w:pPr>
      <w:r>
        <w:t xml:space="preserve">Must describe, not redesign — no independent architectural decision may be introduced under cover of this revision (AP-003).</w:t>
      </w:r>
    </w:p>
    <w:p>
      <w:pPr>
        <w:numPr>
          <w:ilvl w:val="0"/>
          <w:numId w:val="1002"/>
        </w:numPr>
        <w:pStyle w:val="Compact"/>
      </w:pPr>
      <w:r>
        <w:t xml:space="preserve">Must retain the justification-rigor standard of the original Phase A document (Phase A.2, ADR-002).</w:t>
      </w:r>
    </w:p>
    <w:p>
      <w:pPr>
        <w:numPr>
          <w:ilvl w:val="0"/>
          <w:numId w:val="1002"/>
        </w:numPr>
        <w:pStyle w:val="Compact"/>
      </w:pPr>
      <w:r>
        <w:t xml:space="preserve">Must not rename or restructure the live tables to achieve nominal conformance — Option 1 (renaming to match old Phase A) was explicitly rejected in ADR-002 as high-risk for a purely nominal benefit.</w:t>
      </w:r>
    </w:p>
    <w:p>
      <w:pPr>
        <w:pStyle w:val="FirstParagraph"/>
      </w:pPr>
      <w:r>
        <w:rPr>
          <w:bCs/>
          <w:b/>
        </w:rPr>
        <w:t xml:space="preserve">K. Design Assumptions</w:t>
      </w:r>
    </w:p>
    <w:p>
      <w:pPr>
        <w:pStyle w:val="BodyText"/>
      </w:pPr>
      <w:r>
        <w:rPr>
          <w:iCs/>
          <w:i/>
        </w:rPr>
        <w:t xml:space="preserve">Approved assumption:</w:t>
      </w:r>
      <w:r>
        <w:t xml:space="preserve"> </w:t>
      </w:r>
      <w:r>
        <w:t xml:space="preserve">the live schema, once documented, becomes the canonical baseline (EGD-0002; Phase A.3 §1.2) — this design does not re-litigate that decision.</w:t>
      </w:r>
    </w:p>
    <w:p>
      <w:pPr>
        <w:pStyle w:val="BodyText"/>
      </w:pPr>
      <w:r>
        <w:rPr>
          <w:iCs/>
          <w:i/>
        </w:rPr>
        <w:t xml:space="preserve">Evidence-based assumption:</w:t>
      </w:r>
      <w:r>
        <w:t xml:space="preserve"> </w:t>
      </w:r>
      <w:r>
        <w:t xml:space="preserve">the live table set is the one Phase A.1 §4’s Table Realization Matrix inventoried; no schema change is assumed to have occurred since that assessment.</w:t>
      </w:r>
    </w:p>
    <w:p>
      <w:pPr>
        <w:pStyle w:val="BodyText"/>
      </w:pPr>
      <w:r>
        <w:rPr>
          <w:iCs/>
          <w:i/>
        </w:rPr>
        <w:t xml:space="preserve">Explicit limitation:</w:t>
      </w:r>
      <w:r>
        <w:t xml:space="preserve"> </w:t>
      </w:r>
      <w:r>
        <w:t xml:space="preserve">this document does not re-inspect the repository; if the live schema has changed since Phase A.1, that drift is outside this design’s evidence base and would require a new realization assessment, not a correction to this design.</w:t>
      </w:r>
    </w:p>
    <w:p>
      <w:r>
        <w:pict>
          <v:rect style="width:0;height:1.5pt" o:hralign="center" o:hrstd="t" o:hr="t"/>
        </w:pict>
      </w:r>
    </w:p>
    <w:bookmarkEnd w:id="22"/>
    <w:bookmarkStart w:id="23" w:name="Xa544db7481b6ea57b367160bef9fecc0015f199"/>
    <w:p>
      <w:pPr>
        <w:pStyle w:val="Heading3"/>
      </w:pPr>
      <w:r>
        <w:t xml:space="preserve">WP-0002 — Verify Row-Level Security Coverage on Student-Owned Tables</w:t>
      </w:r>
    </w:p>
    <w:p>
      <w:pPr>
        <w:pStyle w:val="FirstParagraph"/>
      </w:pPr>
      <w:r>
        <w:rPr>
          <w:bCs/>
          <w:b/>
        </w:rPr>
        <w:t xml:space="preserve">A. Engineering Overview</w:t>
      </w:r>
    </w:p>
    <w:p>
      <w:pPr>
        <w:pStyle w:val="BodyText"/>
      </w:pPr>
      <w:r>
        <w:rPr>
          <w:iCs/>
          <w:i/>
        </w:rPr>
        <w:t xml:space="preserve">Engineering objective:</w:t>
      </w:r>
      <w:r>
        <w:t xml:space="preserve"> </w:t>
      </w:r>
      <w:r>
        <w:t xml:space="preserve">produce written, query-evidenced confirmation of RLS ownership-check coverage on</w:t>
      </w:r>
      <w:r>
        <w:t xml:space="preserve"> </w:t>
      </w:r>
      <w:r>
        <w:rPr>
          <w:rStyle w:val="VerbatimChar"/>
        </w:rPr>
        <w:t xml:space="preserve">student_activities</w:t>
      </w:r>
      <w:r>
        <w:t xml:space="preserve">,</w:t>
      </w:r>
      <w:r>
        <w:t xml:space="preserve"> </w:t>
      </w:r>
      <w:r>
        <w:rPr>
          <w:rStyle w:val="VerbatimChar"/>
        </w:rPr>
        <w:t xml:space="preserve">student_cognitive_responses</w:t>
      </w:r>
      <w:r>
        <w:t xml:space="preserve">,</w:t>
      </w:r>
      <w:r>
        <w:t xml:space="preserve"> </w:t>
      </w:r>
      <w:r>
        <w:rPr>
          <w:rStyle w:val="VerbatimChar"/>
        </w:rPr>
        <w:t xml:space="preserve">student_signal_vectors</w:t>
      </w:r>
      <w:r>
        <w:t xml:space="preserve">, and related tables, executing EGD-0007 (Realize).</w:t>
      </w:r>
    </w:p>
    <w:p>
      <w:pPr>
        <w:pStyle w:val="BodyText"/>
      </w:pPr>
      <w:r>
        <w:rPr>
          <w:iCs/>
          <w:i/>
        </w:rPr>
        <w:t xml:space="preserve">Design intent:</w:t>
      </w:r>
      <w:r>
        <w:t xml:space="preserve"> </w:t>
      </w:r>
      <w:r>
        <w:t xml:space="preserve">close an open unknown, not design new security architecture. Phase A.1 §8 confirmed the ownership-check pattern already works on</w:t>
      </w:r>
      <w:r>
        <w:t xml:space="preserve"> </w:t>
      </w:r>
      <w:r>
        <w:rPr>
          <w:rStyle w:val="VerbatimChar"/>
        </w:rPr>
        <w:t xml:space="preserve">student_academic_records</w:t>
      </w:r>
      <w:r>
        <w:t xml:space="preserve">/</w:t>
      </w:r>
      <w:r>
        <w:rPr>
          <w:rStyle w:val="VerbatimChar"/>
        </w:rPr>
        <w:t xml:space="preserve">student_academic_subjects</w:t>
      </w:r>
      <w:r>
        <w:t xml:space="preserve">; this design verifies whether it extends to the remaining student-owned tables — it does not design a new pattern.</w:t>
      </w:r>
    </w:p>
    <w:p>
      <w:pPr>
        <w:pStyle w:val="BodyText"/>
      </w:pPr>
      <w:r>
        <w:rPr>
          <w:iCs/>
          <w:i/>
        </w:rPr>
        <w:t xml:space="preserve">Design scope:</w:t>
      </w:r>
      <w:r>
        <w:t xml:space="preserve"> </w:t>
      </w:r>
      <w:r>
        <w:t xml:space="preserve">RLS policy audit for the four table groups named above.</w:t>
      </w:r>
    </w:p>
    <w:p>
      <w:pPr>
        <w:pStyle w:val="BodyText"/>
      </w:pPr>
      <w:r>
        <w:rPr>
          <w:iCs/>
          <w:i/>
        </w:rPr>
        <w:t xml:space="preserve">Engineering boundaries:</w:t>
      </w:r>
      <w:r>
        <w:t xml:space="preserve"> </w:t>
      </w:r>
      <w:r>
        <w:t xml:space="preserve">verification only in baseline scope. A corrective RLS policy change is contingency-only, applied without delay if a coverage gap is confirmed (Phase B §10) — not a planned baseline deliverable.</w:t>
      </w:r>
    </w:p>
    <w:p>
      <w:pPr>
        <w:pStyle w:val="BodyText"/>
      </w:pPr>
      <w:r>
        <w:rPr>
          <w:bCs/>
          <w:b/>
        </w:rPr>
        <w:t xml:space="preserve">B. Functional Design</w:t>
      </w:r>
    </w:p>
    <w:p>
      <w:pPr>
        <w:pStyle w:val="BodyText"/>
      </w:pPr>
      <w:r>
        <w:rPr>
          <w:iCs/>
          <w:i/>
        </w:rPr>
        <w:t xml:space="preserve">Functional behavior:</w:t>
      </w:r>
      <w:r>
        <w:t xml:space="preserve"> </w:t>
      </w:r>
      <w:r>
        <w:t xml:space="preserve">execute policy-presence and policy-function checks against each in-scope table and record the result.</w:t>
      </w:r>
    </w:p>
    <w:p>
      <w:pPr>
        <w:pStyle w:val="BodyText"/>
      </w:pPr>
      <w:r>
        <w:rPr>
          <w:iCs/>
          <w:i/>
        </w:rPr>
        <w:t xml:space="preserve">Functional responsibilities:</w:t>
      </w:r>
      <w:r>
        <w:t xml:space="preserve"> </w:t>
      </w:r>
      <w:r>
        <w:t xml:space="preserve">the Security/Platform Engineer (named via WP-0006) owns execution and the written confirmation.</w:t>
      </w:r>
    </w:p>
    <w:p>
      <w:pPr>
        <w:pStyle w:val="BodyText"/>
      </w:pPr>
      <w:r>
        <w:rPr>
          <w:iCs/>
          <w:i/>
        </w:rPr>
        <w:t xml:space="preserve">Functional outcomes:</w:t>
      </w:r>
      <w:r>
        <w:t xml:space="preserve"> </w:t>
      </w:r>
      <w:r>
        <w:t xml:space="preserve">a written RLS status and policy-list document covering every student-owned table, with KPI-06 RLS Coverage % moving to 100% confirmed.</w:t>
      </w:r>
    </w:p>
    <w:p>
      <w:pPr>
        <w:pStyle w:val="BodyText"/>
      </w:pPr>
      <w:r>
        <w:rPr>
          <w:bCs/>
          <w:b/>
        </w:rPr>
        <w:t xml:space="preserve">C. Technical Design</w:t>
      </w:r>
    </w:p>
    <w:p>
      <w:pPr>
        <w:pStyle w:val="BodyText"/>
      </w:pPr>
      <w:r>
        <w:rPr>
          <w:iCs/>
          <w:i/>
        </w:rPr>
        <w:t xml:space="preserve">Technical implementation approach:</w:t>
      </w:r>
      <w:r>
        <w:t xml:space="preserve"> </w:t>
      </w:r>
      <w:r>
        <w:t xml:space="preserve">policy audit against the already-confirmed pattern (Section 2, Part D).</w:t>
      </w:r>
    </w:p>
    <w:p>
      <w:pPr>
        <w:pStyle w:val="BodyText"/>
      </w:pPr>
      <w:r>
        <w:rPr>
          <w:iCs/>
          <w:i/>
        </w:rPr>
        <w:t xml:space="preserve">Repository interaction:</w:t>
      </w:r>
      <w:r>
        <w:t xml:space="preserve"> </w:t>
      </w:r>
      <w:r>
        <w:t xml:space="preserve">database repository (RLS policy definitions).</w:t>
      </w:r>
    </w:p>
    <w:p>
      <w:pPr>
        <w:pStyle w:val="BodyText"/>
      </w:pPr>
      <w:r>
        <w:rPr>
          <w:iCs/>
          <w:i/>
        </w:rPr>
        <w:t xml:space="preserve">Database interaction:</w:t>
      </w:r>
      <w:r>
        <w:t xml:space="preserve"> </w:t>
      </w:r>
      <w:r>
        <w:t xml:space="preserve">primary — query-based verification (</w:t>
      </w:r>
      <w:r>
        <w:rPr>
          <w:rStyle w:val="VerbatimChar"/>
        </w:rPr>
        <w:t xml:space="preserve">pg_policies</w:t>
      </w:r>
      <w:r>
        <w:t xml:space="preserve"> </w:t>
      </w:r>
      <w:r>
        <w:t xml:space="preserve">/ RLS-enabled inspection) against each in-scope table.</w:t>
      </w:r>
    </w:p>
    <w:p>
      <w:pPr>
        <w:pStyle w:val="BodyText"/>
      </w:pPr>
      <w:r>
        <w:rPr>
          <w:iCs/>
          <w:i/>
        </w:rPr>
        <w:t xml:space="preserve">Documentation interaction:</w:t>
      </w:r>
      <w:r>
        <w:t xml:space="preserve"> </w:t>
      </w:r>
      <w:r>
        <w:t xml:space="preserve">produces a new written status document (not a revision).</w:t>
      </w:r>
    </w:p>
    <w:p>
      <w:pPr>
        <w:pStyle w:val="BodyText"/>
      </w:pPr>
      <w:r>
        <w:rPr>
          <w:iCs/>
          <w:i/>
        </w:rPr>
        <w:t xml:space="preserve">Verification interaction:</w:t>
      </w:r>
      <w:r>
        <w:t xml:space="preserve"> </w:t>
      </w:r>
      <w:r>
        <w:t xml:space="preserve">this Work Package’s primary deliverable; its method becomes the standing template for every future Realize-class verification (Section 1 §7).</w:t>
      </w:r>
    </w:p>
    <w:p>
      <w:pPr>
        <w:pStyle w:val="BodyText"/>
      </w:pPr>
      <w:r>
        <w:rPr>
          <w:bCs/>
          <w:b/>
        </w:rPr>
        <w:t xml:space="preserve">D. Logical Engineering Flow</w:t>
      </w:r>
    </w:p>
    <w:p>
      <w:pPr>
        <w:numPr>
          <w:ilvl w:val="0"/>
          <w:numId w:val="1003"/>
        </w:numPr>
        <w:pStyle w:val="Compact"/>
      </w:pPr>
      <w:r>
        <w:t xml:space="preserve">Enumerate every student-owned table, cross-referencing Phase A.1 §8’s confirmed-vs-unverified list.</w:t>
      </w:r>
    </w:p>
    <w:p>
      <w:pPr>
        <w:numPr>
          <w:ilvl w:val="0"/>
          <w:numId w:val="1003"/>
        </w:numPr>
        <w:pStyle w:val="Compact"/>
      </w:pPr>
      <w:r>
        <w:t xml:space="preserve">For each unverified table, query RLS-enabled status and enumerate active policies.</w:t>
      </w:r>
    </w:p>
    <w:p>
      <w:pPr>
        <w:numPr>
          <w:ilvl w:val="0"/>
          <w:numId w:val="1003"/>
        </w:numPr>
        <w:pStyle w:val="Compact"/>
      </w:pPr>
      <w:r>
        <w:t xml:space="preserve">Compare each table’s policy set against the confirmed-good pattern on</w:t>
      </w:r>
      <w:r>
        <w:t xml:space="preserve"> </w:t>
      </w:r>
      <w:r>
        <w:rPr>
          <w:rStyle w:val="VerbatimChar"/>
        </w:rPr>
        <w:t xml:space="preserve">student_academic_records</w:t>
      </w:r>
      <w:r>
        <w:t xml:space="preserve">/</w:t>
      </w:r>
      <w:r>
        <w:rPr>
          <w:rStyle w:val="VerbatimChar"/>
        </w:rPr>
        <w:t xml:space="preserve">student_academic_subjects</w:t>
      </w:r>
      <w:r>
        <w:t xml:space="preserve">.</w:t>
      </w:r>
    </w:p>
    <w:p>
      <w:pPr>
        <w:numPr>
          <w:ilvl w:val="0"/>
          <w:numId w:val="1003"/>
        </w:numPr>
        <w:pStyle w:val="Compact"/>
      </w:pPr>
      <w:r>
        <w:t xml:space="preserve">Record a per-table status (Confirmed Present / Gap Confirmed).</w:t>
      </w:r>
    </w:p>
    <w:p>
      <w:pPr>
        <w:numPr>
          <w:ilvl w:val="0"/>
          <w:numId w:val="1003"/>
        </w:numPr>
        <w:pStyle w:val="Compact"/>
      </w:pPr>
      <w:r>
        <w:t xml:space="preserve">If a gap is confirmed on any table, apply the proven RLS pattern from</w:t>
      </w:r>
      <w:r>
        <w:t xml:space="preserve"> </w:t>
      </w:r>
      <w:r>
        <w:rPr>
          <w:rStyle w:val="VerbatimChar"/>
        </w:rPr>
        <w:t xml:space="preserve">student_academic_records</w:t>
      </w:r>
      <w:r>
        <w:t xml:space="preserve"> </w:t>
      </w:r>
      <w:r>
        <w:t xml:space="preserve">without delay (contingency, per Phase B §10) — do not defer the fix pending a separate work package.</w:t>
      </w:r>
    </w:p>
    <w:p>
      <w:pPr>
        <w:numPr>
          <w:ilvl w:val="0"/>
          <w:numId w:val="1003"/>
        </w:numPr>
        <w:pStyle w:val="Compact"/>
      </w:pPr>
      <w:r>
        <w:t xml:space="preserve">Publish the written RLS status and policy-list document.</w:t>
      </w:r>
    </w:p>
    <w:p>
      <w:pPr>
        <w:numPr>
          <w:ilvl w:val="0"/>
          <w:numId w:val="1003"/>
        </w:numPr>
        <w:pStyle w:val="Compact"/>
      </w:pPr>
      <w:r>
        <w:t xml:space="preserve">Update ER-0007 (Planned → Implemented) and KPI-06 (RLS Coverage %) to reflect verified status.</w:t>
      </w:r>
    </w:p>
    <w:p>
      <w:pPr>
        <w:pStyle w:val="FirstParagraph"/>
      </w:pPr>
      <w:r>
        <w:rPr>
          <w:bCs/>
          <w:b/>
        </w:rPr>
        <w:t xml:space="preserve">E. Data Flow</w:t>
      </w:r>
    </w:p>
    <w:p>
      <w:pPr>
        <w:pStyle w:val="BodyText"/>
      </w:pPr>
      <w:r>
        <w:rPr>
          <w:iCs/>
          <w:i/>
        </w:rPr>
        <w:t xml:space="preserve">Data sources:</w:t>
      </w:r>
      <w:r>
        <w:t xml:space="preserve"> </w:t>
      </w:r>
      <w:r>
        <w:rPr>
          <w:rStyle w:val="VerbatimChar"/>
        </w:rPr>
        <w:t xml:space="preserve">pg_catalog</w:t>
      </w:r>
      <w:r>
        <w:t xml:space="preserve">/</w:t>
      </w:r>
      <w:r>
        <w:rPr>
          <w:rStyle w:val="VerbatimChar"/>
        </w:rPr>
        <w:t xml:space="preserve">pg_policies</w:t>
      </w:r>
      <w:r>
        <w:t xml:space="preserve"> </w:t>
      </w:r>
      <w:r>
        <w:t xml:space="preserve">metadata for</w:t>
      </w:r>
      <w:r>
        <w:t xml:space="preserve"> </w:t>
      </w:r>
      <w:r>
        <w:rPr>
          <w:rStyle w:val="VerbatimChar"/>
        </w:rPr>
        <w:t xml:space="preserve">student_activities</w:t>
      </w:r>
      <w:r>
        <w:t xml:space="preserve">,</w:t>
      </w:r>
      <w:r>
        <w:t xml:space="preserve"> </w:t>
      </w:r>
      <w:r>
        <w:rPr>
          <w:rStyle w:val="VerbatimChar"/>
        </w:rPr>
        <w:t xml:space="preserve">student_cognitive_responses</w:t>
      </w:r>
      <w:r>
        <w:t xml:space="preserve">,</w:t>
      </w:r>
      <w:r>
        <w:t xml:space="preserve"> </w:t>
      </w:r>
      <w:r>
        <w:rPr>
          <w:rStyle w:val="VerbatimChar"/>
        </w:rPr>
        <w:t xml:space="preserve">student_signal_vectors</w:t>
      </w:r>
      <w:r>
        <w:t xml:space="preserve">, and related tables.</w:t>
      </w:r>
    </w:p>
    <w:p>
      <w:pPr>
        <w:pStyle w:val="BodyText"/>
      </w:pPr>
      <w:r>
        <w:rPr>
          <w:iCs/>
          <w:i/>
        </w:rPr>
        <w:t xml:space="preserve">Data consumers:</w:t>
      </w:r>
      <w:r>
        <w:t xml:space="preserve"> </w:t>
      </w:r>
      <w:r>
        <w:t xml:space="preserve">Security/Platform Engineer; the written status document itself becomes an input to WP-0005’s column-level review.</w:t>
      </w:r>
    </w:p>
    <w:p>
      <w:pPr>
        <w:pStyle w:val="BodyText"/>
      </w:pPr>
      <w:r>
        <w:rPr>
          <w:iCs/>
          <w:i/>
        </w:rPr>
        <w:t xml:space="preserve">Data verification:</w:t>
      </w:r>
      <w:r>
        <w:t xml:space="preserve"> </w:t>
      </w:r>
      <w:r>
        <w:t xml:space="preserve">query-based verification with written evidence (Section 1 §7).</w:t>
      </w:r>
    </w:p>
    <w:p>
      <w:pPr>
        <w:pStyle w:val="BodyText"/>
      </w:pPr>
      <w:r>
        <w:rPr>
          <w:iCs/>
          <w:i/>
        </w:rPr>
        <w:t xml:space="preserve">Data updates:</w:t>
      </w:r>
      <w:r>
        <w:t xml:space="preserve"> </w:t>
      </w:r>
      <w:r>
        <w:t xml:space="preserve">none in baseline scope; RLS policy tables are updated only as contingency if a gap is confirmed.</w:t>
      </w:r>
    </w:p>
    <w:p>
      <w:pPr>
        <w:pStyle w:val="BodyText"/>
      </w:pPr>
      <w:r>
        <w:rPr>
          <w:bCs/>
          <w:b/>
        </w:rPr>
        <w:t xml:space="preserve">F. Repository Flow</w:t>
      </w:r>
    </w:p>
    <w:p>
      <w:pPr>
        <w:pStyle w:val="BodyText"/>
      </w:pPr>
      <w:r>
        <w:rPr>
          <w:iCs/>
          <w:i/>
        </w:rPr>
        <w:t xml:space="preserve">Documentation flow:</w:t>
      </w:r>
      <w:r>
        <w:t xml:space="preserve"> </w:t>
      </w:r>
      <w:r>
        <w:t xml:space="preserve">new written status document (not a revision of an existing one).</w:t>
      </w:r>
    </w:p>
    <w:p>
      <w:pPr>
        <w:pStyle w:val="BodyText"/>
      </w:pPr>
      <w:r>
        <w:rPr>
          <w:iCs/>
          <w:i/>
        </w:rPr>
        <w:t xml:space="preserve">Database flow:</w:t>
      </w:r>
      <w:r>
        <w:t xml:space="preserve"> </w:t>
      </w:r>
      <w:r>
        <w:t xml:space="preserve">verification query only in baseline scope; contingency-only corrective policy application if a gap is found.</w:t>
      </w:r>
    </w:p>
    <w:p>
      <w:pPr>
        <w:pStyle w:val="BodyText"/>
      </w:pPr>
      <w:r>
        <w:rPr>
          <w:iCs/>
          <w:i/>
        </w:rPr>
        <w:t xml:space="preserve">Verification flow:</w:t>
      </w:r>
      <w:r>
        <w:t xml:space="preserve"> </w:t>
      </w:r>
      <w:r>
        <w:t xml:space="preserve">query-based, with written evidence — the primary flow for this Work Package.</w:t>
      </w:r>
    </w:p>
    <w:p>
      <w:pPr>
        <w:pStyle w:val="BodyText"/>
      </w:pPr>
      <w:r>
        <w:rPr>
          <w:iCs/>
          <w:i/>
        </w:rPr>
        <w:t xml:space="preserve">Governance flow:</w:t>
      </w:r>
      <w:r>
        <w:t xml:space="preserve"> </w:t>
      </w:r>
      <w:r>
        <w:t xml:space="preserve">ER-0007 status update; KPI-06 measurement update; AR-0007 traceability status update to Certification Level L4 (pending) on completion.</w:t>
      </w:r>
    </w:p>
    <w:p>
      <w:pPr>
        <w:pStyle w:val="BodyText"/>
      </w:pPr>
      <w:r>
        <w:rPr>
          <w:bCs/>
          <w:b/>
        </w:rPr>
        <w:t xml:space="preserve">G. Security Design</w:t>
      </w:r>
    </w:p>
    <w:p>
      <w:pPr>
        <w:pStyle w:val="BodyText"/>
      </w:pPr>
      <w:r>
        <w:rPr>
          <w:iCs/>
          <w:i/>
        </w:rPr>
        <w:t xml:space="preserve">Security verification:</w:t>
      </w:r>
      <w:r>
        <w:t xml:space="preserve"> </w:t>
      </w:r>
      <w:r>
        <w:t xml:space="preserve">RLS policy audit against the confirmed pattern.</w:t>
      </w:r>
    </w:p>
    <w:p>
      <w:pPr>
        <w:pStyle w:val="BodyText"/>
      </w:pPr>
      <w:r>
        <w:rPr>
          <w:iCs/>
          <w:i/>
        </w:rPr>
        <w:t xml:space="preserve">Access validation:</w:t>
      </w:r>
      <w:r>
        <w:t xml:space="preserve"> </w:t>
      </w:r>
      <w:r>
        <w:t xml:space="preserve">ownership-check policy presence and function, per table.</w:t>
      </w:r>
    </w:p>
    <w:p>
      <w:pPr>
        <w:pStyle w:val="BodyText"/>
      </w:pPr>
      <w:r>
        <w:rPr>
          <w:iCs/>
          <w:i/>
        </w:rPr>
        <w:t xml:space="preserve">Policy verification:</w:t>
      </w:r>
      <w:r>
        <w:t xml:space="preserve"> </w:t>
      </w:r>
      <w:r>
        <w:t xml:space="preserve">confirms whether the same ownership-check design already proven on</w:t>
      </w:r>
      <w:r>
        <w:t xml:space="preserve"> </w:t>
      </w:r>
      <w:r>
        <w:rPr>
          <w:rStyle w:val="VerbatimChar"/>
        </w:rPr>
        <w:t xml:space="preserve">student_academic_records</w:t>
      </w:r>
      <w:r>
        <w:t xml:space="preserve">/</w:t>
      </w:r>
      <w:r>
        <w:rPr>
          <w:rStyle w:val="VerbatimChar"/>
        </w:rPr>
        <w:t xml:space="preserve">student_academic_subjects</w:t>
      </w:r>
      <w:r>
        <w:t xml:space="preserve"> </w:t>
      </w:r>
      <w:r>
        <w:t xml:space="preserve">(Phase A.1 §8) extends to the four in-scope table groups.</w:t>
      </w:r>
    </w:p>
    <w:p>
      <w:pPr>
        <w:pStyle w:val="BodyText"/>
      </w:pPr>
      <w:r>
        <w:rPr>
          <w:iCs/>
          <w:i/>
        </w:rPr>
        <w:t xml:space="preserve">Governance controls:</w:t>
      </w:r>
      <w:r>
        <w:t xml:space="preserve"> </w:t>
      </w:r>
      <w:r>
        <w:t xml:space="preserve">EGD-0007 (Realize, Accepted in progress) is the sole governing decision; no new governance is introduced.</w:t>
      </w:r>
    </w:p>
    <w:p>
      <w:pPr>
        <w:pStyle w:val="BodyText"/>
      </w:pPr>
      <w:r>
        <w:rPr>
          <w:bCs/>
          <w:b/>
        </w:rPr>
        <w:t xml:space="preserve">H. Error Handling</w:t>
      </w:r>
    </w:p>
    <w:p>
      <w:pPr>
        <w:pStyle w:val="BodyText"/>
      </w:pPr>
      <w:r>
        <w:rPr>
          <w:iCs/>
          <w:i/>
        </w:rPr>
        <w:t xml:space="preserve">Validation failures:</w:t>
      </w:r>
      <w:r>
        <w:t xml:space="preserve"> </w:t>
      </w:r>
      <w:r>
        <w:t xml:space="preserve">a table found without adequate RLS coverage is classified as a Confirmed Gap and remediated immediately using the proven pattern — not queued as a separate future item (Phase B §10 contingency).</w:t>
      </w:r>
    </w:p>
    <w:p>
      <w:pPr>
        <w:pStyle w:val="BodyText"/>
      </w:pPr>
      <w:r>
        <w:rPr>
          <w:iCs/>
          <w:i/>
        </w:rPr>
        <w:t xml:space="preserve">Verification failures:</w:t>
      </w:r>
      <w:r>
        <w:t xml:space="preserve"> </w:t>
      </w:r>
      <w:r>
        <w:t xml:space="preserve">Not Evidenced in Current Baseline beyond the query-based method itself.</w:t>
      </w:r>
    </w:p>
    <w:p>
      <w:pPr>
        <w:pStyle w:val="BodyText"/>
      </w:pPr>
      <w:r>
        <w:rPr>
          <w:iCs/>
          <w:i/>
        </w:rPr>
        <w:t xml:space="preserve">Governance failures:</w:t>
      </w:r>
      <w:r>
        <w:t xml:space="preserve"> </w:t>
      </w:r>
      <w:r>
        <w:t xml:space="preserve">per Section 1 §5, unresolved blocking risks escalate to the Executive Sponsor, not to the Work Package owner alone — applicable here only if a confirmed gap cannot be remediated within this Work Package’s scope.</w:t>
      </w:r>
    </w:p>
    <w:p>
      <w:pPr>
        <w:pStyle w:val="BodyText"/>
      </w:pPr>
      <w:r>
        <w:rPr>
          <w:iCs/>
          <w:i/>
        </w:rPr>
        <w:t xml:space="preserve">Trigger failures:</w:t>
      </w:r>
      <w:r>
        <w:t xml:space="preserve"> </w:t>
      </w:r>
      <w:r>
        <w:t xml:space="preserve">Not Applicable — EGD-0007’s adoption trigger is immediate, not deferred (Phase A.3 §4).</w:t>
      </w:r>
    </w:p>
    <w:p>
      <w:pPr>
        <w:pStyle w:val="BodyText"/>
      </w:pPr>
      <w:r>
        <w:rPr>
          <w:bCs/>
          <w:b/>
        </w:rPr>
        <w:t xml:space="preserve">I. Performance Considerations</w:t>
      </w:r>
    </w:p>
    <w:p>
      <w:pPr>
        <w:pStyle w:val="BodyText"/>
      </w:pPr>
      <w:r>
        <w:t xml:space="preserve">Not Evidenced in Current Baseline for this Work Package’s verification scope.</w:t>
      </w:r>
    </w:p>
    <w:p>
      <w:pPr>
        <w:pStyle w:val="BodyText"/>
      </w:pPr>
      <w:r>
        <w:rPr>
          <w:bCs/>
          <w:b/>
        </w:rPr>
        <w:t xml:space="preserve">J. Design Constraints</w:t>
      </w:r>
    </w:p>
    <w:p>
      <w:pPr>
        <w:numPr>
          <w:ilvl w:val="0"/>
          <w:numId w:val="1004"/>
        </w:numPr>
        <w:pStyle w:val="Compact"/>
      </w:pPr>
      <w:r>
        <w:t xml:space="preserve">Must reuse the existing, confirmed RLS pattern; this design does not create a new security pattern (AP-003).</w:t>
      </w:r>
    </w:p>
    <w:p>
      <w:pPr>
        <w:numPr>
          <w:ilvl w:val="0"/>
          <w:numId w:val="1004"/>
        </w:numPr>
        <w:pStyle w:val="Compact"/>
      </w:pPr>
      <w:r>
        <w:t xml:space="preserve">Scope is fixed to the four table groups Phase A.1 §8 flagged as unverified — no broader security review is in scope here (that is WP-0005’s column-level extension).</w:t>
      </w:r>
    </w:p>
    <w:p>
      <w:pPr>
        <w:numPr>
          <w:ilvl w:val="0"/>
          <w:numId w:val="1004"/>
        </w:numPr>
        <w:pStyle w:val="Compact"/>
      </w:pPr>
      <w:r>
        <w:t xml:space="preserve">Any contingency remediation must apply the exact pattern already proven on</w:t>
      </w:r>
      <w:r>
        <w:t xml:space="preserve"> </w:t>
      </w:r>
      <w:r>
        <w:rPr>
          <w:rStyle w:val="VerbatimChar"/>
        </w:rPr>
        <w:t xml:space="preserve">student_academic_records</w:t>
      </w:r>
      <w:r>
        <w:t xml:space="preserve">, not a variant.</w:t>
      </w:r>
    </w:p>
    <w:p>
      <w:pPr>
        <w:pStyle w:val="FirstParagraph"/>
      </w:pPr>
      <w:r>
        <w:rPr>
          <w:bCs/>
          <w:b/>
        </w:rPr>
        <w:t xml:space="preserve">K. Design Assumptions</w:t>
      </w:r>
    </w:p>
    <w:p>
      <w:pPr>
        <w:pStyle w:val="BodyText"/>
      </w:pPr>
      <w:r>
        <w:rPr>
          <w:iCs/>
          <w:i/>
        </w:rPr>
        <w:t xml:space="preserve">Approved assumption:</w:t>
      </w:r>
      <w:r>
        <w:t xml:space="preserve"> </w:t>
      </w:r>
      <w:r>
        <w:t xml:space="preserve">the existing RLS pattern is sound and directly reusable (confirmed by Phase A.1 §8’s finding on the two already-verified tables).</w:t>
      </w:r>
    </w:p>
    <w:p>
      <w:pPr>
        <w:pStyle w:val="BodyText"/>
      </w:pPr>
      <w:r>
        <w:rPr>
          <w:iCs/>
          <w:i/>
        </w:rPr>
        <w:t xml:space="preserve">Evidence-based assumption:</w:t>
      </w:r>
      <w:r>
        <w:t xml:space="preserve"> </w:t>
      </w:r>
      <w:r>
        <w:t xml:space="preserve">the four in-scope table groups were explicitly flagged unverified, not confirmed-missing (Phase A.1 §8) — this design assumes an unknown outcome, not a presumed gap.</w:t>
      </w:r>
    </w:p>
    <w:p>
      <w:pPr>
        <w:pStyle w:val="BodyText"/>
      </w:pPr>
      <w:r>
        <w:rPr>
          <w:iCs/>
          <w:i/>
        </w:rPr>
        <w:t xml:space="preserve">Explicit limitation:</w:t>
      </w:r>
      <w:r>
        <w:t xml:space="preserve"> </w:t>
      </w:r>
      <w:r>
        <w:t xml:space="preserve">this design does not assume the outcome of the audit; the written confirmation this Work Package produces is the first point at which coverage status becomes known with evidence.</w:t>
      </w:r>
    </w:p>
    <w:p>
      <w:r>
        <w:pict>
          <v:rect style="width:0;height:1.5pt" o:hralign="center" o:hrstd="t" o:hr="t"/>
        </w:pict>
      </w:r>
    </w:p>
    <w:bookmarkEnd w:id="23"/>
    <w:bookmarkStart w:id="24" w:name="X924cc236d9bf8677f90d8f20c1e9e087656c1a7"/>
    <w:p>
      <w:pPr>
        <w:pStyle w:val="Heading3"/>
      </w:pPr>
      <w:r>
        <w:t xml:space="preserve">WP-0003 — Partitioning Assessment and Plan for High-Growth Tables</w:t>
      </w:r>
    </w:p>
    <w:p>
      <w:pPr>
        <w:pStyle w:val="FirstParagraph"/>
      </w:pPr>
      <w:r>
        <w:rPr>
          <w:bCs/>
          <w:b/>
        </w:rPr>
        <w:t xml:space="preserve">A. Engineering Overview</w:t>
      </w:r>
    </w:p>
    <w:p>
      <w:pPr>
        <w:pStyle w:val="BodyText"/>
      </w:pPr>
      <w:r>
        <w:rPr>
          <w:iCs/>
          <w:i/>
        </w:rPr>
        <w:t xml:space="preserve">Engineering objective:</w:t>
      </w:r>
      <w:r>
        <w:t xml:space="preserve"> </w:t>
      </w:r>
      <w:r>
        <w:t xml:space="preserve">assess and, if warranted, plan native range partitioning for the four high-growth historical/derived tables Phase A originally designated, executing EGD-0004 (Defer) once its trigger fires.</w:t>
      </w:r>
    </w:p>
    <w:p>
      <w:pPr>
        <w:pStyle w:val="BodyText"/>
      </w:pPr>
      <w:r>
        <w:rPr>
          <w:iCs/>
          <w:i/>
        </w:rPr>
        <w:t xml:space="preserve">Design intent:</w:t>
      </w:r>
      <w:r>
        <w:t xml:space="preserve"> </w:t>
      </w:r>
      <w:r>
        <w:t xml:space="preserve">this Work Package’s design is deliberately dormant. Consistent with AP-008 (trigger-based, not calendar-based evolution), no substantive design activity beyond quarterly monitoring is specified until the trigger condition is met.</w:t>
      </w:r>
    </w:p>
    <w:p>
      <w:pPr>
        <w:pStyle w:val="BodyText"/>
      </w:pPr>
      <w:r>
        <w:rPr>
          <w:iCs/>
          <w:i/>
        </w:rPr>
        <w:t xml:space="preserve">Design scope:</w:t>
      </w:r>
      <w:r>
        <w:t xml:space="preserve"> </w:t>
      </w:r>
      <w:r>
        <w:rPr>
          <w:rStyle w:val="VerbatimChar"/>
        </w:rPr>
        <w:t xml:space="preserve">student_academic_records</w:t>
      </w:r>
      <w:r>
        <w:t xml:space="preserve"> </w:t>
      </w:r>
      <w:r>
        <w:t xml:space="preserve">and the cognitive/signal-vector table set (Phase A.3 §3).</w:t>
      </w:r>
    </w:p>
    <w:p>
      <w:pPr>
        <w:pStyle w:val="BodyText"/>
      </w:pPr>
      <w:r>
        <w:rPr>
          <w:iCs/>
          <w:i/>
        </w:rPr>
        <w:t xml:space="preserve">Engineering boundaries:</w:t>
      </w:r>
      <w:r>
        <w:t xml:space="preserve"> </w:t>
      </w:r>
      <w:r>
        <w:t xml:space="preserve">assessment and (conditionally) migration design only once EGD-0004’s threshold fires; no partitioning work is designed to occur before then.</w:t>
      </w:r>
    </w:p>
    <w:p>
      <w:pPr>
        <w:pStyle w:val="BodyText"/>
      </w:pPr>
      <w:r>
        <w:rPr>
          <w:bCs/>
          <w:b/>
        </w:rPr>
        <w:t xml:space="preserve">B. Functional Design</w:t>
      </w:r>
    </w:p>
    <w:p>
      <w:pPr>
        <w:pStyle w:val="BodyText"/>
      </w:pPr>
      <w:r>
        <w:t xml:space="preserve">Not yet applicable in operative detail — Reserved pending trigger. Once triggered, functional behavior is: measure current row-count and query-latency against the EGD-0004 thresholds, and produce a partitioning assessment/plan.</w:t>
      </w:r>
    </w:p>
    <w:p>
      <w:pPr>
        <w:pStyle w:val="BodyText"/>
      </w:pPr>
      <w:r>
        <w:rPr>
          <w:bCs/>
          <w:b/>
        </w:rPr>
        <w:t xml:space="preserve">C. Technical Design</w:t>
      </w:r>
    </w:p>
    <w:p>
      <w:pPr>
        <w:pStyle w:val="BodyText"/>
      </w:pPr>
      <w:r>
        <w:rPr>
          <w:iCs/>
          <w:i/>
        </w:rPr>
        <w:t xml:space="preserve">Technical implementation approach:</w:t>
      </w:r>
      <w:r>
        <w:t xml:space="preserve"> </w:t>
      </w:r>
      <w:r>
        <w:t xml:space="preserve">native PostgreSQL range partitioning, consistent with the pattern already proven on</w:t>
      </w:r>
      <w:r>
        <w:t xml:space="preserve"> </w:t>
      </w:r>
      <w:r>
        <w:rPr>
          <w:rStyle w:val="VerbatimChar"/>
        </w:rPr>
        <w:t xml:space="preserve">chi_scores</w:t>
      </w:r>
      <w:r>
        <w:t xml:space="preserve"> </w:t>
      </w:r>
      <w:r>
        <w:t xml:space="preserve">(Phase A.3 §5, ER-0004) — no new partitioning technique is designed; this Work Package’s technical design is to apply an already-demonstrated internal pattern to a new table set.</w:t>
      </w:r>
    </w:p>
    <w:p>
      <w:pPr>
        <w:pStyle w:val="BodyText"/>
      </w:pPr>
      <w:r>
        <w:rPr>
          <w:iCs/>
          <w:i/>
        </w:rPr>
        <w:t xml:space="preserve">Repository interaction:</w:t>
      </w:r>
      <w:r>
        <w:t xml:space="preserve"> </w:t>
      </w:r>
      <w:r>
        <w:t xml:space="preserve">database migration repository, conditional on the trigger firing.</w:t>
      </w:r>
    </w:p>
    <w:p>
      <w:pPr>
        <w:pStyle w:val="BodyText"/>
      </w:pPr>
      <w:r>
        <w:rPr>
          <w:iCs/>
          <w:i/>
        </w:rPr>
        <w:t xml:space="preserve">Database interaction:</w:t>
      </w:r>
      <w:r>
        <w:t xml:space="preserve"> </w:t>
      </w:r>
      <w:r>
        <w:t xml:space="preserve">conditional native partitioning migration.</w:t>
      </w:r>
    </w:p>
    <w:p>
      <w:pPr>
        <w:pStyle w:val="BodyText"/>
      </w:pPr>
      <w:r>
        <w:rPr>
          <w:iCs/>
          <w:i/>
        </w:rPr>
        <w:t xml:space="preserve">Documentation interaction:</w:t>
      </w:r>
      <w:r>
        <w:t xml:space="preserve"> </w:t>
      </w:r>
      <w:r>
        <w:t xml:space="preserve">partitioning assessment report (conditional).</w:t>
      </w:r>
    </w:p>
    <w:p>
      <w:pPr>
        <w:pStyle w:val="BodyText"/>
      </w:pPr>
      <w:r>
        <w:rPr>
          <w:iCs/>
          <w:i/>
        </w:rPr>
        <w:t xml:space="preserve">Verification interaction:</w:t>
      </w:r>
      <w:r>
        <w:t xml:space="preserve"> </w:t>
      </w:r>
      <w:r>
        <w:t xml:space="preserve">quarterly row-count/latency check against the EGD-0004 trigger.</w:t>
      </w:r>
    </w:p>
    <w:p>
      <w:pPr>
        <w:pStyle w:val="BodyText"/>
      </w:pPr>
      <w:r>
        <w:rPr>
          <w:bCs/>
          <w:b/>
        </w:rPr>
        <w:t xml:space="preserve">D. Logical Engineering Flow</w:t>
      </w:r>
    </w:p>
    <w:p>
      <w:pPr>
        <w:numPr>
          <w:ilvl w:val="0"/>
          <w:numId w:val="1005"/>
        </w:numPr>
        <w:pStyle w:val="Compact"/>
      </w:pPr>
      <w:r>
        <w:t xml:space="preserve">Quarterly row-count/latency check runs against the four designated tables (standing activity, not conditional on the trigger).</w:t>
      </w:r>
    </w:p>
    <w:p>
      <w:pPr>
        <w:numPr>
          <w:ilvl w:val="0"/>
          <w:numId w:val="1005"/>
        </w:numPr>
        <w:pStyle w:val="Compact"/>
      </w:pPr>
      <w:r>
        <w:t xml:space="preserve">Compare measured values against EGD-0004’s thresholds: &gt;10M rows, measurable latency degradation, or the</w:t>
      </w:r>
      <w:r>
        <w:t xml:space="preserve"> </w:t>
      </w:r>
      <w:r>
        <w:t xml:space="preserve">“</w:t>
      </w:r>
      <w:r>
        <w:t xml:space="preserve">ten downstream AI systems</w:t>
      </w:r>
      <w:r>
        <w:t xml:space="preserve">”</w:t>
      </w:r>
      <w:r>
        <w:t xml:space="preserve"> </w:t>
      </w:r>
      <w:r>
        <w:t xml:space="preserve">scale target Phase A itself cited.</w:t>
      </w:r>
    </w:p>
    <w:p>
      <w:pPr>
        <w:numPr>
          <w:ilvl w:val="0"/>
          <w:numId w:val="1005"/>
        </w:numPr>
        <w:pStyle w:val="Compact"/>
      </w:pPr>
      <w:r>
        <w:t xml:space="preserve">If none of the thresholds is met, log the quarterly review (VAR-04) and take no further action.</w:t>
      </w:r>
    </w:p>
    <w:p>
      <w:pPr>
        <w:numPr>
          <w:ilvl w:val="0"/>
          <w:numId w:val="1005"/>
        </w:numPr>
        <w:pStyle w:val="Compact"/>
      </w:pPr>
      <w:r>
        <w:t xml:space="preserve">If a threshold is met, the Platform Engineering Lead performs the partitioning assessment.</w:t>
      </w:r>
    </w:p>
    <w:p>
      <w:pPr>
        <w:numPr>
          <w:ilvl w:val="0"/>
          <w:numId w:val="1005"/>
        </w:numPr>
        <w:pStyle w:val="Compact"/>
      </w:pPr>
      <w:r>
        <w:t xml:space="preserve">If the assessment recommends migration, design the partition scheme mirroring the</w:t>
      </w:r>
      <w:r>
        <w:t xml:space="preserve"> </w:t>
      </w:r>
      <w:r>
        <w:rPr>
          <w:rStyle w:val="VerbatimChar"/>
        </w:rPr>
        <w:t xml:space="preserve">chi_scores</w:t>
      </w:r>
      <w:r>
        <w:t xml:space="preserve"> </w:t>
      </w:r>
      <w:r>
        <w:t xml:space="preserve">precedent.</w:t>
      </w:r>
    </w:p>
    <w:p>
      <w:pPr>
        <w:numPr>
          <w:ilvl w:val="0"/>
          <w:numId w:val="1005"/>
        </w:numPr>
        <w:pStyle w:val="Compact"/>
      </w:pPr>
      <w:r>
        <w:t xml:space="preserve">Build the migration to the AR-0010/EGD-0009 idempotent, rollback-ready standard.</w:t>
      </w:r>
    </w:p>
    <w:p>
      <w:pPr>
        <w:numPr>
          <w:ilvl w:val="0"/>
          <w:numId w:val="1005"/>
        </w:numPr>
        <w:pStyle w:val="Compact"/>
      </w:pPr>
      <w:r>
        <w:t xml:space="preserve">Execute and verify; update the EGD-0004 trigger-monitoring log and AR-0004 traceability status.</w:t>
      </w:r>
    </w:p>
    <w:p>
      <w:pPr>
        <w:pStyle w:val="FirstParagraph"/>
      </w:pPr>
      <w:r>
        <w:rPr>
          <w:bCs/>
          <w:b/>
        </w:rPr>
        <w:t xml:space="preserve">E. Data Flow</w:t>
      </w:r>
    </w:p>
    <w:p>
      <w:pPr>
        <w:pStyle w:val="BodyText"/>
      </w:pPr>
      <w:r>
        <w:rPr>
          <w:iCs/>
          <w:i/>
        </w:rPr>
        <w:t xml:space="preserve">Data sources:</w:t>
      </w:r>
      <w:r>
        <w:t xml:space="preserve"> </w:t>
      </w:r>
      <w:r>
        <w:t xml:space="preserve">row-count and query-latency telemetry for the four designated tables — not yet gathered (external dependency, Phase B §7).</w:t>
      </w:r>
    </w:p>
    <w:p>
      <w:pPr>
        <w:pStyle w:val="BodyText"/>
      </w:pPr>
      <w:r>
        <w:rPr>
          <w:iCs/>
          <w:i/>
        </w:rPr>
        <w:t xml:space="preserve">Data consumers:</w:t>
      </w:r>
      <w:r>
        <w:t xml:space="preserve"> </w:t>
      </w:r>
      <w:r>
        <w:t xml:space="preserve">Platform Engineering Lead.</w:t>
      </w:r>
    </w:p>
    <w:p>
      <w:pPr>
        <w:pStyle w:val="BodyText"/>
      </w:pPr>
      <w:r>
        <w:rPr>
          <w:iCs/>
          <w:i/>
        </w:rPr>
        <w:t xml:space="preserve">Data verification:</w:t>
      </w:r>
      <w:r>
        <w:t xml:space="preserve"> </w:t>
      </w:r>
      <w:r>
        <w:t xml:space="preserve">quarterly row-count/latency check against the EGD-0004 trigger.</w:t>
      </w:r>
    </w:p>
    <w:p>
      <w:pPr>
        <w:pStyle w:val="BodyText"/>
      </w:pPr>
      <w:r>
        <w:rPr>
          <w:iCs/>
          <w:i/>
        </w:rPr>
        <w:t xml:space="preserve">Data updates:</w:t>
      </w:r>
      <w:r>
        <w:t xml:space="preserve"> </w:t>
      </w:r>
      <w:r>
        <w:t xml:space="preserve">none until and unless the trigger fires and a migration is executed.</w:t>
      </w:r>
    </w:p>
    <w:p>
      <w:pPr>
        <w:pStyle w:val="BodyText"/>
      </w:pPr>
      <w:r>
        <w:rPr>
          <w:bCs/>
          <w:b/>
        </w:rPr>
        <w:t xml:space="preserve">F. Repository Flow</w:t>
      </w:r>
    </w:p>
    <w:p>
      <w:pPr>
        <w:pStyle w:val="BodyText"/>
      </w:pPr>
      <w:r>
        <w:rPr>
          <w:iCs/>
          <w:i/>
        </w:rPr>
        <w:t xml:space="preserve">Documentation flow:</w:t>
      </w:r>
      <w:r>
        <w:t xml:space="preserve"> </w:t>
      </w:r>
      <w:r>
        <w:t xml:space="preserve">partitioning assessment report, conditional on the trigger.</w:t>
      </w:r>
    </w:p>
    <w:p>
      <w:pPr>
        <w:pStyle w:val="BodyText"/>
      </w:pPr>
      <w:r>
        <w:rPr>
          <w:iCs/>
          <w:i/>
        </w:rPr>
        <w:t xml:space="preserve">Database flow:</w:t>
      </w:r>
      <w:r>
        <w:t xml:space="preserve"> </w:t>
      </w:r>
      <w:r>
        <w:t xml:space="preserve">conditional native partitioning migration.</w:t>
      </w:r>
    </w:p>
    <w:p>
      <w:pPr>
        <w:pStyle w:val="BodyText"/>
      </w:pPr>
      <w:r>
        <w:rPr>
          <w:iCs/>
          <w:i/>
        </w:rPr>
        <w:t xml:space="preserve">Verification flow:</w:t>
      </w:r>
      <w:r>
        <w:t xml:space="preserve"> </w:t>
      </w:r>
      <w:r>
        <w:t xml:space="preserve">quarterly monitoring, standing regardless of trigger status.</w:t>
      </w:r>
    </w:p>
    <w:p>
      <w:pPr>
        <w:pStyle w:val="BodyText"/>
      </w:pPr>
      <w:r>
        <w:rPr>
          <w:iCs/>
          <w:i/>
        </w:rPr>
        <w:t xml:space="preserve">Governance flow:</w:t>
      </w:r>
      <w:r>
        <w:t xml:space="preserve"> </w:t>
      </w:r>
      <w:r>
        <w:t xml:space="preserve">EGD-0004 trigger-monitoring log; VAR-04 quarterly review record.</w:t>
      </w:r>
    </w:p>
    <w:p>
      <w:pPr>
        <w:pStyle w:val="BodyText"/>
      </w:pPr>
      <w:r>
        <w:rPr>
          <w:bCs/>
          <w:b/>
        </w:rPr>
        <w:t xml:space="preserve">G. Security Design</w:t>
      </w:r>
    </w:p>
    <w:p>
      <w:pPr>
        <w:pStyle w:val="BodyText"/>
      </w:pPr>
      <w:r>
        <w:t xml:space="preserve">Not Applicable to this Work Package.</w:t>
      </w:r>
    </w:p>
    <w:p>
      <w:pPr>
        <w:pStyle w:val="BodyText"/>
      </w:pPr>
      <w:r>
        <w:rPr>
          <w:bCs/>
          <w:b/>
        </w:rPr>
        <w:t xml:space="preserve">H. Error Handling</w:t>
      </w:r>
    </w:p>
    <w:p>
      <w:pPr>
        <w:pStyle w:val="BodyText"/>
      </w:pPr>
      <w:r>
        <w:rPr>
          <w:iCs/>
          <w:i/>
        </w:rPr>
        <w:t xml:space="preserve">Validation failures:</w:t>
      </w:r>
      <w:r>
        <w:t xml:space="preserve"> </w:t>
      </w:r>
      <w:r>
        <w:t xml:space="preserve">Not Evidenced in Current Baseline — assessment has not yet begun.</w:t>
      </w:r>
    </w:p>
    <w:p>
      <w:pPr>
        <w:pStyle w:val="BodyText"/>
      </w:pPr>
      <w:r>
        <w:rPr>
          <w:iCs/>
          <w:i/>
        </w:rPr>
        <w:t xml:space="preserve">Verification failures:</w:t>
      </w:r>
      <w:r>
        <w:t xml:space="preserve"> </w:t>
      </w:r>
      <w:r>
        <w:t xml:space="preserve">the quarterly check reports current state against threshold; it does not have a pass/fail mode of its own, only a triggered/not-triggered outcome.</w:t>
      </w:r>
    </w:p>
    <w:p>
      <w:pPr>
        <w:pStyle w:val="BodyText"/>
      </w:pPr>
      <w:r>
        <w:rPr>
          <w:iCs/>
          <w:i/>
        </w:rPr>
        <w:t xml:space="preserve">Governance failures:</w:t>
      </w:r>
      <w:r>
        <w:t xml:space="preserve"> </w:t>
      </w:r>
      <w:r>
        <w:t xml:space="preserve">Not Evidenced in Current Baseline for this Work Package.</w:t>
      </w:r>
    </w:p>
    <w:p>
      <w:pPr>
        <w:pStyle w:val="BodyText"/>
      </w:pPr>
      <w:r>
        <w:rPr>
          <w:iCs/>
          <w:i/>
        </w:rPr>
        <w:t xml:space="preserve">Trigger failures:</w:t>
      </w:r>
      <w:r>
        <w:t xml:space="preserve"> </w:t>
      </w:r>
      <w:r>
        <w:t xml:space="preserve">Not Applicable — trigger-based design is the intended behavior of this Work Package, not a failure mode to be handled.</w:t>
      </w:r>
    </w:p>
    <w:p>
      <w:pPr>
        <w:pStyle w:val="BodyText"/>
      </w:pPr>
      <w:r>
        <w:rPr>
          <w:bCs/>
          <w:b/>
        </w:rPr>
        <w:t xml:space="preserve">I. Performance Considerations</w:t>
      </w:r>
    </w:p>
    <w:p>
      <w:pPr>
        <w:pStyle w:val="BodyText"/>
      </w:pPr>
      <w:r>
        <w:t xml:space="preserve">This dimension is central to WP-0003’s design, not incidental to it.</w:t>
      </w:r>
      <w:r>
        <w:t xml:space="preserve"> </w:t>
      </w:r>
      <w:r>
        <w:rPr>
          <w:iCs/>
          <w:i/>
        </w:rPr>
        <w:t xml:space="preserve">Performance implications:</w:t>
      </w:r>
      <w:r>
        <w:t xml:space="preserve"> </w:t>
      </w:r>
      <w:r>
        <w:t xml:space="preserve">unpartitioned, append-heavy growth on the four designated tables is the risk this Work Package exists to monitor and, if triggered, remediate (Phase A.1 §13).</w:t>
      </w:r>
      <w:r>
        <w:t xml:space="preserve"> </w:t>
      </w:r>
      <w:r>
        <w:rPr>
          <w:iCs/>
          <w:i/>
        </w:rPr>
        <w:t xml:space="preserve">Scalability implications:</w:t>
      </w:r>
      <w:r>
        <w:t xml:space="preserve"> </w:t>
      </w:r>
      <w:r>
        <w:t xml:space="preserve">the</w:t>
      </w:r>
      <w:r>
        <w:t xml:space="preserve"> </w:t>
      </w:r>
      <w:r>
        <w:t xml:space="preserve">“</w:t>
      </w:r>
      <w:r>
        <w:t xml:space="preserve">ten downstream AI systems</w:t>
      </w:r>
      <w:r>
        <w:t xml:space="preserve">”</w:t>
      </w:r>
      <w:r>
        <w:t xml:space="preserve"> </w:t>
      </w:r>
      <w:r>
        <w:t xml:space="preserve">scale target Phase A cites is one of three explicit trigger conditions.</w:t>
      </w:r>
      <w:r>
        <w:t xml:space="preserve"> </w:t>
      </w:r>
      <w:r>
        <w:rPr>
          <w:iCs/>
          <w:i/>
        </w:rPr>
        <w:t xml:space="preserve">Trigger thresholds:</w:t>
      </w:r>
      <w:r>
        <w:t xml:space="preserve"> </w:t>
      </w:r>
      <w:r>
        <w:t xml:space="preserve">&gt;10M rows; measurable query-latency degradation in production monitoring; the 10-downstream-system scale target.</w:t>
      </w:r>
      <w:r>
        <w:t xml:space="preserve"> </w:t>
      </w:r>
      <w:r>
        <w:rPr>
          <w:iCs/>
          <w:i/>
        </w:rPr>
        <w:t xml:space="preserve">Monitoring considerations:</w:t>
      </w:r>
      <w:r>
        <w:t xml:space="preserve"> </w:t>
      </w:r>
      <w:r>
        <w:t xml:space="preserve">quarterly, standing, regardless of whether the trigger has fired.</w:t>
      </w:r>
    </w:p>
    <w:p>
      <w:pPr>
        <w:pStyle w:val="BodyText"/>
      </w:pPr>
      <w:r>
        <w:rPr>
          <w:bCs/>
          <w:b/>
        </w:rPr>
        <w:t xml:space="preserve">J. Design Constraints</w:t>
      </w:r>
    </w:p>
    <w:p>
      <w:pPr>
        <w:numPr>
          <w:ilvl w:val="0"/>
          <w:numId w:val="1006"/>
        </w:numPr>
        <w:pStyle w:val="Compact"/>
      </w:pPr>
      <w:r>
        <w:t xml:space="preserve">No design or migration work beyond quarterly monitoring may proceed before the EGD-0004 trigger fires (AP-008).</w:t>
      </w:r>
    </w:p>
    <w:p>
      <w:pPr>
        <w:numPr>
          <w:ilvl w:val="0"/>
          <w:numId w:val="1006"/>
        </w:numPr>
        <w:pStyle w:val="Compact"/>
      </w:pPr>
      <w:r>
        <w:t xml:space="preserve">Any migration, if triggered, must mirror the</w:t>
      </w:r>
      <w:r>
        <w:t xml:space="preserve"> </w:t>
      </w:r>
      <w:r>
        <w:rPr>
          <w:rStyle w:val="VerbatimChar"/>
        </w:rPr>
        <w:t xml:space="preserve">chi_scores</w:t>
      </w:r>
      <w:r>
        <w:t xml:space="preserve"> </w:t>
      </w:r>
      <w:r>
        <w:t xml:space="preserve">precedent rather than a newly-invented partitioning approach.</w:t>
      </w:r>
    </w:p>
    <w:p>
      <w:pPr>
        <w:numPr>
          <w:ilvl w:val="0"/>
          <w:numId w:val="1006"/>
        </w:numPr>
        <w:pStyle w:val="Compact"/>
      </w:pPr>
      <w:r>
        <w:t xml:space="preserve">Any migration must meet the AR-0010/EGD-0009 idempotent, rollback-ready standard.</w:t>
      </w:r>
    </w:p>
    <w:p>
      <w:pPr>
        <w:pStyle w:val="FirstParagraph"/>
      </w:pPr>
      <w:r>
        <w:rPr>
          <w:bCs/>
          <w:b/>
        </w:rPr>
        <w:t xml:space="preserve">K. Design Assumptions</w:t>
      </w:r>
    </w:p>
    <w:p>
      <w:pPr>
        <w:pStyle w:val="BodyText"/>
      </w:pPr>
      <w:r>
        <w:rPr>
          <w:iCs/>
          <w:i/>
        </w:rPr>
        <w:t xml:space="preserve">Approved assumption:</w:t>
      </w:r>
      <w:r>
        <w:t xml:space="preserve"> </w:t>
      </w:r>
      <w:r>
        <w:t xml:space="preserve">the team’s</w:t>
      </w:r>
      <w:r>
        <w:t xml:space="preserve"> </w:t>
      </w:r>
      <w:r>
        <w:rPr>
          <w:rStyle w:val="VerbatimChar"/>
        </w:rPr>
        <w:t xml:space="preserve">chi_scores</w:t>
      </w:r>
      <w:r>
        <w:t xml:space="preserve"> </w:t>
      </w:r>
      <w:r>
        <w:t xml:space="preserve">partitioning precedent generalizes to the student-academic table set (ER-0004’s justification).</w:t>
      </w:r>
    </w:p>
    <w:p>
      <w:pPr>
        <w:pStyle w:val="BodyText"/>
      </w:pPr>
      <w:r>
        <w:rPr>
          <w:iCs/>
          <w:i/>
        </w:rPr>
        <w:t xml:space="preserve">Evidence-based assumption:</w:t>
      </w:r>
      <w:r>
        <w:t xml:space="preserve"> </w:t>
      </w:r>
      <w:r>
        <w:t xml:space="preserve">no</w:t>
      </w:r>
      <w:r>
        <w:t xml:space="preserve"> </w:t>
      </w:r>
      <w:r>
        <w:rPr>
          <w:rStyle w:val="VerbatimChar"/>
        </w:rPr>
        <w:t xml:space="preserve">PARTITION BY</w:t>
      </w:r>
      <w:r>
        <w:t xml:space="preserve"> </w:t>
      </w:r>
      <w:r>
        <w:t xml:space="preserve">clause exists today on any student-academic-domain table (Phase A.1 §2), so this design starts from an unpartitioned baseline with no prior partial migration to reconcile.</w:t>
      </w:r>
    </w:p>
    <w:p>
      <w:pPr>
        <w:pStyle w:val="BodyText"/>
      </w:pPr>
      <w:r>
        <w:rPr>
          <w:iCs/>
          <w:i/>
        </w:rPr>
        <w:t xml:space="preserve">Explicit limitation:</w:t>
      </w:r>
      <w:r>
        <w:t xml:space="preserve"> </w:t>
      </w:r>
      <w:r>
        <w:t xml:space="preserve">no current row-count or latency data exists in the approved baseline — this is an acknowledged external dependency (Phase B §7), not an assumption this design fills in.</w:t>
      </w:r>
    </w:p>
    <w:p>
      <w:r>
        <w:pict>
          <v:rect style="width:0;height:1.5pt" o:hralign="center" o:hrstd="t" o:hr="t"/>
        </w:pict>
      </w:r>
    </w:p>
    <w:bookmarkEnd w:id="24"/>
    <w:bookmarkStart w:id="25" w:name="Xbfd7d6fcf2bce6368d4c7389193baeaaa642d0b"/>
    <w:p>
      <w:pPr>
        <w:pStyle w:val="Heading3"/>
      </w:pPr>
      <w:r>
        <w:t xml:space="preserve">WP-0004 — Document the Accepted Direct-FK Taxonomy Pattern and Establish a Per-Release Denormalization Check</w:t>
      </w:r>
    </w:p>
    <w:p>
      <w:pPr>
        <w:pStyle w:val="FirstParagraph"/>
      </w:pPr>
      <w:r>
        <w:rPr>
          <w:bCs/>
          <w:b/>
        </w:rPr>
        <w:t xml:space="preserve">A. Engineering Overview</w:t>
      </w:r>
    </w:p>
    <w:p>
      <w:pPr>
        <w:pStyle w:val="BodyText"/>
      </w:pPr>
      <w:r>
        <w:rPr>
          <w:iCs/>
          <w:i/>
        </w:rPr>
        <w:t xml:space="preserve">Engineering objective:</w:t>
      </w:r>
      <w:r>
        <w:t xml:space="preserve"> </w:t>
      </w:r>
      <w:r>
        <w:t xml:space="preserve">document the accepted direct-FK taxonomy referencing pattern and establish an automated, per-release check for the one specific harm pattern EGD-0003’s acceptance is conditioned on.</w:t>
      </w:r>
    </w:p>
    <w:p>
      <w:pPr>
        <w:pStyle w:val="BodyText"/>
      </w:pPr>
      <w:r>
        <w:rPr>
          <w:iCs/>
          <w:i/>
        </w:rPr>
        <w:t xml:space="preserve">Design intent:</w:t>
      </w:r>
      <w:r>
        <w:t xml:space="preserve"> </w:t>
      </w:r>
      <w:r>
        <w:t xml:space="preserve">durable monitoring, not a one-time document. EGD-0003 accepted the direct-FK pattern</w:t>
      </w:r>
      <w:r>
        <w:t xml:space="preserve"> </w:t>
      </w:r>
      <w:r>
        <w:rPr>
          <w:iCs/>
          <w:i/>
        </w:rPr>
        <w:t xml:space="preserve">conditionally</w:t>
      </w:r>
      <w:r>
        <w:t xml:space="preserve"> </w:t>
      </w:r>
      <w:r>
        <w:t xml:space="preserve">— the design goal is a standing check, not a closed-out task.</w:t>
      </w:r>
    </w:p>
    <w:p>
      <w:pPr>
        <w:pStyle w:val="BodyText"/>
      </w:pPr>
      <w:r>
        <w:rPr>
          <w:iCs/>
          <w:i/>
        </w:rPr>
        <w:t xml:space="preserve">Design scope:</w:t>
      </w:r>
      <w:r>
        <w:t xml:space="preserve"> </w:t>
      </w:r>
      <w:r>
        <w:t xml:space="preserve">direct-FK taxonomy references such as</w:t>
      </w:r>
      <w:r>
        <w:t xml:space="preserve"> </w:t>
      </w:r>
      <w:r>
        <w:rPr>
          <w:rStyle w:val="VerbatimChar"/>
        </w:rPr>
        <w:t xml:space="preserve">academic_boards.country_id → countries_master.id</w:t>
      </w:r>
      <w:r>
        <w:t xml:space="preserve">, and every student-owned table that could denormalize a taxonomy fact onto its own rows.</w:t>
      </w:r>
    </w:p>
    <w:p>
      <w:pPr>
        <w:pStyle w:val="BodyText"/>
      </w:pPr>
      <w:r>
        <w:rPr>
          <w:iCs/>
          <w:i/>
        </w:rPr>
        <w:t xml:space="preserve">Engineering boundaries:</w:t>
      </w:r>
      <w:r>
        <w:t xml:space="preserve"> </w:t>
      </w:r>
      <w:r>
        <w:t xml:space="preserve">no retrofit to the</w:t>
      </w:r>
      <w:r>
        <w:t xml:space="preserve"> </w:t>
      </w:r>
      <w:r>
        <w:rPr>
          <w:rStyle w:val="VerbatimChar"/>
        </w:rPr>
        <w:t xml:space="preserve">_code</w:t>
      </w:r>
      <w:r>
        <w:t xml:space="preserve">+</w:t>
      </w:r>
      <w:r>
        <w:rPr>
          <w:rStyle w:val="VerbatimChar"/>
        </w:rPr>
        <w:t xml:space="preserve">taxonomy_version_id</w:t>
      </w:r>
      <w:r>
        <w:t xml:space="preserve"> </w:t>
      </w:r>
      <w:r>
        <w:t xml:space="preserve">pattern unless the check finds a violation (contingency only).</w:t>
      </w:r>
    </w:p>
    <w:p>
      <w:pPr>
        <w:pStyle w:val="BodyText"/>
      </w:pPr>
      <w:r>
        <w:rPr>
          <w:bCs/>
          <w:b/>
        </w:rPr>
        <w:t xml:space="preserve">B. Functional Design</w:t>
      </w:r>
    </w:p>
    <w:p>
      <w:pPr>
        <w:pStyle w:val="BodyText"/>
      </w:pPr>
      <w:r>
        <w:rPr>
          <w:iCs/>
          <w:i/>
        </w:rPr>
        <w:t xml:space="preserve">Functional behavior:</w:t>
      </w:r>
      <w:r>
        <w:t xml:space="preserve"> </w:t>
      </w:r>
      <w:r>
        <w:t xml:space="preserve">author pattern documentation, then design and operate a check that scans student-owned tables for the specific harm pattern (denormalized taxonomy facts), not the accepted direct-FK pattern itself.</w:t>
      </w:r>
    </w:p>
    <w:p>
      <w:pPr>
        <w:pStyle w:val="BodyText"/>
      </w:pPr>
      <w:r>
        <w:rPr>
          <w:iCs/>
          <w:i/>
        </w:rPr>
        <w:t xml:space="preserve">Functional responsibilities:</w:t>
      </w:r>
      <w:r>
        <w:t xml:space="preserve"> </w:t>
      </w:r>
      <w:r>
        <w:t xml:space="preserve">the Data Governance Owner (named via WP-0006).</w:t>
      </w:r>
    </w:p>
    <w:p>
      <w:pPr>
        <w:pStyle w:val="BodyText"/>
      </w:pPr>
      <w:r>
        <w:rPr>
          <w:iCs/>
          <w:i/>
        </w:rPr>
        <w:t xml:space="preserve">Functional outcomes:</w:t>
      </w:r>
      <w:r>
        <w:t xml:space="preserve"> </w:t>
      </w:r>
      <w:r>
        <w:t xml:space="preserve">published pattern documentation plus an operating per-release automated denormalization check.</w:t>
      </w:r>
    </w:p>
    <w:p>
      <w:pPr>
        <w:pStyle w:val="BodyText"/>
      </w:pPr>
      <w:r>
        <w:rPr>
          <w:bCs/>
          <w:b/>
        </w:rPr>
        <w:t xml:space="preserve">C. Technical Design</w:t>
      </w:r>
    </w:p>
    <w:p>
      <w:pPr>
        <w:pStyle w:val="BodyText"/>
      </w:pPr>
      <w:r>
        <w:rPr>
          <w:iCs/>
          <w:i/>
        </w:rPr>
        <w:t xml:space="preserve">Technical implementation approach:</w:t>
      </w:r>
      <w:r>
        <w:t xml:space="preserve"> </w:t>
      </w:r>
      <w:r>
        <w:t xml:space="preserve">automated check tooling scanning direct-FK-referencing tables for descriptive/text columns that duplicate a reference table’s own descriptive fields — the exact pattern WP-ARCH-01A.2 identified as the actual source of reconciliation debt (Phase A.2, ADR-003).</w:t>
      </w:r>
    </w:p>
    <w:p>
      <w:pPr>
        <w:pStyle w:val="BodyText"/>
      </w:pPr>
      <w:r>
        <w:rPr>
          <w:iCs/>
          <w:i/>
        </w:rPr>
        <w:t xml:space="preserve">Repository interaction:</w:t>
      </w:r>
      <w:r>
        <w:t xml:space="preserve"> </w:t>
      </w:r>
      <w:r>
        <w:t xml:space="preserve">database repository and the CI/release pipeline, to the extent one already exists (Section 1 §7 notes broader CI/CD tooling beyond migration idempotency is not evidenced).</w:t>
      </w:r>
    </w:p>
    <w:p>
      <w:pPr>
        <w:pStyle w:val="BodyText"/>
      </w:pPr>
      <w:r>
        <w:rPr>
          <w:iCs/>
          <w:i/>
        </w:rPr>
        <w:t xml:space="preserve">Database interaction:</w:t>
      </w:r>
      <w:r>
        <w:t xml:space="preserve"> </w:t>
      </w:r>
      <w:r>
        <w:t xml:space="preserve">none in baseline scope — the pattern is already implemented and accepted conditionally; database interaction occurs only as contingency if a retrofit is triggered.</w:t>
      </w:r>
    </w:p>
    <w:p>
      <w:pPr>
        <w:pStyle w:val="BodyText"/>
      </w:pPr>
      <w:r>
        <w:rPr>
          <w:iCs/>
          <w:i/>
        </w:rPr>
        <w:t xml:space="preserve">Documentation interaction:</w:t>
      </w:r>
      <w:r>
        <w:t xml:space="preserve"> </w:t>
      </w:r>
      <w:r>
        <w:t xml:space="preserve">primary deliverable.</w:t>
      </w:r>
    </w:p>
    <w:p>
      <w:pPr>
        <w:pStyle w:val="BodyText"/>
      </w:pPr>
      <w:r>
        <w:rPr>
          <w:iCs/>
          <w:i/>
        </w:rPr>
        <w:t xml:space="preserve">Verification interaction:</w:t>
      </w:r>
      <w:r>
        <w:t xml:space="preserve"> </w:t>
      </w:r>
      <w:r>
        <w:t xml:space="preserve">per-release automated check.</w:t>
      </w:r>
    </w:p>
    <w:p>
      <w:pPr>
        <w:pStyle w:val="BodyText"/>
      </w:pPr>
      <w:r>
        <w:rPr>
          <w:bCs/>
          <w:b/>
        </w:rPr>
        <w:t xml:space="preserve">D. Logical Engineering Flow</w:t>
      </w:r>
    </w:p>
    <w:p>
      <w:pPr>
        <w:numPr>
          <w:ilvl w:val="0"/>
          <w:numId w:val="1007"/>
        </w:numPr>
        <w:pStyle w:val="Compact"/>
      </w:pPr>
      <w:r>
        <w:t xml:space="preserve">Data Governance Owner authors the pattern documentation, describing the direct-FK design and the specific condition EGD-0003 attaches to its acceptance.</w:t>
      </w:r>
    </w:p>
    <w:p>
      <w:pPr>
        <w:numPr>
          <w:ilvl w:val="0"/>
          <w:numId w:val="1007"/>
        </w:numPr>
        <w:pStyle w:val="Compact"/>
      </w:pPr>
      <w:r>
        <w:t xml:space="preserve">Design the automated check: scan every student-owned table’s columns for a descriptive/text value that duplicates a taxonomy reference table’s own descriptive field (not merely for the presence of a direct FK, which is accepted).</w:t>
      </w:r>
    </w:p>
    <w:p>
      <w:pPr>
        <w:numPr>
          <w:ilvl w:val="0"/>
          <w:numId w:val="1007"/>
        </w:numPr>
        <w:pStyle w:val="Compact"/>
      </w:pPr>
      <w:r>
        <w:t xml:space="preserve">Integrate the check into the release pipeline, to the extent one exists.</w:t>
      </w:r>
    </w:p>
    <w:p>
      <w:pPr>
        <w:numPr>
          <w:ilvl w:val="0"/>
          <w:numId w:val="1007"/>
        </w:numPr>
        <w:pStyle w:val="Compact"/>
      </w:pPr>
      <w:r>
        <w:t xml:space="preserve">Run the check each release; log the result as the VAR-03 per-release review.</w:t>
      </w:r>
    </w:p>
    <w:p>
      <w:pPr>
        <w:numPr>
          <w:ilvl w:val="0"/>
          <w:numId w:val="1007"/>
        </w:numPr>
        <w:pStyle w:val="Compact"/>
      </w:pPr>
      <w:r>
        <w:t xml:space="preserve">If a violation is found, do not retrofit inline — scope the retrofit as its own future ERP work package (per EGD-0003’s migration strategy), and flag the finding for governance review.</w:t>
      </w:r>
    </w:p>
    <w:p>
      <w:pPr>
        <w:pStyle w:val="FirstParagraph"/>
      </w:pPr>
      <w:r>
        <w:rPr>
          <w:bCs/>
          <w:b/>
        </w:rPr>
        <w:t xml:space="preserve">E. Data Flow</w:t>
      </w:r>
    </w:p>
    <w:p>
      <w:pPr>
        <w:pStyle w:val="BodyText"/>
      </w:pPr>
      <w:r>
        <w:rPr>
          <w:iCs/>
          <w:i/>
        </w:rPr>
        <w:t xml:space="preserve">Data sources:</w:t>
      </w:r>
      <w:r>
        <w:t xml:space="preserve"> </w:t>
      </w:r>
      <w:r>
        <w:t xml:space="preserve">column definitions and content patterns on student-owned tables referencing taxonomy tables.</w:t>
      </w:r>
    </w:p>
    <w:p>
      <w:pPr>
        <w:pStyle w:val="BodyText"/>
      </w:pPr>
      <w:r>
        <w:rPr>
          <w:iCs/>
          <w:i/>
        </w:rPr>
        <w:t xml:space="preserve">Data consumers:</w:t>
      </w:r>
      <w:r>
        <w:t xml:space="preserve"> </w:t>
      </w:r>
      <w:r>
        <w:t xml:space="preserve">Data Governance Owner; the release pipeline, to the extent one exists.</w:t>
      </w:r>
    </w:p>
    <w:p>
      <w:pPr>
        <w:pStyle w:val="BodyText"/>
      </w:pPr>
      <w:r>
        <w:rPr>
          <w:iCs/>
          <w:i/>
        </w:rPr>
        <w:t xml:space="preserve">Data verification:</w:t>
      </w:r>
      <w:r>
        <w:t xml:space="preserve"> </w:t>
      </w:r>
      <w:r>
        <w:t xml:space="preserve">per-release automated check output.</w:t>
      </w:r>
    </w:p>
    <w:p>
      <w:pPr>
        <w:pStyle w:val="BodyText"/>
      </w:pPr>
      <w:r>
        <w:rPr>
          <w:iCs/>
          <w:i/>
        </w:rPr>
        <w:t xml:space="preserve">Data updates:</w:t>
      </w:r>
      <w:r>
        <w:t xml:space="preserve"> </w:t>
      </w:r>
      <w:r>
        <w:t xml:space="preserve">none in baseline scope; a retrofit migration is contingency-only.</w:t>
      </w:r>
    </w:p>
    <w:p>
      <w:pPr>
        <w:pStyle w:val="BodyText"/>
      </w:pPr>
      <w:r>
        <w:rPr>
          <w:bCs/>
          <w:b/>
        </w:rPr>
        <w:t xml:space="preserve">F. Repository Flow</w:t>
      </w:r>
    </w:p>
    <w:p>
      <w:pPr>
        <w:pStyle w:val="BodyText"/>
      </w:pPr>
      <w:r>
        <w:rPr>
          <w:iCs/>
          <w:i/>
        </w:rPr>
        <w:t xml:space="preserve">Documentation flow:</w:t>
      </w:r>
      <w:r>
        <w:t xml:space="preserve"> </w:t>
      </w:r>
      <w:r>
        <w:t xml:space="preserve">new pattern documentation.</w:t>
      </w:r>
    </w:p>
    <w:p>
      <w:pPr>
        <w:pStyle w:val="BodyText"/>
      </w:pPr>
      <w:r>
        <w:rPr>
          <w:iCs/>
          <w:i/>
        </w:rPr>
        <w:t xml:space="preserve">Database flow:</w:t>
      </w:r>
      <w:r>
        <w:t xml:space="preserve"> </w:t>
      </w:r>
      <w:r>
        <w:t xml:space="preserve">none in baseline scope.</w:t>
      </w:r>
    </w:p>
    <w:p>
      <w:pPr>
        <w:pStyle w:val="BodyText"/>
      </w:pPr>
      <w:r>
        <w:rPr>
          <w:iCs/>
          <w:i/>
        </w:rPr>
        <w:t xml:space="preserve">Verification flow:</w:t>
      </w:r>
      <w:r>
        <w:t xml:space="preserve"> </w:t>
      </w:r>
      <w:r>
        <w:t xml:space="preserve">per-release automated check, standing.</w:t>
      </w:r>
    </w:p>
    <w:p>
      <w:pPr>
        <w:pStyle w:val="BodyText"/>
      </w:pPr>
      <w:r>
        <w:rPr>
          <w:iCs/>
          <w:i/>
        </w:rPr>
        <w:t xml:space="preserve">Governance flow:</w:t>
      </w:r>
      <w:r>
        <w:t xml:space="preserve"> </w:t>
      </w:r>
      <w:r>
        <w:t xml:space="preserve">VAR-03 per-release review log; AR-0003 traceability status update.</w:t>
      </w:r>
    </w:p>
    <w:p>
      <w:pPr>
        <w:pStyle w:val="BodyText"/>
      </w:pPr>
      <w:r>
        <w:rPr>
          <w:bCs/>
          <w:b/>
        </w:rPr>
        <w:t xml:space="preserve">G. Security Design</w:t>
      </w:r>
    </w:p>
    <w:p>
      <w:pPr>
        <w:pStyle w:val="BodyText"/>
      </w:pPr>
      <w:r>
        <w:t xml:space="preserve">Not Applicable to this Work Package.</w:t>
      </w:r>
    </w:p>
    <w:p>
      <w:pPr>
        <w:pStyle w:val="BodyText"/>
      </w:pPr>
      <w:r>
        <w:rPr>
          <w:bCs/>
          <w:b/>
        </w:rPr>
        <w:t xml:space="preserve">H. Error Handling</w:t>
      </w:r>
    </w:p>
    <w:p>
      <w:pPr>
        <w:pStyle w:val="BodyText"/>
      </w:pPr>
      <w:r>
        <w:rPr>
          <w:iCs/>
          <w:i/>
        </w:rPr>
        <w:t xml:space="preserve">Validation failures:</w:t>
      </w:r>
      <w:r>
        <w:t xml:space="preserve"> </w:t>
      </w:r>
      <w:r>
        <w:t xml:space="preserve">a check detecting a denormalized taxonomy fact on a student-owned table is logged as an EGD-0003 condition violation; the retrofit is scoped as a new Work Package rather than performed reactively within this one (per EGD-0003’s migration strategy).</w:t>
      </w:r>
    </w:p>
    <w:p>
      <w:pPr>
        <w:pStyle w:val="BodyText"/>
      </w:pPr>
      <w:r>
        <w:rPr>
          <w:iCs/>
          <w:i/>
        </w:rPr>
        <w:t xml:space="preserve">Verification failures:</w:t>
      </w:r>
      <w:r>
        <w:t xml:space="preserve"> </w:t>
      </w:r>
      <w:r>
        <w:t xml:space="preserve">Not Evidenced in Current Baseline beyond the check’s pass/violation output.</w:t>
      </w:r>
    </w:p>
    <w:p>
      <w:pPr>
        <w:pStyle w:val="BodyText"/>
      </w:pPr>
      <w:r>
        <w:rPr>
          <w:iCs/>
          <w:i/>
        </w:rPr>
        <w:t xml:space="preserve">Governance failures:</w:t>
      </w:r>
      <w:r>
        <w:t xml:space="preserve"> </w:t>
      </w:r>
      <w:r>
        <w:t xml:space="preserve">Not Evidenced in Current Baseline for this Work Package.</w:t>
      </w:r>
    </w:p>
    <w:p>
      <w:pPr>
        <w:pStyle w:val="BodyText"/>
      </w:pPr>
      <w:r>
        <w:rPr>
          <w:iCs/>
          <w:i/>
        </w:rPr>
        <w:t xml:space="preserve">Trigger failures:</w:t>
      </w:r>
      <w:r>
        <w:t xml:space="preserve"> </w:t>
      </w:r>
      <w:r>
        <w:t xml:space="preserve">Not Applicable — this Work Package’s check is condition-based (per-release, ongoing), not scheduled against an external trigger the way WP-0003 is.</w:t>
      </w:r>
    </w:p>
    <w:p>
      <w:pPr>
        <w:pStyle w:val="BodyText"/>
      </w:pPr>
      <w:r>
        <w:rPr>
          <w:bCs/>
          <w:b/>
        </w:rPr>
        <w:t xml:space="preserve">I. Performance Considerations</w:t>
      </w:r>
    </w:p>
    <w:p>
      <w:pPr>
        <w:pStyle w:val="BodyText"/>
      </w:pPr>
      <w:r>
        <w:t xml:space="preserve">Not Evidenced in Current Baseline.</w:t>
      </w:r>
    </w:p>
    <w:p>
      <w:pPr>
        <w:pStyle w:val="BodyText"/>
      </w:pPr>
      <w:r>
        <w:rPr>
          <w:bCs/>
          <w:b/>
        </w:rPr>
        <w:t xml:space="preserve">J. Design Constraints</w:t>
      </w:r>
    </w:p>
    <w:p>
      <w:pPr>
        <w:numPr>
          <w:ilvl w:val="0"/>
          <w:numId w:val="1008"/>
        </w:numPr>
        <w:pStyle w:val="Compact"/>
      </w:pPr>
      <w:r>
        <w:t xml:space="preserve">The check must test for the specific denormalization harm pattern only, not for the presence of direct-FK references generally — the direct-FK pattern itself is accepted (EGD-0003), not the thing being flagged.</w:t>
      </w:r>
    </w:p>
    <w:p>
      <w:pPr>
        <w:numPr>
          <w:ilvl w:val="0"/>
          <w:numId w:val="1008"/>
        </w:numPr>
        <w:pStyle w:val="Compact"/>
      </w:pPr>
      <w:r>
        <w:t xml:space="preserve">No retrofit to</w:t>
      </w:r>
      <w:r>
        <w:t xml:space="preserve"> </w:t>
      </w:r>
      <w:r>
        <w:rPr>
          <w:rStyle w:val="VerbatimChar"/>
        </w:rPr>
        <w:t xml:space="preserve">_code</w:t>
      </w:r>
      <w:r>
        <w:t xml:space="preserve">+</w:t>
      </w:r>
      <w:r>
        <w:rPr>
          <w:rStyle w:val="VerbatimChar"/>
        </w:rPr>
        <w:t xml:space="preserve">taxonomy_version_id</w:t>
      </w:r>
      <w:r>
        <w:t xml:space="preserve"> </w:t>
      </w:r>
      <w:r>
        <w:t xml:space="preserve">may be performed absent a confirmed violation or a confirmed taxonomy-versioning need (EGD-0003’s two adoption triggers).</w:t>
      </w:r>
    </w:p>
    <w:p>
      <w:pPr>
        <w:pStyle w:val="FirstParagraph"/>
      </w:pPr>
      <w:r>
        <w:rPr>
          <w:bCs/>
          <w:b/>
        </w:rPr>
        <w:t xml:space="preserve">K. Design Assumptions</w:t>
      </w:r>
    </w:p>
    <w:p>
      <w:pPr>
        <w:pStyle w:val="BodyText"/>
      </w:pPr>
      <w:r>
        <w:rPr>
          <w:iCs/>
          <w:i/>
        </w:rPr>
        <w:t xml:space="preserve">Approved assumption:</w:t>
      </w:r>
      <w:r>
        <w:t xml:space="preserve"> </w:t>
      </w:r>
      <w:r>
        <w:t xml:space="preserve">the direct-FK pattern remains acceptable at current taxonomy stability (EGD-0003, Accepted-conditional).</w:t>
      </w:r>
    </w:p>
    <w:p>
      <w:pPr>
        <w:pStyle w:val="BodyText"/>
      </w:pPr>
      <w:r>
        <w:rPr>
          <w:iCs/>
          <w:i/>
        </w:rPr>
        <w:t xml:space="preserve">Evidence-based assumption:</w:t>
      </w:r>
      <w:r>
        <w:t xml:space="preserve"> </w:t>
      </w:r>
      <w:r>
        <w:t xml:space="preserve">Phase A.1 §3–4 found</w:t>
      </w:r>
      <w:r>
        <w:t xml:space="preserve"> </w:t>
      </w:r>
      <w:r>
        <w:rPr>
          <w:rStyle w:val="VerbatimChar"/>
        </w:rPr>
        <w:t xml:space="preserve">academic_boards.country_id</w:t>
      </w:r>
      <w:r>
        <w:t xml:space="preserve"> </w:t>
      </w:r>
      <w:r>
        <w:t xml:space="preserve">to be a conventional, well-constrained FK with no denormalization found to date — this design’s starting condition is a clean baseline, not a known violation to remediate.</w:t>
      </w:r>
    </w:p>
    <w:p>
      <w:pPr>
        <w:pStyle w:val="BodyText"/>
      </w:pPr>
      <w:r>
        <w:rPr>
          <w:iCs/>
          <w:i/>
        </w:rPr>
        <w:t xml:space="preserve">Explicit limitation:</w:t>
      </w:r>
      <w:r>
        <w:t xml:space="preserve"> </w:t>
      </w:r>
      <w:r>
        <w:t xml:space="preserve">“</w:t>
      </w:r>
      <w:r>
        <w:t xml:space="preserve">to the extent one exists</w:t>
      </w:r>
      <w:r>
        <w:t xml:space="preserve">”</w:t>
      </w:r>
      <w:r>
        <w:t xml:space="preserve"> </w:t>
      </w:r>
      <w:r>
        <w:t xml:space="preserve">for CI/release-pipeline integration is a stated limitation, not an assumption — Section 1 §7 confirms broader CI/CD tooling beyond migration idempotency is not evidenced in the approved repositories.</w:t>
      </w:r>
    </w:p>
    <w:p>
      <w:r>
        <w:pict>
          <v:rect style="width:0;height:1.5pt" o:hralign="center" o:hrstd="t" o:hr="t"/>
        </w:pict>
      </w:r>
    </w:p>
    <w:bookmarkEnd w:id="25"/>
    <w:bookmarkStart w:id="26" w:name="Xdb650634032033821836071de2db8e464cde4d7"/>
    <w:p>
      <w:pPr>
        <w:pStyle w:val="Heading3"/>
      </w:pPr>
      <w:r>
        <w:t xml:space="preserve">WP-0005 — Column-Level Access Review for Free-Text/JSON Payload Columns</w:t>
      </w:r>
    </w:p>
    <w:p>
      <w:pPr>
        <w:pStyle w:val="FirstParagraph"/>
      </w:pPr>
      <w:r>
        <w:rPr>
          <w:bCs/>
          <w:b/>
        </w:rPr>
        <w:t xml:space="preserve">A. Engineering Overview</w:t>
      </w:r>
    </w:p>
    <w:p>
      <w:pPr>
        <w:pStyle w:val="BodyText"/>
      </w:pPr>
      <w:r>
        <w:rPr>
          <w:iCs/>
          <w:i/>
        </w:rPr>
        <w:t xml:space="preserve">Engineering objective:</w:t>
      </w:r>
      <w:r>
        <w:t xml:space="preserve"> </w:t>
      </w:r>
      <w:r>
        <w:t xml:space="preserve">review free-text/JSON payload columns (e.g., cognitive raw responses) for column-level access-control needs beyond the table-level RLS verified under WP-0002, as an extension of AR-0007.</w:t>
      </w:r>
    </w:p>
    <w:p>
      <w:pPr>
        <w:pStyle w:val="BodyText"/>
      </w:pPr>
      <w:r>
        <w:rPr>
          <w:iCs/>
          <w:i/>
        </w:rPr>
        <w:t xml:space="preserve">Design intent:</w:t>
      </w:r>
      <w:r>
        <w:t xml:space="preserve"> </w:t>
      </w:r>
      <w:r>
        <w:t xml:space="preserve">extend WP-0002’s verification design to column granularity, reusing its method rather than defining a new one.</w:t>
      </w:r>
    </w:p>
    <w:p>
      <w:pPr>
        <w:pStyle w:val="BodyText"/>
      </w:pPr>
      <w:r>
        <w:rPr>
          <w:iCs/>
          <w:i/>
        </w:rPr>
        <w:t xml:space="preserve">Design scope:</w:t>
      </w:r>
      <w:r>
        <w:t xml:space="preserve"> </w:t>
      </w:r>
      <w:r>
        <w:t xml:space="preserve">free-text/JSON payload columns, beginning with cognitive raw responses on</w:t>
      </w:r>
      <w:r>
        <w:t xml:space="preserve"> </w:t>
      </w:r>
      <w:r>
        <w:rPr>
          <w:rStyle w:val="VerbatimChar"/>
        </w:rPr>
        <w:t xml:space="preserve">student_cognitive_responses</w:t>
      </w:r>
      <w:r>
        <w:t xml:space="preserve"> </w:t>
      </w:r>
      <w:r>
        <w:t xml:space="preserve">and related tables (Phase A.1 §8).</w:t>
      </w:r>
    </w:p>
    <w:p>
      <w:pPr>
        <w:pStyle w:val="BodyText"/>
      </w:pPr>
      <w:r>
        <w:rPr>
          <w:iCs/>
          <w:i/>
        </w:rPr>
        <w:t xml:space="preserve">Engineering boundaries:</w:t>
      </w:r>
      <w:r>
        <w:t xml:space="preserve"> </w:t>
      </w:r>
      <w:r>
        <w:t xml:space="preserve">review only in baseline scope; a column-level policy or</w:t>
      </w:r>
      <w:r>
        <w:t xml:space="preserve"> </w:t>
      </w:r>
      <w:r>
        <w:rPr>
          <w:rStyle w:val="VerbatimChar"/>
        </w:rPr>
        <w:t xml:space="preserve">REVOKE</w:t>
      </w:r>
      <w:r>
        <w:t xml:space="preserve"> </w:t>
      </w:r>
      <w:r>
        <w:t xml:space="preserve">change is contingency-only, applied only if the review finds a protection gap.</w:t>
      </w:r>
    </w:p>
    <w:p>
      <w:pPr>
        <w:pStyle w:val="BodyText"/>
      </w:pPr>
      <w:r>
        <w:rPr>
          <w:bCs/>
          <w:b/>
        </w:rPr>
        <w:t xml:space="preserve">B. Functional Design</w:t>
      </w:r>
    </w:p>
    <w:p>
      <w:pPr>
        <w:pStyle w:val="BodyText"/>
      </w:pPr>
      <w:r>
        <w:rPr>
          <w:iCs/>
          <w:i/>
        </w:rPr>
        <w:t xml:space="preserve">Functional behavior:</w:t>
      </w:r>
      <w:r>
        <w:t xml:space="preserve"> </w:t>
      </w:r>
      <w:r>
        <w:t xml:space="preserve">for each in-scope column, assess whether table-level RLS (already verified by WP-0002) is sufficient protection or whether column-level restriction is separately warranted, and record an explicit decision.</w:t>
      </w:r>
    </w:p>
    <w:p>
      <w:pPr>
        <w:pStyle w:val="BodyText"/>
      </w:pPr>
      <w:r>
        <w:rPr>
          <w:iCs/>
          <w:i/>
        </w:rPr>
        <w:t xml:space="preserve">Functional responsibilities:</w:t>
      </w:r>
      <w:r>
        <w:t xml:space="preserve"> </w:t>
      </w:r>
      <w:r>
        <w:t xml:space="preserve">the Security/Platform Engineer (named via WP-0006), the same role responsible for WP-0002.</w:t>
      </w:r>
    </w:p>
    <w:p>
      <w:pPr>
        <w:pStyle w:val="BodyText"/>
      </w:pPr>
      <w:r>
        <w:rPr>
          <w:iCs/>
          <w:i/>
        </w:rPr>
        <w:t xml:space="preserve">Functional outcomes:</w:t>
      </w:r>
      <w:r>
        <w:t xml:space="preserve"> </w:t>
      </w:r>
      <w:r>
        <w:t xml:space="preserve">a review report with a documented protection-level decision for every reviewed column.</w:t>
      </w:r>
    </w:p>
    <w:p>
      <w:pPr>
        <w:pStyle w:val="BodyText"/>
      </w:pPr>
      <w:r>
        <w:rPr>
          <w:bCs/>
          <w:b/>
        </w:rPr>
        <w:t xml:space="preserve">C. Technical Design</w:t>
      </w:r>
    </w:p>
    <w:p>
      <w:pPr>
        <w:pStyle w:val="BodyText"/>
      </w:pPr>
      <w:r>
        <w:rPr>
          <w:iCs/>
          <w:i/>
        </w:rPr>
        <w:t xml:space="preserve">Technical implementation approach:</w:t>
      </w:r>
      <w:r>
        <w:t xml:space="preserve"> </w:t>
      </w:r>
      <w:r>
        <w:t xml:space="preserve">column-level permission/RLS-extension review, using WP-0002’s written-evidence verification method as the design template (Section 2, Part D).</w:t>
      </w:r>
    </w:p>
    <w:p>
      <w:pPr>
        <w:pStyle w:val="BodyText"/>
      </w:pPr>
      <w:r>
        <w:rPr>
          <w:iCs/>
          <w:i/>
        </w:rPr>
        <w:t xml:space="preserve">Repository interaction:</w:t>
      </w:r>
      <w:r>
        <w:t xml:space="preserve"> </w:t>
      </w:r>
      <w:r>
        <w:t xml:space="preserve">database repository.</w:t>
      </w:r>
    </w:p>
    <w:p>
      <w:pPr>
        <w:pStyle w:val="BodyText"/>
      </w:pPr>
      <w:r>
        <w:rPr>
          <w:iCs/>
          <w:i/>
        </w:rPr>
        <w:t xml:space="preserve">Database interaction:</w:t>
      </w:r>
      <w:r>
        <w:t xml:space="preserve"> </w:t>
      </w:r>
      <w:r>
        <w:t xml:space="preserve">review-based, primary; a conditional column-level policy or</w:t>
      </w:r>
      <w:r>
        <w:t xml:space="preserve"> </w:t>
      </w:r>
      <w:r>
        <w:rPr>
          <w:rStyle w:val="VerbatimChar"/>
        </w:rPr>
        <w:t xml:space="preserve">REVOKE</w:t>
      </w:r>
      <w:r>
        <w:t xml:space="preserve"> </w:t>
      </w:r>
      <w:r>
        <w:t xml:space="preserve">change only if warranted.</w:t>
      </w:r>
    </w:p>
    <w:p>
      <w:pPr>
        <w:pStyle w:val="BodyText"/>
      </w:pPr>
      <w:r>
        <w:rPr>
          <w:iCs/>
          <w:i/>
        </w:rPr>
        <w:t xml:space="preserve">Documentation interaction:</w:t>
      </w:r>
      <w:r>
        <w:t xml:space="preserve"> </w:t>
      </w:r>
      <w:r>
        <w:t xml:space="preserve">new access-review report.</w:t>
      </w:r>
    </w:p>
    <w:p>
      <w:pPr>
        <w:pStyle w:val="BodyText"/>
      </w:pPr>
      <w:r>
        <w:rPr>
          <w:iCs/>
          <w:i/>
        </w:rPr>
        <w:t xml:space="preserve">Verification interaction:</w:t>
      </w:r>
      <w:r>
        <w:t xml:space="preserve"> </w:t>
      </w:r>
      <w:r>
        <w:t xml:space="preserve">review findings, following WP-0002’s template.</w:t>
      </w:r>
    </w:p>
    <w:p>
      <w:pPr>
        <w:pStyle w:val="BodyText"/>
      </w:pPr>
      <w:r>
        <w:rPr>
          <w:bCs/>
          <w:b/>
        </w:rPr>
        <w:t xml:space="preserve">D. Logical Engineering Flow</w:t>
      </w:r>
    </w:p>
    <w:p>
      <w:pPr>
        <w:numPr>
          <w:ilvl w:val="0"/>
          <w:numId w:val="1009"/>
        </w:numPr>
        <w:pStyle w:val="Compact"/>
      </w:pPr>
      <w:r>
        <w:t xml:space="preserve">Enumerate free-text/JSON payload columns, beginning with cognitive raw responses (Phase A.1 §8’s identified starting point).</w:t>
      </w:r>
    </w:p>
    <w:p>
      <w:pPr>
        <w:numPr>
          <w:ilvl w:val="0"/>
          <w:numId w:val="1009"/>
        </w:numPr>
        <w:pStyle w:val="Compact"/>
      </w:pPr>
      <w:r>
        <w:t xml:space="preserve">For each column, assess whether WP-0002’s confirmed table-level RLS already provides adequate protection or whether the column’s content sensitivity warrants column-level restriction beyond it.</w:t>
      </w:r>
    </w:p>
    <w:p>
      <w:pPr>
        <w:numPr>
          <w:ilvl w:val="0"/>
          <w:numId w:val="1009"/>
        </w:numPr>
        <w:pStyle w:val="Compact"/>
      </w:pPr>
      <w:r>
        <w:t xml:space="preserve">Record a protection-level decision per column (e.g., adequate-as-is, or restrict-via-policy/REVOKE).</w:t>
      </w:r>
    </w:p>
    <w:p>
      <w:pPr>
        <w:numPr>
          <w:ilvl w:val="0"/>
          <w:numId w:val="1009"/>
        </w:numPr>
        <w:pStyle w:val="Compact"/>
      </w:pPr>
      <w:r>
        <w:t xml:space="preserve">Apply a column-level policy or</w:t>
      </w:r>
      <w:r>
        <w:t xml:space="preserve"> </w:t>
      </w:r>
      <w:r>
        <w:rPr>
          <w:rStyle w:val="VerbatimChar"/>
        </w:rPr>
        <w:t xml:space="preserve">REVOKE</w:t>
      </w:r>
      <w:r>
        <w:t xml:space="preserve"> </w:t>
      </w:r>
      <w:r>
        <w:t xml:space="preserve">change only where the review finds a gap warranting one (contingency).</w:t>
      </w:r>
    </w:p>
    <w:p>
      <w:pPr>
        <w:numPr>
          <w:ilvl w:val="0"/>
          <w:numId w:val="1009"/>
        </w:numPr>
        <w:pStyle w:val="Compact"/>
      </w:pPr>
      <w:r>
        <w:t xml:space="preserve">Publish the review report, following WP-0002’s written-evidence format.</w:t>
      </w:r>
    </w:p>
    <w:p>
      <w:pPr>
        <w:pStyle w:val="FirstParagraph"/>
      </w:pPr>
      <w:r>
        <w:rPr>
          <w:bCs/>
          <w:b/>
        </w:rPr>
        <w:t xml:space="preserve">E. Data Flow</w:t>
      </w:r>
    </w:p>
    <w:p>
      <w:pPr>
        <w:pStyle w:val="BodyText"/>
      </w:pPr>
      <w:r>
        <w:rPr>
          <w:iCs/>
          <w:i/>
        </w:rPr>
        <w:t xml:space="preserve">Data sources:</w:t>
      </w:r>
      <w:r>
        <w:t xml:space="preserve"> </w:t>
      </w:r>
      <w:r>
        <w:t xml:space="preserve">column definitions on</w:t>
      </w:r>
      <w:r>
        <w:t xml:space="preserve"> </w:t>
      </w:r>
      <w:r>
        <w:rPr>
          <w:rStyle w:val="VerbatimChar"/>
        </w:rPr>
        <w:t xml:space="preserve">student_cognitive_responses</w:t>
      </w:r>
      <w:r>
        <w:t xml:space="preserve"> </w:t>
      </w:r>
      <w:r>
        <w:t xml:space="preserve">and related free-text/JSON payload tables.</w:t>
      </w:r>
    </w:p>
    <w:p>
      <w:pPr>
        <w:pStyle w:val="BodyText"/>
      </w:pPr>
      <w:r>
        <w:rPr>
          <w:iCs/>
          <w:i/>
        </w:rPr>
        <w:t xml:space="preserve">Data consumers:</w:t>
      </w:r>
      <w:r>
        <w:t xml:space="preserve"> </w:t>
      </w:r>
      <w:r>
        <w:t xml:space="preserve">Security/Platform Engineer.</w:t>
      </w:r>
    </w:p>
    <w:p>
      <w:pPr>
        <w:pStyle w:val="BodyText"/>
      </w:pPr>
      <w:r>
        <w:rPr>
          <w:iCs/>
          <w:i/>
        </w:rPr>
        <w:t xml:space="preserve">Data verification:</w:t>
      </w:r>
      <w:r>
        <w:t xml:space="preserve"> </w:t>
      </w:r>
      <w:r>
        <w:t xml:space="preserve">review findings, using WP-0002’s template as the standing evidence format.</w:t>
      </w:r>
    </w:p>
    <w:p>
      <w:pPr>
        <w:pStyle w:val="BodyText"/>
      </w:pPr>
      <w:r>
        <w:rPr>
          <w:iCs/>
          <w:i/>
        </w:rPr>
        <w:t xml:space="preserve">Data updates:</w:t>
      </w:r>
      <w:r>
        <w:t xml:space="preserve"> </w:t>
      </w:r>
      <w:r>
        <w:t xml:space="preserve">none in baseline scope; a conditional column-level policy change only if warranted.</w:t>
      </w:r>
    </w:p>
    <w:p>
      <w:pPr>
        <w:pStyle w:val="BodyText"/>
      </w:pPr>
      <w:r>
        <w:rPr>
          <w:bCs/>
          <w:b/>
        </w:rPr>
        <w:t xml:space="preserve">F. Repository Flow</w:t>
      </w:r>
    </w:p>
    <w:p>
      <w:pPr>
        <w:pStyle w:val="BodyText"/>
      </w:pPr>
      <w:r>
        <w:rPr>
          <w:iCs/>
          <w:i/>
        </w:rPr>
        <w:t xml:space="preserve">Documentation flow:</w:t>
      </w:r>
      <w:r>
        <w:t xml:space="preserve"> </w:t>
      </w:r>
      <w:r>
        <w:t xml:space="preserve">new review report.</w:t>
      </w:r>
    </w:p>
    <w:p>
      <w:pPr>
        <w:pStyle w:val="BodyText"/>
      </w:pPr>
      <w:r>
        <w:rPr>
          <w:iCs/>
          <w:i/>
        </w:rPr>
        <w:t xml:space="preserve">Database flow:</w:t>
      </w:r>
      <w:r>
        <w:t xml:space="preserve"> </w:t>
      </w:r>
      <w:r>
        <w:t xml:space="preserve">conditional column-level policy/</w:t>
      </w:r>
      <w:r>
        <w:rPr>
          <w:rStyle w:val="VerbatimChar"/>
        </w:rPr>
        <w:t xml:space="preserve">REVOKE</w:t>
      </w:r>
      <w:r>
        <w:t xml:space="preserve"> </w:t>
      </w:r>
      <w:r>
        <w:t xml:space="preserve">change only.</w:t>
      </w:r>
    </w:p>
    <w:p>
      <w:pPr>
        <w:pStyle w:val="BodyText"/>
      </w:pPr>
      <w:r>
        <w:rPr>
          <w:iCs/>
          <w:i/>
        </w:rPr>
        <w:t xml:space="preserve">Verification flow:</w:t>
      </w:r>
      <w:r>
        <w:t xml:space="preserve"> </w:t>
      </w:r>
      <w:r>
        <w:t xml:space="preserve">review-based, following WP-0002’s template — a Test Repository dependency on WP-0002’s method (Section 3 §5).</w:t>
      </w:r>
    </w:p>
    <w:p>
      <w:pPr>
        <w:pStyle w:val="BodyText"/>
      </w:pPr>
      <w:r>
        <w:rPr>
          <w:iCs/>
          <w:i/>
        </w:rPr>
        <w:t xml:space="preserve">Governance flow:</w:t>
      </w:r>
      <w:r>
        <w:t xml:space="preserve"> </w:t>
      </w:r>
      <w:r>
        <w:t xml:space="preserve">protection-level decision logged per reviewed column; AR-0007 extension traceability status update.</w:t>
      </w:r>
    </w:p>
    <w:p>
      <w:pPr>
        <w:pStyle w:val="BodyText"/>
      </w:pPr>
      <w:r>
        <w:rPr>
          <w:bCs/>
          <w:b/>
        </w:rPr>
        <w:t xml:space="preserve">G. Security Design</w:t>
      </w:r>
    </w:p>
    <w:p>
      <w:pPr>
        <w:pStyle w:val="BodyText"/>
      </w:pPr>
      <w:r>
        <w:rPr>
          <w:iCs/>
          <w:i/>
        </w:rPr>
        <w:t xml:space="preserve">Security verification:</w:t>
      </w:r>
      <w:r>
        <w:t xml:space="preserve"> </w:t>
      </w:r>
      <w:r>
        <w:t xml:space="preserve">column-level review, extending AR-0007 beyond table-level RLS.</w:t>
      </w:r>
    </w:p>
    <w:p>
      <w:pPr>
        <w:pStyle w:val="BodyText"/>
      </w:pPr>
      <w:r>
        <w:rPr>
          <w:iCs/>
          <w:i/>
        </w:rPr>
        <w:t xml:space="preserve">Access validation:</w:t>
      </w:r>
      <w:r>
        <w:t xml:space="preserve"> </w:t>
      </w:r>
      <w:r>
        <w:t xml:space="preserve">an explicit protection-level decision recorded per column — this Work Package’s primary deliverable.</w:t>
      </w:r>
    </w:p>
    <w:p>
      <w:pPr>
        <w:pStyle w:val="BodyText"/>
      </w:pPr>
      <w:r>
        <w:rPr>
          <w:iCs/>
          <w:i/>
        </w:rPr>
        <w:t xml:space="preserve">Policy verification:</w:t>
      </w:r>
      <w:r>
        <w:t xml:space="preserve"> </w:t>
      </w:r>
      <w:r>
        <w:t xml:space="preserve">none pre-existing to verify against — this is the first column-level review performed, not a re-check of an existing column-level policy.</w:t>
      </w:r>
    </w:p>
    <w:p>
      <w:pPr>
        <w:pStyle w:val="BodyText"/>
      </w:pPr>
      <w:r>
        <w:rPr>
          <w:iCs/>
          <w:i/>
        </w:rPr>
        <w:t xml:space="preserve">Governance controls:</w:t>
      </w:r>
      <w:r>
        <w:t xml:space="preserve"> </w:t>
      </w:r>
      <w:r>
        <w:t xml:space="preserve">EGD-0007’s Realize decision, the same disposition WP-0002 executes against; no new governance is introduced.</w:t>
      </w:r>
    </w:p>
    <w:p>
      <w:pPr>
        <w:pStyle w:val="BodyText"/>
      </w:pPr>
      <w:r>
        <w:rPr>
          <w:bCs/>
          <w:b/>
        </w:rPr>
        <w:t xml:space="preserve">H. Error Handling</w:t>
      </w:r>
    </w:p>
    <w:p>
      <w:pPr>
        <w:pStyle w:val="BodyText"/>
      </w:pPr>
      <w:r>
        <w:rPr>
          <w:iCs/>
          <w:i/>
        </w:rPr>
        <w:t xml:space="preserve">Validation failures:</w:t>
      </w:r>
      <w:r>
        <w:t xml:space="preserve"> </w:t>
      </w:r>
      <w:r>
        <w:t xml:space="preserve">a column found to need protection beyond table-level RLS is remediated with a column-level policy or</w:t>
      </w:r>
      <w:r>
        <w:t xml:space="preserve"> </w:t>
      </w:r>
      <w:r>
        <w:rPr>
          <w:rStyle w:val="VerbatimChar"/>
        </w:rPr>
        <w:t xml:space="preserve">REVOKE</w:t>
      </w:r>
      <w:r>
        <w:t xml:space="preserve"> </w:t>
      </w:r>
      <w:r>
        <w:t xml:space="preserve">change, following the same immediate-remediation norm WP-0002 established for confirmed gaps (Phase B §10).</w:t>
      </w:r>
    </w:p>
    <w:p>
      <w:pPr>
        <w:pStyle w:val="BodyText"/>
      </w:pPr>
      <w:r>
        <w:rPr>
          <w:iCs/>
          <w:i/>
        </w:rPr>
        <w:t xml:space="preserve">Verification failures:</w:t>
      </w:r>
      <w:r>
        <w:t xml:space="preserve"> </w:t>
      </w:r>
      <w:r>
        <w:t xml:space="preserve">Not Evidenced in Current Baseline beyond the review-based method.</w:t>
      </w:r>
    </w:p>
    <w:p>
      <w:pPr>
        <w:pStyle w:val="BodyText"/>
      </w:pPr>
      <w:r>
        <w:rPr>
          <w:iCs/>
          <w:i/>
        </w:rPr>
        <w:t xml:space="preserve">Governance failures:</w:t>
      </w:r>
      <w:r>
        <w:t xml:space="preserve"> </w:t>
      </w:r>
      <w:r>
        <w:t xml:space="preserve">Not Evidenced in Current Baseline for this Work Package.</w:t>
      </w:r>
    </w:p>
    <w:p>
      <w:pPr>
        <w:pStyle w:val="BodyText"/>
      </w:pPr>
      <w:r>
        <w:rPr>
          <w:iCs/>
          <w:i/>
        </w:rPr>
        <w:t xml:space="preserve">Trigger failures:</w:t>
      </w:r>
      <w:r>
        <w:t xml:space="preserve"> </w:t>
      </w:r>
      <w:r>
        <w:t xml:space="preserve">Not Applicable — this Work Package is not trigger-gated; it is an extension of an already-accepted, immediate requirement (AR-0007).</w:t>
      </w:r>
    </w:p>
    <w:p>
      <w:pPr>
        <w:pStyle w:val="BodyText"/>
      </w:pPr>
      <w:r>
        <w:rPr>
          <w:bCs/>
          <w:b/>
        </w:rPr>
        <w:t xml:space="preserve">I. Performance Considerations</w:t>
      </w:r>
    </w:p>
    <w:p>
      <w:pPr>
        <w:pStyle w:val="BodyText"/>
      </w:pPr>
      <w:r>
        <w:t xml:space="preserve">Not Evidenced in Current Baseline.</w:t>
      </w:r>
    </w:p>
    <w:p>
      <w:pPr>
        <w:pStyle w:val="BodyText"/>
      </w:pPr>
      <w:r>
        <w:rPr>
          <w:bCs/>
          <w:b/>
        </w:rPr>
        <w:t xml:space="preserve">J. Design Constraints</w:t>
      </w:r>
    </w:p>
    <w:p>
      <w:pPr>
        <w:numPr>
          <w:ilvl w:val="0"/>
          <w:numId w:val="1010"/>
        </w:numPr>
        <w:pStyle w:val="Compact"/>
      </w:pPr>
      <w:r>
        <w:t xml:space="preserve">Scope is fixed to free-text/JSON payload columns; broader column-level review across the schema is not in scope.</w:t>
      </w:r>
    </w:p>
    <w:p>
      <w:pPr>
        <w:numPr>
          <w:ilvl w:val="0"/>
          <w:numId w:val="1010"/>
        </w:numPr>
        <w:pStyle w:val="Compact"/>
      </w:pPr>
      <w:r>
        <w:t xml:space="preserve">Must follow WP-0002’s written-evidence template rather than defining a new verification method (Section 3 §5).</w:t>
      </w:r>
    </w:p>
    <w:p>
      <w:pPr>
        <w:pStyle w:val="FirstParagraph"/>
      </w:pPr>
      <w:r>
        <w:rPr>
          <w:bCs/>
          <w:b/>
        </w:rPr>
        <w:t xml:space="preserve">K. Design Assumptions</w:t>
      </w:r>
    </w:p>
    <w:p>
      <w:pPr>
        <w:pStyle w:val="BodyText"/>
      </w:pPr>
      <w:r>
        <w:rPr>
          <w:iCs/>
          <w:i/>
        </w:rPr>
        <w:t xml:space="preserve">Approved assumption:</w:t>
      </w:r>
      <w:r>
        <w:t xml:space="preserve"> </w:t>
      </w:r>
      <w:r>
        <w:t xml:space="preserve">WP-0002 completing first is beneficial (same tables, same reviewer) but not a hard precondition (Section 2, Part F).</w:t>
      </w:r>
    </w:p>
    <w:p>
      <w:pPr>
        <w:pStyle w:val="BodyText"/>
      </w:pPr>
      <w:r>
        <w:rPr>
          <w:iCs/>
          <w:i/>
        </w:rPr>
        <w:t xml:space="preserve">Evidence-based assumption:</w:t>
      </w:r>
      <w:r>
        <w:t xml:space="preserve"> </w:t>
      </w:r>
      <w:r>
        <w:t xml:space="preserve">Phase A.1 §8 identifies cognitive raw-response columns specifically as needing this review — this design’s starting scope is not invented.</w:t>
      </w:r>
    </w:p>
    <w:p>
      <w:pPr>
        <w:pStyle w:val="BodyText"/>
      </w:pPr>
      <w:r>
        <w:rPr>
          <w:iCs/>
          <w:i/>
        </w:rPr>
        <w:t xml:space="preserve">Explicit limitation:</w:t>
      </w:r>
      <w:r>
        <w:t xml:space="preserve"> </w:t>
      </w:r>
      <w:r>
        <w:t xml:space="preserve">no pre-existing column-level policy exists to verify against; this Work Package establishes the first review, not a re-verification of prior column-level controls.</w:t>
      </w:r>
    </w:p>
    <w:p>
      <w:r>
        <w:pict>
          <v:rect style="width:0;height:1.5pt" o:hralign="center" o:hrstd="t" o:hr="t"/>
        </w:pict>
      </w:r>
    </w:p>
    <w:bookmarkEnd w:id="26"/>
    <w:bookmarkStart w:id="27" w:name="Xdd4235061448f66aa937b8af5d96f8ecf4d0d87"/>
    <w:p>
      <w:pPr>
        <w:pStyle w:val="Heading3"/>
      </w:pPr>
      <w:r>
        <w:t xml:space="preserve">WP-0006 — Assign Named, Accountable Owners to Every Unassigned Role</w:t>
      </w:r>
    </w:p>
    <w:p>
      <w:pPr>
        <w:pStyle w:val="FirstParagraph"/>
      </w:pPr>
      <w:r>
        <w:rPr>
          <w:bCs/>
          <w:b/>
        </w:rPr>
        <w:t xml:space="preserve">A. Engineering Overview</w:t>
      </w:r>
    </w:p>
    <w:p>
      <w:pPr>
        <w:pStyle w:val="BodyText"/>
      </w:pPr>
      <w:r>
        <w:rPr>
          <w:iCs/>
          <w:i/>
        </w:rPr>
        <w:t xml:space="preserve">Engineering objective:</w:t>
      </w:r>
      <w:r>
        <w:t xml:space="preserve"> </w:t>
      </w:r>
      <w:r>
        <w:t xml:space="preserve">name accountable individuals for the five roles Phase B §9 identifies (Enterprise Architecture Owner, Data Governance Owner, Platform Engineering Lead, Security/Platform Engineer, Executive Sponsor/Governance Board), closing the AP-009 gap across all nine Enterprise Governance Decisions and all six Work Packages.</w:t>
      </w:r>
    </w:p>
    <w:p>
      <w:pPr>
        <w:pStyle w:val="BodyText"/>
      </w:pPr>
      <w:r>
        <w:rPr>
          <w:iCs/>
          <w:i/>
        </w:rPr>
        <w:t xml:space="preserve">Design intent:</w:t>
      </w:r>
      <w:r>
        <w:t xml:space="preserve"> </w:t>
      </w:r>
      <w:r>
        <w:t xml:space="preserve">this Work Package is organizational, not technical (Section 2, Part D — Technical Scope: Not Applicable). Its</w:t>
      </w:r>
      <w:r>
        <w:t xml:space="preserve"> </w:t>
      </w:r>
      <w:r>
        <w:t xml:space="preserve">“</w:t>
      </w:r>
      <w:r>
        <w:t xml:space="preserve">design</w:t>
      </w:r>
      <w:r>
        <w:t xml:space="preserve">”</w:t>
      </w:r>
      <w:r>
        <w:t xml:space="preserve"> </w:t>
      </w:r>
      <w:r>
        <w:t xml:space="preserve">is a governance-record design, not an engineering one.</w:t>
      </w:r>
    </w:p>
    <w:p>
      <w:pPr>
        <w:pStyle w:val="BodyText"/>
      </w:pPr>
      <w:r>
        <w:rPr>
          <w:iCs/>
          <w:i/>
        </w:rPr>
        <w:t xml:space="preserve">Design scope:</w:t>
      </w:r>
      <w:r>
        <w:t xml:space="preserve"> </w:t>
      </w:r>
      <w:r>
        <w:t xml:space="preserve">the five named roles only — no additional role is introduced.</w:t>
      </w:r>
    </w:p>
    <w:p>
      <w:pPr>
        <w:pStyle w:val="BodyText"/>
      </w:pPr>
      <w:r>
        <w:rPr>
          <w:iCs/>
          <w:i/>
        </w:rPr>
        <w:t xml:space="preserve">Engineering boundaries:</w:t>
      </w:r>
      <w:r>
        <w:t xml:space="preserve"> </w:t>
      </w:r>
      <w:r>
        <w:t xml:space="preserve">no repository, database, or code artifact is in scope; this is the one Work Package in the catalog with no repository impact at all (Section 3 §4).</w:t>
      </w:r>
    </w:p>
    <w:p>
      <w:pPr>
        <w:pStyle w:val="BodyText"/>
      </w:pPr>
      <w:r>
        <w:rPr>
          <w:bCs/>
          <w:b/>
        </w:rPr>
        <w:t xml:space="preserve">B. Functional Design</w:t>
      </w:r>
    </w:p>
    <w:p>
      <w:pPr>
        <w:pStyle w:val="BodyText"/>
      </w:pPr>
      <w:r>
        <w:rPr>
          <w:iCs/>
          <w:i/>
        </w:rPr>
        <w:t xml:space="preserve">Functional behavior:</w:t>
      </w:r>
      <w:r>
        <w:t xml:space="preserve"> </w:t>
      </w:r>
      <w:r>
        <w:t xml:space="preserve">the Executive Sponsor/Governance Board names an accountable individual for each of the five roles.</w:t>
      </w:r>
    </w:p>
    <w:p>
      <w:pPr>
        <w:pStyle w:val="BodyText"/>
      </w:pPr>
      <w:r>
        <w:rPr>
          <w:iCs/>
          <w:i/>
        </w:rPr>
        <w:t xml:space="preserve">Functional responsibilities:</w:t>
      </w:r>
      <w:r>
        <w:t xml:space="preserve"> </w:t>
      </w:r>
      <w:r>
        <w:t xml:space="preserve">Executive Sponsor/Governance Board, the sole responsible role for this Work Package.</w:t>
      </w:r>
    </w:p>
    <w:p>
      <w:pPr>
        <w:pStyle w:val="BodyText"/>
      </w:pPr>
      <w:r>
        <w:rPr>
          <w:iCs/>
          <w:i/>
        </w:rPr>
        <w:t xml:space="preserve">Functional outcomes:</w:t>
      </w:r>
      <w:r>
        <w:t xml:space="preserve"> </w:t>
      </w:r>
      <w:r>
        <w:t xml:space="preserve">an ownership record applied across EGD-0001–0009 and WP-0001–0006, with KPI-08 Ownership Assignment % moving from 0% to 100%.</w:t>
      </w:r>
    </w:p>
    <w:p>
      <w:pPr>
        <w:pStyle w:val="BodyText"/>
      </w:pPr>
      <w:r>
        <w:rPr>
          <w:bCs/>
          <w:b/>
        </w:rPr>
        <w:t xml:space="preserve">C. Technical Design</w:t>
      </w:r>
    </w:p>
    <w:p>
      <w:pPr>
        <w:pStyle w:val="BodyText"/>
      </w:pPr>
      <w:r>
        <w:t xml:space="preserve">Not Applicable. This Work Package’s scope is explicitly organizational, not technical (Section 2, Part D). No technical implementation approach, repository interaction, or database interaction exists to design.</w:t>
      </w:r>
    </w:p>
    <w:p>
      <w:pPr>
        <w:pStyle w:val="BodyText"/>
      </w:pPr>
      <w:r>
        <w:rPr>
          <w:bCs/>
          <w:b/>
        </w:rPr>
        <w:t xml:space="preserve">D. Logical Engineering Flow</w:t>
      </w:r>
    </w:p>
    <w:p>
      <w:pPr>
        <w:numPr>
          <w:ilvl w:val="0"/>
          <w:numId w:val="1011"/>
        </w:numPr>
        <w:pStyle w:val="Compact"/>
      </w:pPr>
      <w:r>
        <w:t xml:space="preserve">Executive Sponsor/Governance Board identifies and confirms an accountable individual for each of the five roles named in Phase B §9.</w:t>
      </w:r>
    </w:p>
    <w:p>
      <w:pPr>
        <w:numPr>
          <w:ilvl w:val="0"/>
          <w:numId w:val="1011"/>
        </w:numPr>
        <w:pStyle w:val="Compact"/>
      </w:pPr>
      <w:r>
        <w:t xml:space="preserve">Names are recorded against every Enterprise Governance Decision (EGD-0001–0009) and every Work Package (WP-0001–0006) currently listing</w:t>
      </w:r>
      <w:r>
        <w:t xml:space="preserve"> </w:t>
      </w:r>
      <w:r>
        <w:t xml:space="preserve">“</w:t>
      </w:r>
      <w:r>
        <w:t xml:space="preserve">unassigned.</w:t>
      </w:r>
      <w:r>
        <w:t xml:space="preserve">”</w:t>
      </w:r>
    </w:p>
    <w:p>
      <w:pPr>
        <w:numPr>
          <w:ilvl w:val="0"/>
          <w:numId w:val="1011"/>
        </w:numPr>
        <w:pStyle w:val="Compact"/>
      </w:pPr>
      <w:r>
        <w:t xml:space="preserve">KPI-08 is measured and confirmed at 100%.</w:t>
      </w:r>
    </w:p>
    <w:p>
      <w:pPr>
        <w:numPr>
          <w:ilvl w:val="0"/>
          <w:numId w:val="1011"/>
        </w:numPr>
        <w:pStyle w:val="Compact"/>
      </w:pPr>
      <w:r>
        <w:t xml:space="preserve">The AP-009 gap — found not by design but by simply trying to fill in a standard field (Phase A.2 §12) — is closed as the first governance item resolved in this baseline, ahead of any individual EGD’s own trigger.</w:t>
      </w:r>
    </w:p>
    <w:p>
      <w:pPr>
        <w:pStyle w:val="FirstParagraph"/>
      </w:pPr>
      <w:r>
        <w:rPr>
          <w:bCs/>
          <w:b/>
        </w:rPr>
        <w:t xml:space="preserve">E. Data Flow</w:t>
      </w:r>
    </w:p>
    <w:p>
      <w:pPr>
        <w:pStyle w:val="BodyText"/>
      </w:pPr>
      <w:r>
        <w:rPr>
          <w:iCs/>
          <w:i/>
        </w:rPr>
        <w:t xml:space="preserve">Data sources:</w:t>
      </w:r>
      <w:r>
        <w:t xml:space="preserve"> </w:t>
      </w:r>
      <w:r>
        <w:t xml:space="preserve">an organizational role-assignment decision — not a repository artifact.</w:t>
      </w:r>
    </w:p>
    <w:p>
      <w:pPr>
        <w:pStyle w:val="BodyText"/>
      </w:pPr>
      <w:r>
        <w:rPr>
          <w:iCs/>
          <w:i/>
        </w:rPr>
        <w:t xml:space="preserve">Data consumers:</w:t>
      </w:r>
      <w:r>
        <w:t xml:space="preserve"> </w:t>
      </w:r>
      <w:r>
        <w:t xml:space="preserve">every other Work Package’s governance record, which depends on this Work Package for accountable (not merely aspirational) ownership.</w:t>
      </w:r>
    </w:p>
    <w:p>
      <w:pPr>
        <w:pStyle w:val="BodyText"/>
      </w:pPr>
      <w:r>
        <w:rPr>
          <w:iCs/>
          <w:i/>
        </w:rPr>
        <w:t xml:space="preserve">Data verification:</w:t>
      </w:r>
      <w:r>
        <w:t xml:space="preserve"> </w:t>
      </w:r>
      <w:r>
        <w:t xml:space="preserve">KPI-08 measurement.</w:t>
      </w:r>
    </w:p>
    <w:p>
      <w:pPr>
        <w:pStyle w:val="BodyText"/>
      </w:pPr>
      <w:r>
        <w:rPr>
          <w:iCs/>
          <w:i/>
        </w:rPr>
        <w:t xml:space="preserve">Data updates:</w:t>
      </w:r>
      <w:r>
        <w:t xml:space="preserve"> </w:t>
      </w:r>
      <w:r>
        <w:t xml:space="preserve">owner fields across the governance registers established in Phase A.3 §4 and §9.</w:t>
      </w:r>
    </w:p>
    <w:p>
      <w:pPr>
        <w:pStyle w:val="BodyText"/>
      </w:pPr>
      <w:r>
        <w:rPr>
          <w:bCs/>
          <w:b/>
        </w:rPr>
        <w:t xml:space="preserve">F. Repository Flow</w:t>
      </w:r>
    </w:p>
    <w:p>
      <w:pPr>
        <w:pStyle w:val="BodyText"/>
      </w:pPr>
      <w:r>
        <w:rPr>
          <w:iCs/>
          <w:i/>
        </w:rPr>
        <w:t xml:space="preserve">Documentation flow:</w:t>
      </w:r>
      <w:r>
        <w:t xml:space="preserve"> </w:t>
      </w:r>
      <w:r>
        <w:t xml:space="preserve">owner fields updated across existing governance registers — not a new technical document.</w:t>
      </w:r>
    </w:p>
    <w:p>
      <w:pPr>
        <w:pStyle w:val="BodyText"/>
      </w:pPr>
      <w:r>
        <w:rPr>
          <w:iCs/>
          <w:i/>
        </w:rPr>
        <w:t xml:space="preserve">Database flow:</w:t>
      </w:r>
      <w:r>
        <w:t xml:space="preserve"> </w:t>
      </w:r>
      <w:r>
        <w:t xml:space="preserve">none.</w:t>
      </w:r>
    </w:p>
    <w:p>
      <w:pPr>
        <w:pStyle w:val="BodyText"/>
      </w:pPr>
      <w:r>
        <w:rPr>
          <w:iCs/>
          <w:i/>
        </w:rPr>
        <w:t xml:space="preserve">Verification flow:</w:t>
      </w:r>
      <w:r>
        <w:t xml:space="preserve"> </w:t>
      </w:r>
      <w:r>
        <w:t xml:space="preserve">KPI-08 measurement, confirming 100% assignment.</w:t>
      </w:r>
    </w:p>
    <w:p>
      <w:pPr>
        <w:pStyle w:val="BodyText"/>
      </w:pPr>
      <w:r>
        <w:rPr>
          <w:iCs/>
          <w:i/>
        </w:rPr>
        <w:t xml:space="preserve">Governance flow:</w:t>
      </w:r>
      <w:r>
        <w:t xml:space="preserve"> </w:t>
      </w:r>
      <w:r>
        <w:t xml:space="preserve">closure of the AP-009 gap across all nine Enterprise Governance Decisions — this Work Package’s entire governance flow.</w:t>
      </w:r>
    </w:p>
    <w:p>
      <w:pPr>
        <w:pStyle w:val="BodyText"/>
      </w:pPr>
      <w:r>
        <w:rPr>
          <w:bCs/>
          <w:b/>
        </w:rPr>
        <w:t xml:space="preserve">G. Security Design</w:t>
      </w:r>
    </w:p>
    <w:p>
      <w:pPr>
        <w:pStyle w:val="BodyText"/>
      </w:pPr>
      <w:r>
        <w:t xml:space="preserve">Not Applicable — this Work Package is organizational, not technical, and carries no security scope (Section 2, Part D).</w:t>
      </w:r>
    </w:p>
    <w:p>
      <w:pPr>
        <w:pStyle w:val="BodyText"/>
      </w:pPr>
      <w:r>
        <w:rPr>
          <w:bCs/>
          <w:b/>
        </w:rPr>
        <w:t xml:space="preserve">H. Error Handling</w:t>
      </w:r>
    </w:p>
    <w:p>
      <w:pPr>
        <w:pStyle w:val="BodyText"/>
      </w:pPr>
      <w:r>
        <w:rPr>
          <w:iCs/>
          <w:i/>
        </w:rPr>
        <w:t xml:space="preserve">Validation failures:</w:t>
      </w:r>
      <w:r>
        <w:t xml:space="preserve"> </w:t>
      </w:r>
      <w:r>
        <w:t xml:space="preserve">a role that remains unassigned after this Work Package’s execution leaves KPI-08 below 100% and escalates to the Executive Sponsor per Section 1 §5’s escalation process — the same escalation path this Work Package itself is the primary mechanism for resolving.</w:t>
      </w:r>
    </w:p>
    <w:p>
      <w:pPr>
        <w:pStyle w:val="BodyText"/>
      </w:pPr>
      <w:r>
        <w:rPr>
          <w:iCs/>
          <w:i/>
        </w:rPr>
        <w:t xml:space="preserve">Verification, governance, and trigger failures:</w:t>
      </w:r>
      <w:r>
        <w:t xml:space="preserve"> </w:t>
      </w:r>
      <w:r>
        <w:t xml:space="preserve">Not Evidenced in Current Baseline beyond the KPI-08 measurement itself.</w:t>
      </w:r>
    </w:p>
    <w:p>
      <w:pPr>
        <w:pStyle w:val="BodyText"/>
      </w:pPr>
      <w:r>
        <w:rPr>
          <w:bCs/>
          <w:b/>
        </w:rPr>
        <w:t xml:space="preserve">I. Performance Considerations</w:t>
      </w:r>
    </w:p>
    <w:p>
      <w:pPr>
        <w:pStyle w:val="BodyText"/>
      </w:pPr>
      <w:r>
        <w:t xml:space="preserve">Not Applicable — no technical scope exists to have a performance profile.</w:t>
      </w:r>
    </w:p>
    <w:p>
      <w:pPr>
        <w:pStyle w:val="BodyText"/>
      </w:pPr>
      <w:r>
        <w:rPr>
          <w:bCs/>
          <w:b/>
        </w:rPr>
        <w:t xml:space="preserve">J. Design Constraints</w:t>
      </w:r>
    </w:p>
    <w:p>
      <w:pPr>
        <w:numPr>
          <w:ilvl w:val="0"/>
          <w:numId w:val="1012"/>
        </w:numPr>
        <w:pStyle w:val="Compact"/>
      </w:pPr>
      <w:r>
        <w:t xml:space="preserve">Exactly the five roles established in Phase B §9 must be named — no additional enterprise role (PMO, dedicated QA/DevOps, AI Engineering) may be introduced under cover of this Work Package (Phase B §9 explicitly scopes roles to evidenced work only).</w:t>
      </w:r>
    </w:p>
    <w:p>
      <w:pPr>
        <w:numPr>
          <w:ilvl w:val="0"/>
          <w:numId w:val="1012"/>
        </w:numPr>
        <w:pStyle w:val="Compact"/>
      </w:pPr>
      <w:r>
        <w:t xml:space="preserve">This Work Package must not be read as itself introducing a new governance decision; it executes AP-009, it does not create it (AP-003).</w:t>
      </w:r>
    </w:p>
    <w:p>
      <w:pPr>
        <w:pStyle w:val="FirstParagraph"/>
      </w:pPr>
      <w:r>
        <w:rPr>
          <w:bCs/>
          <w:b/>
        </w:rPr>
        <w:t xml:space="preserve">K. Design Assumptions</w:t>
      </w:r>
    </w:p>
    <w:p>
      <w:pPr>
        <w:pStyle w:val="BodyText"/>
      </w:pPr>
      <w:r>
        <w:rPr>
          <w:iCs/>
          <w:i/>
        </w:rPr>
        <w:t xml:space="preserve">Approved assumption:</w:t>
      </w:r>
      <w:r>
        <w:t xml:space="preserve"> </w:t>
      </w:r>
      <w:r>
        <w:t xml:space="preserve">the five-role model in Phase B §9 is complete and sufficient at current scope — no evidenced Work Package requires a role beyond these five.</w:t>
      </w:r>
    </w:p>
    <w:p>
      <w:pPr>
        <w:pStyle w:val="BodyText"/>
      </w:pPr>
      <w:r>
        <w:rPr>
          <w:iCs/>
          <w:i/>
        </w:rPr>
        <w:t xml:space="preserve">Evidence-based assumption:</w:t>
      </w:r>
      <w:r>
        <w:t xml:space="preserve"> </w:t>
      </w:r>
      <w:r>
        <w:t xml:space="preserve">Phase A.2 §12’s cross-cutting finding (every ADR and register entry lists its owner as unassigned) is the direct basis for this Work Package’s existence and scope.</w:t>
      </w:r>
    </w:p>
    <w:p>
      <w:pPr>
        <w:pStyle w:val="BodyText"/>
      </w:pPr>
      <w:r>
        <w:rPr>
          <w:iCs/>
          <w:i/>
        </w:rPr>
        <w:t xml:space="preserve">Explicit limitation:</w:t>
      </w:r>
      <w:r>
        <w:t xml:space="preserve"> </w:t>
      </w:r>
      <w:r>
        <w:t xml:space="preserve">the broader enterprise role list the master template anticipates (a formal PMO, dedicated Security and Data Governance approval boards, a chartered Enterprise Architecture Board) remains Reserved for Future Realization Phases, to be added only once Portfolios 3–7 are populated by a future realization assessment (Section 1 §5).</w:t>
      </w:r>
    </w:p>
    <w:bookmarkEnd w:id="27"/>
    <w:bookmarkEnd w:id="28"/>
    <w:bookmarkStart w:id="29" w:name="cross-work-package-design-relationships"/>
    <w:p>
      <w:pPr>
        <w:pStyle w:val="Heading2"/>
      </w:pPr>
      <w:r>
        <w:t xml:space="preserve">4. Cross-Work Package Design Relationships</w:t>
      </w:r>
    </w:p>
    <w:p>
      <w:pPr>
        <w:pStyle w:val="FirstParagraph"/>
      </w:pPr>
      <w:r>
        <w:t xml:space="preserve">Carried forward unchanged from Section 3 §5’s Repository Dependency Analysis, restated here as design relationships rather than repository dependencies: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Relationship</w:t>
            </w:r>
          </w:p>
        </w:tc>
        <w:tc>
          <w:tcPr/>
          <w:p>
            <w:pPr>
              <w:pStyle w:val="Compact"/>
              <w:jc w:val="left"/>
            </w:pPr>
            <w:r>
              <w:t xml:space="preserve">Design Basis</w:t>
            </w:r>
          </w:p>
        </w:tc>
      </w:tr>
      <w:tr>
        <w:tc>
          <w:tcPr/>
          <w:p>
            <w:pPr>
              <w:pStyle w:val="Compact"/>
              <w:jc w:val="left"/>
            </w:pPr>
            <w:r>
              <w:t xml:space="preserve">WP-0001’s design depends on the Database Repository’s live schema as it actually exists</w:t>
            </w:r>
          </w:p>
        </w:tc>
        <w:tc>
          <w:tcPr/>
          <w:p>
            <w:pPr>
              <w:pStyle w:val="Compact"/>
              <w:jc w:val="left"/>
            </w:pPr>
            <w:r>
              <w:t xml:space="preserve">The Documentation Repository’s revised design must describe the Database Repository’s live structure; the dependency runs from documentation to database, not the reverse, since EGD-0002 established the live schema as canonical once documented.</w:t>
            </w:r>
          </w:p>
        </w:tc>
      </w:tr>
      <w:tr>
        <w:tc>
          <w:tcPr/>
          <w:p>
            <w:pPr>
              <w:pStyle w:val="Compact"/>
              <w:jc w:val="left"/>
            </w:pPr>
            <w:r>
              <w:t xml:space="preserve">WP-0005’s design reuses WP-0002’s verification method</w:t>
            </w:r>
          </w:p>
        </w:tc>
        <w:tc>
          <w:tcPr/>
          <w:p>
            <w:pPr>
              <w:pStyle w:val="Compact"/>
              <w:jc w:val="left"/>
            </w:pPr>
            <w:r>
              <w:t xml:space="preserve">Both examine the same tables under the same reviewer; WP-0005 explicitly adopts WP-0002’s written-evidence template rather than defining a new one (Section 1 §7).</w:t>
            </w:r>
          </w:p>
        </w:tc>
      </w:tr>
      <w:tr>
        <w:tc>
          <w:tcPr/>
          <w:p>
            <w:pPr>
              <w:pStyle w:val="Compact"/>
              <w:jc w:val="left"/>
            </w:pPr>
            <w:r>
              <w:t xml:space="preserve">WP-0004’s design optionally benefits from WP-0001’s naming clarity</w:t>
            </w:r>
          </w:p>
        </w:tc>
        <w:tc>
          <w:tcPr/>
          <w:p>
            <w:pPr>
              <w:pStyle w:val="Compact"/>
              <w:jc w:val="left"/>
            </w:pPr>
            <w:r>
              <w:t xml:space="preserve">A non-blocking, same-Documentation-Repository cross-Work-Package relationship (Phase B §4).</w:t>
            </w:r>
          </w:p>
        </w:tc>
      </w:tr>
      <w:tr>
        <w:tc>
          <w:tcPr/>
          <w:p>
            <w:pPr>
              <w:pStyle w:val="Compact"/>
              <w:jc w:val="left"/>
            </w:pPr>
            <w:r>
              <w:t xml:space="preserve">WP-0003’s design depends on an external, not-yet-available data source</w:t>
            </w:r>
          </w:p>
        </w:tc>
        <w:tc>
          <w:tcPr/>
          <w:p>
            <w:pPr>
              <w:pStyle w:val="Compact"/>
              <w:jc w:val="left"/>
            </w:pPr>
            <w:r>
              <w:t xml:space="preserve">Row-count/growth telemetry — a data-availability dependency, not a design dependency on another Work Package.</w:t>
            </w:r>
          </w:p>
        </w:tc>
      </w:tr>
      <w:tr>
        <w:tc>
          <w:tcPr/>
          <w:p>
            <w:pPr>
              <w:pStyle w:val="Compact"/>
              <w:jc w:val="left"/>
            </w:pPr>
            <w:r>
              <w:t xml:space="preserve">Every Work Package’s design depends on WP-0006 for accountable ownership</w:t>
            </w:r>
          </w:p>
        </w:tc>
        <w:tc>
          <w:tcPr/>
          <w:p>
            <w:pPr>
              <w:pStyle w:val="Compact"/>
              <w:jc w:val="left"/>
            </w:pPr>
            <w:r>
              <w:t xml:space="preserve">A governance dependency spanning every design in this specification — none is blocked from being designed, but each is aspirational rather than accountable until WP-0006 completes.</w:t>
            </w:r>
          </w:p>
        </w:tc>
      </w:tr>
    </w:tbl>
    <w:p>
      <w:pPr>
        <w:pStyle w:val="BodyText"/>
      </w:pPr>
      <w:r>
        <w:t xml:space="preserve">Why these patterns are reused rather than re-derived per Work Package: AP-003 (implementation may evolve architecture only through formal governance) and AP-006 (every gap requires an explicit disposition) together mean no Work Package’s design may introduce a relationship, dependency, or shared mechanism that Section 2 or Section 3 did not already establish. Reuse, not re-derivation, is itself the evidence-first discipline this document is required to maintain.</w:t>
      </w:r>
    </w:p>
    <w:bookmarkEnd w:id="29"/>
    <w:bookmarkStart w:id="30" w:name="engineering-pattern-catalog"/>
    <w:p>
      <w:pPr>
        <w:pStyle w:val="Heading2"/>
      </w:pPr>
      <w:r>
        <w:t xml:space="preserve">5. Engineering Pattern Catalog</w:t>
      </w:r>
    </w:p>
    <w:p>
      <w:pPr>
        <w:pStyle w:val="FirstParagraph"/>
      </w:pPr>
      <w:r>
        <w:t xml:space="preserve">Six patterns are established by the approved Work Packages. Each is described at the level already evidenced — no new implementation mechanism is introduced.</w:t>
      </w:r>
    </w:p>
    <w:p>
      <w:pPr>
        <w:pStyle w:val="BodyText"/>
      </w:pPr>
      <w:r>
        <w:rPr>
          <w:bCs/>
          <w:b/>
        </w:rPr>
        <w:t xml:space="preserve">Documentation Update Pattern</w:t>
      </w:r>
      <w:r>
        <w:t xml:space="preserve"> </w:t>
      </w:r>
      <w:r>
        <w:t xml:space="preserve">(WP-0001, WP-0004): author or revise a document to describe existing, evidenced reality; verify via a deterministic check (table-inventory diff for WP-0001; per-release automated scan for WP-0004); close the governing ER/VAR entry on verified completion.</w:t>
      </w:r>
    </w:p>
    <w:p>
      <w:pPr>
        <w:pStyle w:val="BodyText"/>
      </w:pPr>
      <w:r>
        <w:rPr>
          <w:bCs/>
          <w:b/>
        </w:rPr>
        <w:t xml:space="preserve">Verification Pattern</w:t>
      </w:r>
      <w:r>
        <w:t xml:space="preserve"> </w:t>
      </w:r>
      <w:r>
        <w:t xml:space="preserve">(WP-0002, WP-0005): query-based inspection producing written, evidenced confirmation; no design change unless the inspection finds a gap. Adopted in Section 1 §7 as the standing template for every future Realize-class Enterprise Governance Decision in this program, not only the two Work Packages that currently use it.</w:t>
      </w:r>
    </w:p>
    <w:p>
      <w:pPr>
        <w:pStyle w:val="BodyText"/>
      </w:pPr>
      <w:r>
        <w:rPr>
          <w:bCs/>
          <w:b/>
        </w:rPr>
        <w:t xml:space="preserve">Trigger-Gated Assessment Pattern</w:t>
      </w:r>
      <w:r>
        <w:t xml:space="preserve"> </w:t>
      </w:r>
      <w:r>
        <w:t xml:space="preserve">(WP-0003): design activity remains dormant, limited to standing quarterly monitoring, until an explicit, measurable threshold fires; mirrors the team’s own demonstrated precedent (</w:t>
      </w:r>
      <w:r>
        <w:rPr>
          <w:rStyle w:val="VerbatimChar"/>
        </w:rPr>
        <w:t xml:space="preserve">chi_scores</w:t>
      </w:r>
      <w:r>
        <w:t xml:space="preserve"> </w:t>
      </w:r>
      <w:r>
        <w:t xml:space="preserve">partitioning, implemented only once volume actually justified it — Phase A.2, ADR-004).</w:t>
      </w:r>
    </w:p>
    <w:p>
      <w:pPr>
        <w:pStyle w:val="BodyText"/>
      </w:pPr>
      <w:r>
        <w:rPr>
          <w:bCs/>
          <w:b/>
        </w:rPr>
        <w:t xml:space="preserve">Governance Assignment Pattern</w:t>
      </w:r>
      <w:r>
        <w:t xml:space="preserve"> </w:t>
      </w:r>
      <w:r>
        <w:t xml:space="preserve">(WP-0006): an organizational, non-technical Work Package whose sole function is converting aspirational dispositions into accountable ones; treated as the precondition pattern for every other Work Package’s ownership, not one Work Package among six.</w:t>
      </w:r>
    </w:p>
    <w:p>
      <w:pPr>
        <w:pStyle w:val="BodyText"/>
      </w:pPr>
      <w:r>
        <w:rPr>
          <w:bCs/>
          <w:b/>
        </w:rPr>
        <w:t xml:space="preserve">Conditional Migration Pattern</w:t>
      </w:r>
      <w:r>
        <w:t xml:space="preserve"> </w:t>
      </w:r>
      <w:r>
        <w:t xml:space="preserve">(WP-0002’s RLS-gap contingency; WP-0003’s partitioning migration; WP-0004’s taxonomy retrofit contingency; WP-0005’s column-policy contingency): a migration or policy change is designed only as a response to a confirmed finding — a verified gap, a fired trigger, or a confirmed violation — never as speculative, pre-emptive engineering. Every conditional migration in this catalog is additionally bound to the AR-0010/EGD-0009 idempotent, rollback-ready standard.</w:t>
      </w:r>
    </w:p>
    <w:p>
      <w:pPr>
        <w:pStyle w:val="BodyText"/>
      </w:pPr>
      <w:r>
        <w:rPr>
          <w:bCs/>
          <w:b/>
        </w:rPr>
        <w:t xml:space="preserve">Architecture Traceability Pattern</w:t>
      </w:r>
      <w:r>
        <w:t xml:space="preserve"> </w:t>
      </w:r>
      <w:r>
        <w:t xml:space="preserve">(all six Work Packages): the unbroken chain established in Phase A.3 §7 — Architecture Requirement → Enterprise Governance Decision → Repository Evidence → Implementation Status → Work Package → Portfolio → Wave → Milestone → Owner → Verification Method → Certification Level — extended by Phase B §8, Section 1 §11, and Section 3 §8, and completed at design granularity in §8 of this document.</w:t>
      </w:r>
    </w:p>
    <w:bookmarkEnd w:id="30"/>
    <w:bookmarkStart w:id="31" w:name="architecture-conformance-design"/>
    <w:p>
      <w:pPr>
        <w:pStyle w:val="Heading2"/>
      </w:pPr>
      <w:r>
        <w:t xml:space="preserve">6. Architecture Conformance Design</w:t>
      </w:r>
    </w:p>
    <w:p>
      <w:pPr>
        <w:pStyle w:val="FirstParagraph"/>
      </w:pPr>
      <w:r>
        <w:t xml:space="preserve">Each Work Package’s design preserves architecture integrity by deferring, without exception, to the AR/EGD disposition Phase A.3 already recorded — no design in §3 above proposes an alternative disposition for any Architecture Requirement. Governance integrity is preserved because no design step requires new governance; every design cites its Work Package’s already-dispositioned EGD as its sole governing authority. Repository integrity is preserved because every design’s repository interaction is bounded to exactly the categories Section 3 §2–3 found evidenced impact in (Documentation, Database, Test) — no design in §3 above invents backend, frontend, integration, AI, or infrastructure engineering work.</w:t>
      </w:r>
    </w:p>
    <w:p>
      <w:pPr>
        <w:pStyle w:val="BodyText"/>
      </w:pPr>
      <w:r>
        <w:t xml:space="preserve">Traceability is preserved end-to-end: every design in §3 cites the Phase A.3 AR/EGD pair, the Phase B portfolio/wave/milestone, the Section 2 governance profile, and the Section 3 repository artifact it decomposes, with no re-derivation and no reinterpretation. Verification is preserved because every design’s verification method is either the specific method Phase A.3 §7 already named for its Architecture Requirement, or — for WP-0005 — an explicit, cited reuse of WP-0002’s method rather than a new one. Certification objectives are preserved because every design in §3 states, without exception, the Certification Level (L3 or L4-pending) its completion would advance, per the framework Phase A.3 §11 established.</w:t>
      </w:r>
    </w:p>
    <w:p>
      <w:pPr>
        <w:pStyle w:val="BodyText"/>
      </w:pPr>
      <w:r>
        <w:rPr>
          <w:bCs/>
          <w:b/>
        </w:rPr>
        <w:t xml:space="preserve">Architecture checkpoints</w:t>
      </w:r>
      <w:r>
        <w:t xml:space="preserve"> </w:t>
      </w:r>
      <w:r>
        <w:t xml:space="preserve">applicable to every design above are unchanged from Section 1 §5: an architecture review checkpoint at the close of each wave and milestone, ad hoc on any EGD trigger firing; quarterly portfolio governance cadence; and any change to an AR, EGD, or WP scope requiring a new or amended EGD entry (AP-003) — this document introduces none.</w:t>
      </w:r>
    </w:p>
    <w:p>
      <w:pPr>
        <w:pStyle w:val="BodyText"/>
      </w:pPr>
      <w:r>
        <w:t xml:space="preserve">This section does not redefine governance. Every disposition it reflects was already made in Phase A.2 and formalized in Phase A.3; this section’s sole function is confirming that the engineering designs in §3 do not, individually or collectively, drift from those dispositions.</w:t>
      </w:r>
    </w:p>
    <w:bookmarkEnd w:id="31"/>
    <w:bookmarkStart w:id="32" w:name="engineering-design-readiness"/>
    <w:p>
      <w:pPr>
        <w:pStyle w:val="Heading2"/>
      </w:pPr>
      <w:r>
        <w:t xml:space="preserve">7. Engineering Design Readiness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Design Readiness</w:t>
            </w:r>
          </w:p>
        </w:tc>
        <w:tc>
          <w:tcPr/>
          <w:p>
            <w:pPr>
              <w:pStyle w:val="Compact"/>
              <w:jc w:val="left"/>
            </w:pPr>
            <w:r>
              <w:t xml:space="preserve">WP-0002 and WP-0006’s designs are complete and immediately executable with zero blocking dependency (Section 2 §5). WP-0001, WP-0004, and WP-0005’s designs are complete and ready to follow in Wave 2. WP-0003’s design is complete at the assessment-method level but its substantive activity remains dormant pending the EGD-0004 trigger.</w:t>
            </w:r>
          </w:p>
        </w:tc>
      </w:tr>
      <w:tr>
        <w:tc>
          <w:tcPr/>
          <w:p>
            <w:pPr>
              <w:pStyle w:val="Compact"/>
              <w:jc w:val="left"/>
            </w:pPr>
            <w:r>
              <w:t xml:space="preserve">Repository Readiness</w:t>
            </w:r>
          </w:p>
        </w:tc>
        <w:tc>
          <w:tcPr/>
          <w:p>
            <w:pPr>
              <w:pStyle w:val="Compact"/>
              <w:jc w:val="left"/>
            </w:pPr>
            <w:r>
              <w:t xml:space="preserve">Sound independently of Phase A conformance — no integrity or engineering-quality blocker was found in Phase A.1 §15 or restated in Section 3 §7.</w:t>
            </w:r>
          </w:p>
        </w:tc>
      </w:tr>
      <w:tr>
        <w:tc>
          <w:tcPr/>
          <w:p>
            <w:pPr>
              <w:pStyle w:val="Compact"/>
              <w:jc w:val="left"/>
            </w:pPr>
            <w:r>
              <w:t xml:space="preserve">Verification Readiness</w:t>
            </w:r>
          </w:p>
        </w:tc>
        <w:tc>
          <w:tcPr/>
          <w:p>
            <w:pPr>
              <w:pStyle w:val="Compact"/>
              <w:jc w:val="left"/>
            </w:pPr>
            <w:r>
              <w:t xml:space="preserve">WP-0002’s written, query-evidenced method is fully defined and ready to execute; it is the adopted design template for WP-0004 and WP-0005 as well (Section 1 §7).</w:t>
            </w:r>
          </w:p>
        </w:tc>
      </w:tr>
      <w:tr>
        <w:tc>
          <w:tcPr/>
          <w:p>
            <w:pPr>
              <w:pStyle w:val="Compact"/>
              <w:jc w:val="left"/>
            </w:pPr>
            <w:r>
              <w:t xml:space="preserve">Documentation Readiness</w:t>
            </w:r>
          </w:p>
        </w:tc>
        <w:tc>
          <w:tcPr/>
          <w:p>
            <w:pPr>
              <w:pStyle w:val="Compact"/>
              <w:jc w:val="left"/>
            </w:pPr>
            <w:r>
              <w:t xml:space="preserve">Not yet started — WP-0001 and WP-0004 are the primary documentation deliverables in this specification; KPI-02 Documentation Accuracy % remains at its 30/100 baseline (Phase A.3 §10) pending their execution.</w:t>
            </w:r>
          </w:p>
        </w:tc>
      </w:tr>
      <w:tr>
        <w:tc>
          <w:tcPr/>
          <w:p>
            <w:pPr>
              <w:pStyle w:val="Compact"/>
              <w:jc w:val="left"/>
            </w:pPr>
            <w:r>
              <w:t xml:space="preserve">Governance Readiness</w:t>
            </w:r>
          </w:p>
        </w:tc>
        <w:tc>
          <w:tcPr/>
          <w:p>
            <w:pPr>
              <w:pStyle w:val="Compact"/>
              <w:jc w:val="left"/>
            </w:pPr>
            <w:r>
              <w:t xml:space="preserve">Complete for the three active portfolios (1, 2, 8) — every design in §3 traces to an already-dispositioned EGD. Not Applicable for Portfolios 3–7, which carry no approved scope.</w:t>
            </w:r>
          </w:p>
        </w:tc>
      </w:tr>
      <w:tr>
        <w:tc>
          <w:tcPr/>
          <w:p>
            <w:pPr>
              <w:pStyle w:val="Compact"/>
              <w:jc w:val="left"/>
            </w:pPr>
            <w:r>
              <w:t xml:space="preserve">Overall Engineering Readiness</w:t>
            </w:r>
          </w:p>
        </w:tc>
        <w:tc>
          <w:tcPr/>
          <w:p>
            <w:pPr>
              <w:pStyle w:val="Compact"/>
              <w:jc w:val="left"/>
            </w:pPr>
            <w:r>
              <w:t xml:space="preserve">READY WITH CONDITIONS — unchanged from every prior ERP-01 phase’s own assessment. Wave 1’s two designs (WP-0002, WP-0006) are immediately executable. The single condition, carried forward unchanged, is that Resource Readiness (KPI-08) is not yet met; this specification should be treated as immediately startable, not yet fully executable, until WP-0006 closes that gap.</w:t>
            </w:r>
          </w:p>
        </w:tc>
      </w:tr>
    </w:tbl>
    <w:p>
      <w:pPr>
        <w:pStyle w:val="BodyText"/>
      </w:pPr>
      <w:r>
        <w:t xml:space="preserve">No new readiness dimension is introduced beyond those already scored in Phase A.3 §15, Phase B §14, Section 2 §5, and Section 3 §7 — this table applies those same dimensions at engineering-design granularity.</w:t>
      </w:r>
    </w:p>
    <w:bookmarkEnd w:id="32"/>
    <w:bookmarkStart w:id="33" w:name="engineering-design-traceability-matrix"/>
    <w:p>
      <w:pPr>
        <w:pStyle w:val="Heading2"/>
      </w:pPr>
      <w:r>
        <w:t xml:space="preserve">8. Engineering Design Traceability Matrix</w:t>
      </w:r>
    </w:p>
    <w:p>
      <w:pPr>
        <w:pStyle w:val="FirstParagraph"/>
      </w:pPr>
      <w:r>
        <w:t xml:space="preserve">No identifier is recreated; every AR, EGD, WP, and Certification Level below is reused unchanged from Phase A.3 §7, extended by Phase B §8, Section 1 §11, and Section 3 §8, now terminating in this document’s Engineering Design (§3) rather than stopping at the repository-artifact level.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Work Package</w:t>
            </w:r>
          </w:p>
        </w:tc>
        <w:tc>
          <w:tcPr/>
          <w:p>
            <w:pPr>
              <w:pStyle w:val="Compact"/>
              <w:jc w:val="left"/>
            </w:pPr>
            <w:r>
              <w:t xml:space="preserve">Architecture Requirement</w:t>
            </w:r>
          </w:p>
        </w:tc>
        <w:tc>
          <w:tcPr/>
          <w:p>
            <w:pPr>
              <w:pStyle w:val="Compact"/>
              <w:jc w:val="left"/>
            </w:pPr>
            <w:r>
              <w:t xml:space="preserve">Enterprise Governance Decision</w:t>
            </w:r>
          </w:p>
        </w:tc>
        <w:tc>
          <w:tcPr/>
          <w:p>
            <w:pPr>
              <w:pStyle w:val="Compact"/>
              <w:jc w:val="left"/>
            </w:pPr>
            <w:r>
              <w:t xml:space="preserve">Repository</w:t>
            </w:r>
          </w:p>
        </w:tc>
        <w:tc>
          <w:tcPr/>
          <w:p>
            <w:pPr>
              <w:pStyle w:val="Compact"/>
              <w:jc w:val="left"/>
            </w:pPr>
            <w:r>
              <w:t xml:space="preserve">Engineering Design</w:t>
            </w:r>
          </w:p>
        </w:tc>
        <w:tc>
          <w:tcPr/>
          <w:p>
            <w:pPr>
              <w:pStyle w:val="Compact"/>
              <w:jc w:val="left"/>
            </w:pPr>
            <w:r>
              <w:t xml:space="preserve">Verification Method</w:t>
            </w:r>
          </w:p>
        </w:tc>
        <w:tc>
          <w:tcPr/>
          <w:p>
            <w:pPr>
              <w:pStyle w:val="Compact"/>
              <w:jc w:val="left"/>
            </w:pPr>
            <w:r>
              <w:t xml:space="preserve">Acceptance Criteria</w:t>
            </w:r>
          </w:p>
        </w:tc>
        <w:tc>
          <w:tcPr/>
          <w:p>
            <w:pPr>
              <w:pStyle w:val="Compact"/>
              <w:jc w:val="left"/>
            </w:pPr>
            <w:r>
              <w:t xml:space="preserve">Certification Level</w:t>
            </w:r>
          </w:p>
        </w:tc>
      </w:tr>
      <w:tr>
        <w:tc>
          <w:tcPr/>
          <w:p>
            <w:pPr>
              <w:pStyle w:val="Compact"/>
              <w:jc w:val="left"/>
            </w:pPr>
            <w:r>
              <w:t xml:space="preserve">WP-0001</w:t>
            </w:r>
          </w:p>
        </w:tc>
        <w:tc>
          <w:tcPr/>
          <w:p>
            <w:pPr>
              <w:pStyle w:val="Compact"/>
              <w:jc w:val="left"/>
            </w:pPr>
            <w:r>
              <w:t xml:space="preserve">AR-0002</w:t>
            </w:r>
          </w:p>
        </w:tc>
        <w:tc>
          <w:tcPr/>
          <w:p>
            <w:pPr>
              <w:pStyle w:val="Compact"/>
              <w:jc w:val="left"/>
            </w:pPr>
            <w:r>
              <w:t xml:space="preserve">EGD-0002</w:t>
            </w:r>
          </w:p>
        </w:tc>
        <w:tc>
          <w:tcPr/>
          <w:p>
            <w:pPr>
              <w:pStyle w:val="Compact"/>
              <w:jc w:val="left"/>
            </w:pPr>
            <w:r>
              <w:t xml:space="preserve">Documentation</w:t>
            </w:r>
          </w:p>
        </w:tc>
        <w:tc>
          <w:tcPr/>
          <w:p>
            <w:pPr>
              <w:pStyle w:val="Compact"/>
              <w:jc w:val="left"/>
            </w:pPr>
            <w:r>
              <w:t xml:space="preserve">§3, WP-0001</w:t>
            </w:r>
          </w:p>
        </w:tc>
        <w:tc>
          <w:tcPr/>
          <w:p>
            <w:pPr>
              <w:pStyle w:val="Compact"/>
              <w:jc w:val="left"/>
            </w:pPr>
            <w:r>
              <w:t xml:space="preserve">Table inventory diff, zero discrepancies</w:t>
            </w:r>
          </w:p>
        </w:tc>
        <w:tc>
          <w:tcPr/>
          <w:p>
            <w:pPr>
              <w:pStyle w:val="Compact"/>
              <w:jc w:val="left"/>
            </w:pPr>
            <w:r>
              <w:t xml:space="preserve">KPI-02 = 100; AR-0002 traceability advances</w:t>
            </w:r>
          </w:p>
        </w:tc>
        <w:tc>
          <w:tcPr/>
          <w:p>
            <w:pPr>
              <w:pStyle w:val="Compact"/>
              <w:jc w:val="left"/>
            </w:pPr>
            <w:r>
              <w:t xml:space="preserve">L4 (pending)</w:t>
            </w:r>
          </w:p>
        </w:tc>
      </w:tr>
      <w:tr>
        <w:tc>
          <w:tcPr/>
          <w:p>
            <w:pPr>
              <w:pStyle w:val="Compact"/>
              <w:jc w:val="left"/>
            </w:pPr>
            <w:r>
              <w:t xml:space="preserve">WP-0002</w:t>
            </w:r>
          </w:p>
        </w:tc>
        <w:tc>
          <w:tcPr/>
          <w:p>
            <w:pPr>
              <w:pStyle w:val="Compact"/>
              <w:jc w:val="left"/>
            </w:pPr>
            <w:r>
              <w:t xml:space="preserve">AR-0007</w:t>
            </w:r>
          </w:p>
        </w:tc>
        <w:tc>
          <w:tcPr/>
          <w:p>
            <w:pPr>
              <w:pStyle w:val="Compact"/>
              <w:jc w:val="left"/>
            </w:pPr>
            <w:r>
              <w:t xml:space="preserve">EGD-0007</w:t>
            </w:r>
          </w:p>
        </w:tc>
        <w:tc>
          <w:tcPr/>
          <w:p>
            <w:pPr>
              <w:pStyle w:val="Compact"/>
              <w:jc w:val="left"/>
            </w:pPr>
            <w:r>
              <w:t xml:space="preserve">Database + Test</w:t>
            </w:r>
          </w:p>
        </w:tc>
        <w:tc>
          <w:tcPr/>
          <w:p>
            <w:pPr>
              <w:pStyle w:val="Compact"/>
              <w:jc w:val="left"/>
            </w:pPr>
            <w:r>
              <w:t xml:space="preserve">§3, WP-0002</w:t>
            </w:r>
          </w:p>
        </w:tc>
        <w:tc>
          <w:tcPr/>
          <w:p>
            <w:pPr>
              <w:pStyle w:val="Compact"/>
              <w:jc w:val="left"/>
            </w:pPr>
            <w:r>
              <w:t xml:space="preserve">Query-based verification with written evidence</w:t>
            </w:r>
          </w:p>
        </w:tc>
        <w:tc>
          <w:tcPr/>
          <w:p>
            <w:pPr>
              <w:pStyle w:val="Compact"/>
              <w:jc w:val="left"/>
            </w:pPr>
            <w:r>
              <w:t xml:space="preserve">KPI-06 = 100% confirmed; KPI-09 Critical class reduces to 0</w:t>
            </w:r>
          </w:p>
        </w:tc>
        <w:tc>
          <w:tcPr/>
          <w:p>
            <w:pPr>
              <w:pStyle w:val="Compact"/>
              <w:jc w:val="left"/>
            </w:pPr>
            <w:r>
              <w:t xml:space="preserve">L4 (pending)</w:t>
            </w:r>
          </w:p>
        </w:tc>
      </w:tr>
      <w:tr>
        <w:tc>
          <w:tcPr/>
          <w:p>
            <w:pPr>
              <w:pStyle w:val="Compact"/>
              <w:jc w:val="left"/>
            </w:pPr>
            <w:r>
              <w:t xml:space="preserve">WP-0003</w:t>
            </w:r>
          </w:p>
        </w:tc>
        <w:tc>
          <w:tcPr/>
          <w:p>
            <w:pPr>
              <w:pStyle w:val="Compact"/>
              <w:jc w:val="left"/>
            </w:pPr>
            <w:r>
              <w:t xml:space="preserve">AR-0004</w:t>
            </w:r>
          </w:p>
        </w:tc>
        <w:tc>
          <w:tcPr/>
          <w:p>
            <w:pPr>
              <w:pStyle w:val="Compact"/>
              <w:jc w:val="left"/>
            </w:pPr>
            <w:r>
              <w:t xml:space="preserve">EGD-0004</w:t>
            </w:r>
          </w:p>
        </w:tc>
        <w:tc>
          <w:tcPr/>
          <w:p>
            <w:pPr>
              <w:pStyle w:val="Compact"/>
              <w:jc w:val="left"/>
            </w:pPr>
            <w:r>
              <w:t xml:space="preserve">Database (conditional)</w:t>
            </w:r>
          </w:p>
        </w:tc>
        <w:tc>
          <w:tcPr/>
          <w:p>
            <w:pPr>
              <w:pStyle w:val="Compact"/>
              <w:jc w:val="left"/>
            </w:pPr>
            <w:r>
              <w:t xml:space="preserve">§3, WP-0003</w:t>
            </w:r>
          </w:p>
        </w:tc>
        <w:tc>
          <w:tcPr/>
          <w:p>
            <w:pPr>
              <w:pStyle w:val="Compact"/>
              <w:jc w:val="left"/>
            </w:pPr>
            <w:r>
              <w:t xml:space="preserve">Quarterly row-count/latency check against trigger</w:t>
            </w:r>
          </w:p>
        </w:tc>
        <w:tc>
          <w:tcPr/>
          <w:p>
            <w:pPr>
              <w:pStyle w:val="Compact"/>
              <w:jc w:val="left"/>
            </w:pPr>
            <w:r>
              <w:t xml:space="preserve">Quarterly monitoring evidence current; migration (if triggered) meets AR-0010 with zero rollback failures</w:t>
            </w:r>
          </w:p>
        </w:tc>
        <w:tc>
          <w:tcPr/>
          <w:p>
            <w:pPr>
              <w:pStyle w:val="Compact"/>
              <w:jc w:val="left"/>
            </w:pPr>
            <w:r>
              <w:t xml:space="preserve">L3 (standing); L4 only if triggered and verified</w:t>
            </w:r>
          </w:p>
        </w:tc>
      </w:tr>
      <w:tr>
        <w:tc>
          <w:tcPr/>
          <w:p>
            <w:pPr>
              <w:pStyle w:val="Compact"/>
              <w:jc w:val="left"/>
            </w:pPr>
            <w:r>
              <w:t xml:space="preserve">WP-0004</w:t>
            </w:r>
          </w:p>
        </w:tc>
        <w:tc>
          <w:tcPr/>
          <w:p>
            <w:pPr>
              <w:pStyle w:val="Compact"/>
              <w:jc w:val="left"/>
            </w:pPr>
            <w:r>
              <w:t xml:space="preserve">AR-0003</w:t>
            </w:r>
          </w:p>
        </w:tc>
        <w:tc>
          <w:tcPr/>
          <w:p>
            <w:pPr>
              <w:pStyle w:val="Compact"/>
              <w:jc w:val="left"/>
            </w:pPr>
            <w:r>
              <w:t xml:space="preserve">EGD-0003</w:t>
            </w:r>
          </w:p>
        </w:tc>
        <w:tc>
          <w:tcPr/>
          <w:p>
            <w:pPr>
              <w:pStyle w:val="Compact"/>
              <w:jc w:val="left"/>
            </w:pPr>
            <w:r>
              <w:t xml:space="preserve">Documentation + Test</w:t>
            </w:r>
          </w:p>
        </w:tc>
        <w:tc>
          <w:tcPr/>
          <w:p>
            <w:pPr>
              <w:pStyle w:val="Compact"/>
              <w:jc w:val="left"/>
            </w:pPr>
            <w:r>
              <w:t xml:space="preserve">§3, WP-0004</w:t>
            </w:r>
          </w:p>
        </w:tc>
        <w:tc>
          <w:tcPr/>
          <w:p>
            <w:pPr>
              <w:pStyle w:val="Compact"/>
              <w:jc w:val="left"/>
            </w:pPr>
            <w:r>
              <w:t xml:space="preserve">Per-release automated denormalization check</w:t>
            </w:r>
          </w:p>
        </w:tc>
        <w:tc>
          <w:tcPr/>
          <w:p>
            <w:pPr>
              <w:pStyle w:val="Compact"/>
              <w:jc w:val="left"/>
            </w:pPr>
            <w:r>
              <w:t xml:space="preserve">Zero violations in the check’s operating history; KPI-04 stable or declining</w:t>
            </w:r>
          </w:p>
        </w:tc>
        <w:tc>
          <w:tcPr/>
          <w:p>
            <w:pPr>
              <w:pStyle w:val="Compact"/>
              <w:jc w:val="left"/>
            </w:pPr>
            <w:r>
              <w:t xml:space="preserve">L4 (pending)</w:t>
            </w:r>
          </w:p>
        </w:tc>
      </w:tr>
      <w:tr>
        <w:tc>
          <w:tcPr/>
          <w:p>
            <w:pPr>
              <w:pStyle w:val="Compact"/>
              <w:jc w:val="left"/>
            </w:pPr>
            <w:r>
              <w:t xml:space="preserve">WP-0005</w:t>
            </w:r>
          </w:p>
        </w:tc>
        <w:tc>
          <w:tcPr/>
          <w:p>
            <w:pPr>
              <w:pStyle w:val="Compact"/>
              <w:jc w:val="left"/>
            </w:pPr>
            <w:r>
              <w:t xml:space="preserve">AR-0007 (extension)</w:t>
            </w:r>
          </w:p>
        </w:tc>
        <w:tc>
          <w:tcPr/>
          <w:p>
            <w:pPr>
              <w:pStyle w:val="Compact"/>
              <w:jc w:val="left"/>
            </w:pPr>
            <w:r>
              <w:t xml:space="preserve">EGD-0007</w:t>
            </w:r>
          </w:p>
        </w:tc>
        <w:tc>
          <w:tcPr/>
          <w:p>
            <w:pPr>
              <w:pStyle w:val="Compact"/>
              <w:jc w:val="left"/>
            </w:pPr>
            <w:r>
              <w:t xml:space="preserve">Database + Test</w:t>
            </w:r>
          </w:p>
        </w:tc>
        <w:tc>
          <w:tcPr/>
          <w:p>
            <w:pPr>
              <w:pStyle w:val="Compact"/>
              <w:jc w:val="left"/>
            </w:pPr>
            <w:r>
              <w:t xml:space="preserve">§3, WP-0005</w:t>
            </w:r>
          </w:p>
        </w:tc>
        <w:tc>
          <w:tcPr/>
          <w:p>
            <w:pPr>
              <w:pStyle w:val="Compact"/>
              <w:jc w:val="left"/>
            </w:pPr>
            <w:r>
              <w:t xml:space="preserve">Review findings, WP-0002 template</w:t>
            </w:r>
          </w:p>
        </w:tc>
        <w:tc>
          <w:tcPr/>
          <w:p>
            <w:pPr>
              <w:pStyle w:val="Compact"/>
              <w:jc w:val="left"/>
            </w:pPr>
            <w:r>
              <w:t xml:space="preserve">Documented decision for every reviewed column; zero unreviewed in-scope columns remaining</w:t>
            </w:r>
          </w:p>
        </w:tc>
        <w:tc>
          <w:tcPr/>
          <w:p>
            <w:pPr>
              <w:pStyle w:val="Compact"/>
              <w:jc w:val="left"/>
            </w:pPr>
            <w:r>
              <w:t xml:space="preserve">L4 (pending, extension of AR-0007)</w:t>
            </w:r>
          </w:p>
        </w:tc>
      </w:tr>
      <w:tr>
        <w:tc>
          <w:tcPr/>
          <w:p>
            <w:pPr>
              <w:pStyle w:val="Compact"/>
              <w:jc w:val="left"/>
            </w:pPr>
            <w:r>
              <w:t xml:space="preserve">WP-0006</w:t>
            </w:r>
          </w:p>
        </w:tc>
        <w:tc>
          <w:tcPr/>
          <w:p>
            <w:pPr>
              <w:pStyle w:val="Compact"/>
              <w:jc w:val="left"/>
            </w:pPr>
            <w:r>
              <w:t xml:space="preserve">AP-009 (all EGDs)</w:t>
            </w:r>
          </w:p>
        </w:tc>
        <w:tc>
          <w:tcPr/>
          <w:p>
            <w:pPr>
              <w:pStyle w:val="Compact"/>
              <w:jc w:val="left"/>
            </w:pPr>
            <w:r>
              <w:t xml:space="preserve">All EGD-0001–0009</w:t>
            </w:r>
          </w:p>
        </w:tc>
        <w:tc>
          <w:tcPr/>
          <w:p>
            <w:pPr>
              <w:pStyle w:val="Compact"/>
              <w:jc w:val="left"/>
            </w:pPr>
            <w:r>
              <w:t xml:space="preserve">Governance record only</w:t>
            </w:r>
          </w:p>
        </w:tc>
        <w:tc>
          <w:tcPr/>
          <w:p>
            <w:pPr>
              <w:pStyle w:val="Compact"/>
              <w:jc w:val="left"/>
            </w:pPr>
            <w:r>
              <w:t xml:space="preserve">§3, WP-0006</w:t>
            </w:r>
          </w:p>
        </w:tc>
        <w:tc>
          <w:tcPr/>
          <w:p>
            <w:pPr>
              <w:pStyle w:val="Compact"/>
              <w:jc w:val="left"/>
            </w:pPr>
            <w:r>
              <w:t xml:space="preserve">KPI-08 measurement</w:t>
            </w:r>
          </w:p>
        </w:tc>
        <w:tc>
          <w:tcPr/>
          <w:p>
            <w:pPr>
              <w:pStyle w:val="Compact"/>
              <w:jc w:val="left"/>
            </w:pPr>
            <w:r>
              <w:t xml:space="preserve">KPI-08 = 100%; zero unassigned owner fields across EGD-0001–0009 and WP-0001–0006</w:t>
            </w:r>
          </w:p>
        </w:tc>
        <w:tc>
          <w:tcPr/>
          <w:p>
            <w:pPr>
              <w:pStyle w:val="Compact"/>
              <w:jc w:val="left"/>
            </w:pPr>
            <w:r>
              <w:t xml:space="preserve">Not Applicable — organizational precondition, not itself certified</w:t>
            </w:r>
          </w:p>
        </w:tc>
      </w:tr>
    </w:tbl>
    <w:bookmarkEnd w:id="33"/>
    <w:bookmarkStart w:id="34" w:name="executive-summary"/>
    <w:p>
      <w:pPr>
        <w:pStyle w:val="Heading2"/>
      </w:pPr>
      <w:r>
        <w:t xml:space="preserve">9. Executive Summary</w:t>
      </w:r>
    </w:p>
    <w:p>
      <w:pPr>
        <w:pStyle w:val="FirstParagraph"/>
      </w:pPr>
      <w:r>
        <w:t xml:space="preserve">This Engineering Design Specification completes ERP-01 Phase C’s decomposition of the approved realization baseline: Section 1 established how the six approved Work Packages should be executed; Section 2 established what each one is, in complete engineering-profile form; Section 3 established where each one’s impact lands across the repository landscape; this document establishes how each one is engineered — functional behavior, technical approach, logical sequencing, data flow, security design, error handling, performance considerations, and design constraints — for WP-0001 through WP-0006, and for no Work Package or Portfolio beyond them.</w:t>
      </w:r>
    </w:p>
    <w:p>
      <w:pPr>
        <w:pStyle w:val="BodyText"/>
      </w:pPr>
      <w:r>
        <w:rPr>
          <w:bCs/>
          <w:b/>
        </w:rPr>
        <w:t xml:space="preserve">Engineering design maturity</w:t>
      </w:r>
      <w:r>
        <w:t xml:space="preserve"> </w:t>
      </w:r>
      <w:r>
        <w:t xml:space="preserve">is complete for all six Work Packages at the level their own scope supports: full operative detail for WP-0001, WP-0002, WP-0004, WP-0005, and WP-0006; assessment-method detail only for WP-0003, whose substantive design remains correctly dormant pending its trigger (AP-008).</w:t>
      </w:r>
    </w:p>
    <w:p>
      <w:pPr>
        <w:pStyle w:val="BodyText"/>
      </w:pPr>
      <w:r>
        <w:rPr>
          <w:bCs/>
          <w:b/>
        </w:rPr>
        <w:t xml:space="preserve">Repository alignment</w:t>
      </w:r>
      <w:r>
        <w:t xml:space="preserve"> </w:t>
      </w:r>
      <w:r>
        <w:t xml:space="preserve">is exact — every design decomposes only the three repository categories Section 3 found approved impact in (Documentation, Database, Test); no design in this document asserts backend, frontend, integration, AI, or infrastructure engineering work the approved repositories do not evidence.</w:t>
      </w:r>
    </w:p>
    <w:p>
      <w:pPr>
        <w:pStyle w:val="BodyText"/>
      </w:pPr>
      <w:r>
        <w:rPr>
          <w:bCs/>
          <w:b/>
        </w:rPr>
        <w:t xml:space="preserve">Architecture conformance</w:t>
      </w:r>
      <w:r>
        <w:t xml:space="preserve"> </w:t>
      </w:r>
      <w:r>
        <w:t xml:space="preserve">is preserved throughout: no design proposes an alternative disposition to any AR/EGD pair already fixed in Phase A.3, and every design states the exact Certification Level (§8) its completion would advance.</w:t>
      </w:r>
    </w:p>
    <w:p>
      <w:pPr>
        <w:pStyle w:val="BodyText"/>
      </w:pPr>
      <w:r>
        <w:rPr>
          <w:bCs/>
          <w:b/>
        </w:rPr>
        <w:t xml:space="preserve">Verification readiness</w:t>
      </w:r>
      <w:r>
        <w:t xml:space="preserve"> </w:t>
      </w:r>
      <w:r>
        <w:t xml:space="preserve">is highest for WP-0002, whose method is fully defined and immediately executable, and which this document — like Section 1 before it — treats as the standing template WP-0004 and WP-0005 explicitly reuse rather than re-design.</w:t>
      </w:r>
    </w:p>
    <w:p>
      <w:pPr>
        <w:pStyle w:val="BodyText"/>
      </w:pPr>
      <w:r>
        <w:rPr>
          <w:bCs/>
          <w:b/>
        </w:rPr>
        <w:t xml:space="preserve">Governance alignment</w:t>
      </w:r>
      <w:r>
        <w:t xml:space="preserve"> </w:t>
      </w:r>
      <w:r>
        <w:t xml:space="preserve">is complete: no design in this specification requires new governance, and every design remains contingent on WP-0006 for accountable, rather than aspirational, ownership — the same single readiness gap every prior ERP-01 phase has identified.</w:t>
      </w:r>
    </w:p>
    <w:p>
      <w:pPr>
        <w:pStyle w:val="BodyText"/>
      </w:pPr>
      <w:r>
        <w:rPr>
          <w:bCs/>
          <w:b/>
        </w:rPr>
        <w:t xml:space="preserve">Overall engineering readiness: READY WITH CONDITIONS.</w:t>
      </w:r>
      <w:r>
        <w:t xml:space="preserve"> </w:t>
      </w:r>
      <w:r>
        <w:t xml:space="preserve">Wave 1’s two designs (WP-0002, WP-0006) are executable today with zero blocking dependency. This specification transforms the Repository Impact Assessment (Section 3) into implementation-ready engineering guidance while remaining, in every design decision above, completely faithful to the approved ERP-01 baseline — introducing no Architecture Requirement, Enterprise Governance Decision, Enterprise Resolution, Variance, Work Package, Portfolio, Wave, Milestone, or KPI identifier beyond those Phase A.3 already established.</w:t>
      </w:r>
    </w:p>
    <w:p>
      <w:pPr>
        <w:pStyle w:val="BodyText"/>
      </w:pPr>
      <w:r>
        <w:rPr>
          <w:iCs/>
          <w:i/>
        </w:rPr>
        <w:t xml:space="preserve">This Engineering Design Specification is the authoritative engineering-design system-of-record for ERP-01 Phase C. It asserts no implementation authority beyond what Phase A.1–A.3, Phase B, and Phase C Sections 1–3 already establish, and marks every dimension those repositories do not evidence as Not Evidenced in Current Baseline or Reserved for Future Realization Phases rather than fabricating it.</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2026-07-09T05:35:59Z</dcterms:created>
  <dcterms:modified xsi:type="dcterms:W3CDTF">2026-07-09T05:35:59Z</dcterms:modified>
</cp:coreProperties>
</file>

<file path=docProps/custom.xml><?xml version="1.0" encoding="utf-8"?>
<Properties xmlns="http://schemas.openxmlformats.org/officeDocument/2006/custom-properties" xmlns:vt="http://schemas.openxmlformats.org/officeDocument/2006/docPropsVTypes"/>
</file>