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ERP-01 — Phase C</w:t>
      </w:r>
    </w:p>
    <w:p>
      <w:pPr>
        <w:pStyle w:val="Heading1"/>
        <w:spacing w:after="100"/>
      </w:pPr>
      <w:r>
        <w:t xml:space="preserve">Section 5 — Implementation Blueprint</w:t>
      </w:r>
    </w:p>
    <w:p>
      <w:pPr>
        <w:spacing w:after="140"/>
      </w:pPr>
      <w:r>
        <w:rPr>
          <w:b w:val="false"/>
          <w:bCs w:val="false"/>
          <w:i/>
          <w:iCs/>
        </w:rPr>
        <w:t xml:space="preserve">HireRise Career Intelligence Platform</w:t>
      </w:r>
    </w:p>
    <w:p>
      <w:pPr>
        <w:spacing w:after="140"/>
      </w:pPr>
      <w:r>
        <w:rPr>
          <w:b w:val="false"/>
          <w:bCs w:val="false"/>
          <w:i w:val="false"/>
          <w:iCs w:val="false"/>
        </w:rPr>
        <w:t xml:space="preserve">Version 1.0 | Status: DRAFT FOR REVIEW</w:t>
      </w:r>
    </w:p>
    <w:p>
      <w:pPr>
        <w:spacing w:after="120"/>
      </w:pPr>
    </w:p>
    <w:p>
      <w:pPr>
        <w:spacing w:after="140"/>
      </w:pPr>
      <w:r>
        <w:rPr>
          <w:b w:val="false"/>
          <w:bCs w:val="false"/>
          <w:i/>
          <w:iCs/>
        </w:rPr>
        <w:t xml:space="preserve">Authoritative inputs: ERP-01 Phase A.1 — Enterprise Physical Data Model Realization Assessment; ERP-01 Phase A.2 — Enterprise Architecture Governance &amp; Disposition Assessment; ERP-01 Phase A.3 — Enterprise Architecture Baseline &amp; Resolution Repository; ERP-01 Phase B — Enterprise Architecture Realization Roadmap &amp; Portfolio Plan; ERP-01 Phase C, Sections 1–4. No new architecture assessment, repository inspection, governance review, or engineering design was performed to produce this document; every entry below traces to one or more of these approved repositories.</w:t>
      </w:r>
    </w:p>
    <w:p>
      <w:pPr>
        <w:spacing w:after="120"/>
      </w:pPr>
    </w:p>
    <w:p>
      <w:pPr>
        <w:spacing w:after="140"/>
      </w:pPr>
      <w:r>
        <w:rPr>
          <w:b w:val="false"/>
          <w:bCs w:val="false"/>
          <w:i/>
          <w:iCs/>
        </w:rPr>
        <w:t xml:space="preserve">A Note on Scope and Evidence: This blueprint covers implementation activities only for the six approved Work Packages established in Phase A.3 §9 and carried through Phase B and Phase C Sections 1–4: WP-0001 through WP-0006. Portfolios 3 (Enterprise AI), 4 (Business Capabilities), 5 (Knowledge Platform), 6 (Integration Platform), and 7 (Operations &amp; Observability), together with Waves 4–5, remain RESERVED FOR FUTURE REALIZATION PHASES — NO APPROVED WORK PACKAGE EXISTS. This document assigns no implementation activity, deliverable, or completion condition to any of them.</w:t>
      </w:r>
    </w:p>
    <w:p>
      <w:r>
        <w:br w:type="page"/>
      </w:r>
    </w:p>
    <w:p>
      <w:pPr>
        <w:pStyle w:val="Heading1"/>
        <w:spacing w:after="160" w:before="360"/>
      </w:pPr>
      <w:r>
        <w:t xml:space="preserve">1. Executive Overview</w:t>
      </w:r>
    </w:p>
    <w:p>
      <w:pPr>
        <w:spacing w:after="140"/>
      </w:pPr>
      <w:r>
        <w:rPr>
          <w:b w:val="false"/>
          <w:bCs w:val="false"/>
          <w:i w:val="false"/>
          <w:iCs w:val="false"/>
        </w:rPr>
        <w:t xml:space="preserve">Purpose. This Implementation Blueprint converts the approved Engineering Design Specification (Phase C, Section 4) into executable implementation activities for the six approved Work Packages, WP-0001 through WP-0006. Where Section 4 defined how each Work Package is engineered, this section defines how each Work Package is executed.</w:t>
      </w:r>
    </w:p>
    <w:p>
      <w:pPr>
        <w:spacing w:after="140"/>
      </w:pPr>
      <w:r>
        <w:rPr>
          <w:b w:val="false"/>
          <w:bCs w:val="false"/>
          <w:i w:val="false"/>
          <w:iCs w:val="false"/>
        </w:rPr>
        <w:t xml:space="preserve">Relationship with Sections 1–4. Section 1 established the engineering principles, governance checkpoints, and evidence standards applied uniformly across all six Work Packages. Section 2 established the complete engineering profile (ownership, dependencies, deliverables, entry/exit/acceptance criteria) for each Work Package. Section 3 established the repository-impact footprint for each Work Package, evidenced across exactly three repository categories: Documentation, Database, and Test. Section 4 established the functional behavior, technical approach, logical sequencing, and design constraints for each Work Package. This blueprint introduces no new architecture assessment, governance decision, or engineering design beyond what Sections 1–4 already establish; it sequences and operationalizes that evidence into step-by-step implementation activities, verification checkpoints, rollback strategies, and completion evidence.</w:t>
      </w:r>
    </w:p>
    <w:p>
      <w:pPr>
        <w:spacing w:after="140"/>
      </w:pPr>
      <w:r>
        <w:rPr>
          <w:b w:val="false"/>
          <w:bCs w:val="false"/>
          <w:i w:val="false"/>
          <w:iCs w:val="false"/>
        </w:rPr>
        <w:t xml:space="preserve">Engineering execution objectives. Bind every implementation activity to its exact Work Package, Architecture Requirement, Enterprise Governance Decision, Repository, Engineering Design, Verification Method, and Acceptance Criteria, with no re-derivation of governance already made in Phase A.3, and no reinterpretation of engineering designs already made in Section 4.</w:t>
      </w:r>
    </w:p>
    <w:p>
      <w:pPr>
        <w:spacing w:after="140"/>
      </w:pPr>
      <w:r>
        <w:rPr>
          <w:b w:val="false"/>
          <w:bCs w:val="false"/>
          <w:i w:val="false"/>
          <w:iCs w:val="false"/>
        </w:rPr>
        <w:t xml:space="preserve">Implementation philosophy. Consistent with AP-002 (repository evidence governs implementation decisions), AP-004 (no migration without measurable business value or an adoption trigger), and AP-008 (enterprise architecture evolves via trigger-based review, not periodic rewrite), every implementation activity below is either a direct, non-speculative operationalization of the approved Section 4 engineering design, or is explicitly marked as Not Evidenced in Current Baseline or Reserved for Future Realization Phases.</w:t>
      </w:r>
    </w:p>
    <w:p>
      <w:pPr>
        <w:spacing w:after="140"/>
      </w:pPr>
      <w:r>
        <w:rPr>
          <w:b w:val="false"/>
          <w:bCs w:val="false"/>
          <w:i w:val="false"/>
          <w:iCs w:val="false"/>
        </w:rPr>
        <w:t xml:space="preserve">Scope. Implementation blueprints are produced only for WP-0001 through WP-0006. No implementation plan is created for reserved portfolios or future enterprise capabilities.</w:t>
      </w:r>
    </w:p>
    <w:p>
      <w:pPr>
        <w:spacing w:after="140"/>
      </w:pPr>
      <w:r>
        <w:rPr>
          <w:b w:val="false"/>
          <w:bCs w:val="false"/>
          <w:i w:val="false"/>
          <w:iCs w:val="false"/>
        </w:rPr>
        <w:t xml:space="preserve">Evidence limitations. Two Work Packages carry conditional implementation scope by design, not by omission: WP-0003's substantive partitioning activity remains dormant until the EGD-0004 trigger fires (row count, latency, or downstream-system threshold), and WP-0006 is an organizational action carrying no technical repository deliverable. Both are documented below exactly as the approved baseline evidences them, without fabricating additional implementation scope.</w:t>
      </w:r>
    </w:p>
    <w:p>
      <w:pPr>
        <w:pStyle w:val="Heading1"/>
        <w:spacing w:after="160" w:before="360"/>
      </w:pPr>
      <w:r>
        <w:t xml:space="preserve">2. Enterprise Implementation Principles</w:t>
      </w:r>
    </w:p>
    <w:p>
      <w:pPr>
        <w:spacing w:after="140"/>
      </w:pPr>
      <w:r>
        <w:rPr>
          <w:b w:val="false"/>
          <w:bCs w:val="false"/>
          <w:i w:val="false"/>
          <w:iCs w:val="false"/>
        </w:rPr>
        <w:t xml:space="preserve">The following implementation principles govern every Work Package below. Each restates, and does not extend beyond, a principle already established in Phase A.3 §2 (AP-001–AP-009) or in Section 1's Enterprise Delivery Rules and Governance-Driven Delivery framework.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D9E2F3" w:val="clear"/>
            <w:vAlign w:val="center"/>
          </w:tcPr>
          <w:p>
            <w:r>
              <w:rPr>
                <w:b/>
                <w:bCs/>
                <w:sz w:val="19"/>
                <w:szCs w:val="19"/>
              </w:rPr>
              <w:t xml:space="preserve">Principle</w:t>
            </w:r>
          </w:p>
        </w:tc>
        <w:tc>
          <w:tcPr>
            <w:tcW w:type="dxa" w:w="6600"/>
            <w:shd w:fill="D9E2F3" w:val="clear"/>
            <w:vAlign w:val="center"/>
          </w:tcPr>
          <w:p>
            <w:r>
              <w:rPr>
                <w:b/>
                <w:bCs/>
                <w:sz w:val="19"/>
                <w:szCs w:val="19"/>
              </w:rPr>
              <w:t xml:space="preserve">Governing Basis</w:t>
            </w:r>
          </w:p>
        </w:tc>
      </w:tr>
      <w:tr>
        <w:tc>
          <w:tcPr>
            <w:tcW w:type="dxa" w:w="3000"/>
            <w:vAlign w:val="center"/>
          </w:tcPr>
          <w:p>
            <w:r>
              <w:rPr>
                <w:b w:val="false"/>
                <w:bCs w:val="false"/>
                <w:sz w:val="19"/>
                <w:szCs w:val="19"/>
              </w:rPr>
              <w:t xml:space="preserve">Architecture-first implementation</w:t>
            </w:r>
          </w:p>
        </w:tc>
        <w:tc>
          <w:tcPr>
            <w:tcW w:type="dxa" w:w="6600"/>
            <w:vAlign w:val="center"/>
          </w:tcPr>
          <w:p>
            <w:r>
              <w:rPr>
                <w:b w:val="false"/>
                <w:bCs w:val="false"/>
                <w:sz w:val="19"/>
                <w:szCs w:val="19"/>
              </w:rPr>
              <w:t xml:space="preserve">Every implementation activity defers to the AR/EGD disposition Phase A.3 already recorded (AP-001, AP-003); no activity below proposes an alternative disposition for any Architecture Requirement.</w:t>
            </w:r>
          </w:p>
        </w:tc>
      </w:tr>
      <w:tr>
        <w:tc>
          <w:tcPr>
            <w:tcW w:type="dxa" w:w="3000"/>
            <w:vAlign w:val="center"/>
          </w:tcPr>
          <w:p>
            <w:r>
              <w:rPr>
                <w:b w:val="false"/>
                <w:bCs w:val="false"/>
                <w:sz w:val="19"/>
                <w:szCs w:val="19"/>
              </w:rPr>
              <w:t xml:space="preserve">Evidence-driven execution</w:t>
            </w:r>
          </w:p>
        </w:tc>
        <w:tc>
          <w:tcPr>
            <w:tcW w:type="dxa" w:w="6600"/>
            <w:vAlign w:val="center"/>
          </w:tcPr>
          <w:p>
            <w:r>
              <w:rPr>
                <w:b w:val="false"/>
                <w:bCs w:val="false"/>
                <w:sz w:val="19"/>
                <w:szCs w:val="19"/>
              </w:rPr>
              <w:t xml:space="preserve">Every implementation activity is grounded in repository evidence, not intent (AP-002) — the same standard Phase A.1 used to assess conformance in the first place.</w:t>
            </w:r>
          </w:p>
        </w:tc>
      </w:tr>
      <w:tr>
        <w:tc>
          <w:tcPr>
            <w:tcW w:type="dxa" w:w="3000"/>
            <w:vAlign w:val="center"/>
          </w:tcPr>
          <w:p>
            <w:r>
              <w:rPr>
                <w:b w:val="false"/>
                <w:bCs w:val="false"/>
                <w:sz w:val="19"/>
                <w:szCs w:val="19"/>
              </w:rPr>
              <w:t xml:space="preserve">Incremental realization</w:t>
            </w:r>
          </w:p>
        </w:tc>
        <w:tc>
          <w:tcPr>
            <w:tcW w:type="dxa" w:w="6600"/>
            <w:vAlign w:val="center"/>
          </w:tcPr>
          <w:p>
            <w:r>
              <w:rPr>
                <w:b w:val="false"/>
                <w:bCs w:val="false"/>
                <w:sz w:val="19"/>
                <w:szCs w:val="19"/>
              </w:rPr>
              <w:t xml:space="preserve">No large-scale schema rewrite is planned or justified by current evidence; implementation proceeds Work Package by Work Package, wave by wave (Section 1 §4, Delivery Philosophy).</w:t>
            </w:r>
          </w:p>
        </w:tc>
      </w:tr>
      <w:tr>
        <w:tc>
          <w:tcPr>
            <w:tcW w:type="dxa" w:w="3000"/>
            <w:vAlign w:val="center"/>
          </w:tcPr>
          <w:p>
            <w:r>
              <w:rPr>
                <w:b w:val="false"/>
                <w:bCs w:val="false"/>
                <w:sz w:val="19"/>
                <w:szCs w:val="19"/>
              </w:rPr>
              <w:t xml:space="preserve">Repository-controlled implementation</w:t>
            </w:r>
          </w:p>
        </w:tc>
        <w:tc>
          <w:tcPr>
            <w:tcW w:type="dxa" w:w="6600"/>
            <w:vAlign w:val="center"/>
          </w:tcPr>
          <w:p>
            <w:r>
              <w:rPr>
                <w:b w:val="false"/>
                <w:bCs w:val="false"/>
                <w:sz w:val="19"/>
                <w:szCs w:val="19"/>
              </w:rPr>
              <w:t xml:space="preserve">Every implementation activity's repository interaction is bounded to exactly the categories Section 3 found evidenced impact in — Documentation, Database, and Test; no activity invents backend, frontend, integration, AI, or infrastructure engineering work (Section 4 §6).</w:t>
            </w:r>
          </w:p>
        </w:tc>
      </w:tr>
      <w:tr>
        <w:tc>
          <w:tcPr>
            <w:tcW w:type="dxa" w:w="3000"/>
            <w:vAlign w:val="center"/>
          </w:tcPr>
          <w:p>
            <w:r>
              <w:rPr>
                <w:b w:val="false"/>
                <w:bCs w:val="false"/>
                <w:sz w:val="19"/>
                <w:szCs w:val="19"/>
              </w:rPr>
              <w:t xml:space="preserve">Verification before completion</w:t>
            </w:r>
          </w:p>
        </w:tc>
        <w:tc>
          <w:tcPr>
            <w:tcW w:type="dxa" w:w="6600"/>
            <w:vAlign w:val="center"/>
          </w:tcPr>
          <w:p>
            <w:r>
              <w:rPr>
                <w:b w:val="false"/>
                <w:bCs w:val="false"/>
                <w:sz w:val="19"/>
                <w:szCs w:val="19"/>
              </w:rPr>
              <w:t xml:space="preserve">Each Work Package's milestone exit criteria function as its quality gate; no Work Package is marked complete without its stated success measure met (Section 1 §5).</w:t>
            </w:r>
          </w:p>
        </w:tc>
      </w:tr>
      <w:tr>
        <w:tc>
          <w:tcPr>
            <w:tcW w:type="dxa" w:w="3000"/>
            <w:vAlign w:val="center"/>
          </w:tcPr>
          <w:p>
            <w:r>
              <w:rPr>
                <w:b w:val="false"/>
                <w:bCs w:val="false"/>
                <w:sz w:val="19"/>
                <w:szCs w:val="19"/>
              </w:rPr>
              <w:t xml:space="preserve">Governance-controlled execution</w:t>
            </w:r>
          </w:p>
        </w:tc>
        <w:tc>
          <w:tcPr>
            <w:tcW w:type="dxa" w:w="6600"/>
            <w:vAlign w:val="center"/>
          </w:tcPr>
          <w:p>
            <w:r>
              <w:rPr>
                <w:b w:val="false"/>
                <w:bCs w:val="false"/>
                <w:sz w:val="19"/>
                <w:szCs w:val="19"/>
              </w:rPr>
              <w:t xml:space="preserve">No implementation activity requires new governance; every activity cites its Work Package's already-dispositioned EGD as its sole governing authority (AP-003, AP-005).</w:t>
            </w:r>
          </w:p>
        </w:tc>
      </w:tr>
      <w:tr>
        <w:tc>
          <w:tcPr>
            <w:tcW w:type="dxa" w:w="3000"/>
            <w:vAlign w:val="center"/>
          </w:tcPr>
          <w:p>
            <w:r>
              <w:rPr>
                <w:b w:val="false"/>
                <w:bCs w:val="false"/>
                <w:sz w:val="19"/>
                <w:szCs w:val="19"/>
              </w:rPr>
              <w:t xml:space="preserve">Risk-first sequencing</w:t>
            </w:r>
          </w:p>
        </w:tc>
        <w:tc>
          <w:tcPr>
            <w:tcW w:type="dxa" w:w="6600"/>
            <w:vAlign w:val="center"/>
          </w:tcPr>
          <w:p>
            <w:r>
              <w:rPr>
                <w:b w:val="false"/>
                <w:bCs w:val="false"/>
                <w:sz w:val="19"/>
                <w:szCs w:val="19"/>
              </w:rPr>
              <w:t xml:space="preserve">Wave 1 (Critical Foundation) sequences the two highest-risk, zero-dependency items — WP-0006 (governance blocker) and WP-0002 (Critical-until-verified security gap) — ahead of Waves 2 and 3 (Phase B §5).</w:t>
            </w:r>
          </w:p>
        </w:tc>
      </w:tr>
      <w:tr>
        <w:tc>
          <w:tcPr>
            <w:tcW w:type="dxa" w:w="3000"/>
            <w:vAlign w:val="center"/>
          </w:tcPr>
          <w:p>
            <w:r>
              <w:rPr>
                <w:b w:val="false"/>
                <w:bCs w:val="false"/>
                <w:sz w:val="19"/>
                <w:szCs w:val="19"/>
              </w:rPr>
              <w:t xml:space="preserve">Rollback readiness</w:t>
            </w:r>
          </w:p>
        </w:tc>
        <w:tc>
          <w:tcPr>
            <w:tcW w:type="dxa" w:w="6600"/>
            <w:vAlign w:val="center"/>
          </w:tcPr>
          <w:p>
            <w:r>
              <w:rPr>
                <w:b w:val="false"/>
                <w:bCs w:val="false"/>
                <w:sz w:val="19"/>
                <w:szCs w:val="19"/>
              </w:rPr>
              <w:t xml:space="preserve">Every migration-bearing implementation activity — WP-0002's contingency RLS fix, WP-0003's partitioning migration, WP-0004's contingency retrofit, and WP-0005's contingency column-policy change — is bound to the AR-0010/EGD-0009 idempotent, rollback-ready standard (Section 1 §4).</w:t>
            </w:r>
          </w:p>
        </w:tc>
      </w:tr>
      <w:tr>
        <w:tc>
          <w:tcPr>
            <w:tcW w:type="dxa" w:w="3000"/>
            <w:vAlign w:val="center"/>
          </w:tcPr>
          <w:p>
            <w:r>
              <w:rPr>
                <w:b w:val="false"/>
                <w:bCs w:val="false"/>
                <w:sz w:val="19"/>
                <w:szCs w:val="19"/>
              </w:rPr>
              <w:t xml:space="preserve">Documentation-first completion</w:t>
            </w:r>
          </w:p>
        </w:tc>
        <w:tc>
          <w:tcPr>
            <w:tcW w:type="dxa" w:w="6600"/>
            <w:vAlign w:val="center"/>
          </w:tcPr>
          <w:p>
            <w:r>
              <w:rPr>
                <w:b w:val="false"/>
                <w:bCs w:val="false"/>
                <w:sz w:val="19"/>
                <w:szCs w:val="19"/>
              </w:rPr>
              <w:t xml:space="preserve">WP-0001 and WP-0004 are documentation-primary Work Packages whose completion evidence is, by design, a published document plus its verification artifact (AP-006, AP-007).</w:t>
            </w:r>
          </w:p>
        </w:tc>
      </w:tr>
      <w:tr>
        <w:tc>
          <w:tcPr>
            <w:tcW w:type="dxa" w:w="3000"/>
            <w:vAlign w:val="center"/>
          </w:tcPr>
          <w:p>
            <w:r>
              <w:rPr>
                <w:b w:val="false"/>
                <w:bCs w:val="false"/>
                <w:sz w:val="19"/>
                <w:szCs w:val="19"/>
              </w:rPr>
              <w:t xml:space="preserve">Continuous architecture conformance</w:t>
            </w:r>
          </w:p>
        </w:tc>
        <w:tc>
          <w:tcPr>
            <w:tcW w:type="dxa" w:w="6600"/>
            <w:vAlign w:val="center"/>
          </w:tcPr>
          <w:p>
            <w:r>
              <w:rPr>
                <w:b w:val="false"/>
                <w:bCs w:val="false"/>
                <w:sz w:val="19"/>
                <w:szCs w:val="19"/>
              </w:rPr>
              <w:t xml:space="preserve">KPI-01 (Architecture Conformance %) and KPI-07 (Governance Decision Traceability %) are re-measured at every milestone; enterprise architecture evolves via trigger-based review, not periodic rewrite (AP-008).</w:t>
            </w:r>
          </w:p>
        </w:tc>
      </w:tr>
    </w:tbl>
    <w:p>
      <w:pPr>
        <w:spacing w:after="120"/>
      </w:pPr>
    </w:p>
    <w:p>
      <w:pPr>
        <w:spacing w:after="200" w:before="100"/>
      </w:pPr>
      <w:r>
        <w:rPr>
          <w:i/>
          <w:iCs/>
        </w:rPr>
        <w:t xml:space="preserve">No implementation principle beyond those enumerated above is introduced in this document.</w:t>
      </w:r>
    </w:p>
    <w:p>
      <w:r>
        <w:br w:type="page"/>
      </w:r>
    </w:p>
    <w:p>
      <w:pPr>
        <w:pStyle w:val="Heading1"/>
        <w:spacing w:after="160" w:before="360"/>
      </w:pPr>
      <w:r>
        <w:t xml:space="preserve">3. Implementation Blueprint by Work Package</w:t>
      </w:r>
    </w:p>
    <w:p>
      <w:pPr>
        <w:spacing w:after="140"/>
      </w:pPr>
      <w:r>
        <w:rPr>
          <w:b w:val="false"/>
          <w:bCs w:val="false"/>
          <w:i w:val="false"/>
          <w:iCs w:val="false"/>
        </w:rPr>
        <w:t xml:space="preserve">Complete implementation blueprint for each of the six approved Work Packages, WP-0001 through WP-0006, in the order established by Phase A.3 §9 and carried through Phase C Sections 1–4.</w:t>
      </w:r>
    </w:p>
    <w:p>
      <w:r>
        <w:br w:type="page"/>
      </w:r>
    </w:p>
    <w:p>
      <w:pPr>
        <w:pStyle w:val="Heading2"/>
        <w:spacing w:after="140" w:before="280"/>
      </w:pPr>
      <w:r>
        <w:t xml:space="preserve">WP-0001 — Revise EEP-01 Phase A Architecture Document to the Canonical Live-Schema Baseline</w:t>
      </w:r>
    </w:p>
    <w:p>
      <w:pPr>
        <w:pStyle w:val="Heading3"/>
        <w:spacing w:after="100" w:before="220"/>
      </w:pPr>
      <w:r>
        <w:t xml:space="preserve">A. Implementation Objective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Objective</w:t>
            </w:r>
          </w:p>
        </w:tc>
        <w:tc>
          <w:tcPr>
            <w:tcW w:type="dxa" w:w="7000"/>
            <w:vAlign w:val="center"/>
          </w:tcPr>
          <w:p>
            <w:r>
              <w:rPr>
                <w:b w:val="false"/>
                <w:bCs w:val="false"/>
                <w:sz w:val="19"/>
                <w:szCs w:val="19"/>
              </w:rPr>
              <w:t xml:space="preserve">Author the revised EEP-01 Phase A architecture document describing the live public-schema student-academic table set as the canonical architecture baseline, executing EGD-0002 (Phase A.3 §4; Section 2, WP-0001.A).</w:t>
            </w:r>
          </w:p>
        </w:tc>
      </w:tr>
      <w:tr>
        <w:tc>
          <w:tcPr>
            <w:tcW w:type="dxa" w:w="2600"/>
            <w:shd w:fill="D9E2F3" w:val="clear"/>
            <w:vAlign w:val="center"/>
          </w:tcPr>
          <w:p>
            <w:r>
              <w:rPr>
                <w:b/>
                <w:bCs/>
                <w:sz w:val="19"/>
                <w:szCs w:val="19"/>
              </w:rPr>
              <w:t xml:space="preserve">Expected Outcome</w:t>
            </w:r>
          </w:p>
        </w:tc>
        <w:tc>
          <w:tcPr>
            <w:tcW w:type="dxa" w:w="7000"/>
            <w:vAlign w:val="center"/>
          </w:tcPr>
          <w:p>
            <w:r>
              <w:rPr>
                <w:b w:val="false"/>
                <w:bCs w:val="false"/>
                <w:sz w:val="19"/>
                <w:szCs w:val="19"/>
              </w:rPr>
              <w:t xml:space="preserve">A published, revised EEP-01 Phase A document that accurately describes the live schema as canonical, with zero discrepancies against a table-inventory diff (Section 2, WP-0001.C).</w:t>
            </w:r>
          </w:p>
        </w:tc>
      </w:tr>
      <w:tr>
        <w:tc>
          <w:tcPr>
            <w:tcW w:type="dxa" w:w="2600"/>
            <w:shd w:fill="D9E2F3" w:val="clear"/>
            <w:vAlign w:val="center"/>
          </w:tcPr>
          <w:p>
            <w:r>
              <w:rPr>
                <w:b/>
                <w:bCs/>
                <w:sz w:val="19"/>
                <w:szCs w:val="19"/>
              </w:rPr>
              <w:t xml:space="preserve">Engineering Intent</w:t>
            </w:r>
          </w:p>
        </w:tc>
        <w:tc>
          <w:tcPr>
            <w:tcW w:type="dxa" w:w="7000"/>
            <w:vAlign w:val="center"/>
          </w:tcPr>
          <w:p>
            <w:r>
              <w:rPr>
                <w:b w:val="false"/>
                <w:bCs w:val="false"/>
                <w:sz w:val="19"/>
                <w:szCs w:val="19"/>
              </w:rPr>
              <w:t xml:space="preserve">Execute EGD-0002 against AR-0002, within Portfolio 1 — Enterprise Data Platform, Wave 2 — Platform Stabilization.</w:t>
            </w:r>
          </w:p>
        </w:tc>
      </w:tr>
      <w:tr>
        <w:tc>
          <w:tcPr>
            <w:tcW w:type="dxa" w:w="2600"/>
            <w:shd w:fill="D9E2F3" w:val="clear"/>
            <w:vAlign w:val="center"/>
          </w:tcPr>
          <w:p>
            <w:r>
              <w:rPr>
                <w:b/>
                <w:bCs/>
                <w:sz w:val="19"/>
                <w:szCs w:val="19"/>
              </w:rPr>
              <w:t xml:space="preserve">Completion Target</w:t>
            </w:r>
          </w:p>
        </w:tc>
        <w:tc>
          <w:tcPr>
            <w:tcW w:type="dxa" w:w="7000"/>
            <w:vAlign w:val="center"/>
          </w:tcPr>
          <w:p>
            <w:r>
              <w:rPr>
                <w:b w:val="false"/>
                <w:bCs w:val="false"/>
                <w:sz w:val="19"/>
                <w:szCs w:val="19"/>
              </w:rPr>
              <w:t xml:space="preserve">KPI-02 Documentation Accuracy % = 100; AR-0002 traceability advances to Certification Level L4 (Section 2, WP-0001.J).</w:t>
            </w:r>
          </w:p>
        </w:tc>
      </w:tr>
    </w:tbl>
    <w:p>
      <w:pPr>
        <w:spacing w:after="120"/>
      </w:pPr>
    </w:p>
    <w:p>
      <w:pPr>
        <w:pStyle w:val="Heading3"/>
        <w:spacing w:after="100" w:before="220"/>
      </w:pPr>
      <w:r>
        <w:t xml:space="preserve">B. Implementation Preconditions</w:t>
      </w:r>
    </w:p>
    <w:p>
      <w:pPr>
        <w:pStyle w:val="ListParagraph"/>
        <w:numPr>
          <w:ilvl w:val="0"/>
          <w:numId w:val="1"/>
        </w:numPr>
        <w:spacing w:after="80"/>
      </w:pPr>
      <w:r>
        <w:t xml:space="preserve">Required approvals: EGD-0002 is already Accepted, with execution assigned to this Work Package (Phase A.3 §4) — no new governance approval is required.</w:t>
      </w:r>
    </w:p>
    <w:p>
      <w:pPr>
        <w:pStyle w:val="ListParagraph"/>
        <w:numPr>
          <w:ilvl w:val="0"/>
          <w:numId w:val="1"/>
        </w:numPr>
        <w:spacing w:after="80"/>
      </w:pPr>
      <w:r>
        <w:t xml:space="preserve">Required governance decisions: None outstanding — EGD-0002 disposition is final.</w:t>
      </w:r>
    </w:p>
    <w:p>
      <w:pPr>
        <w:pStyle w:val="ListParagraph"/>
        <w:numPr>
          <w:ilvl w:val="0"/>
          <w:numId w:val="1"/>
        </w:numPr>
        <w:spacing w:after="80"/>
      </w:pPr>
      <w:r>
        <w:t xml:space="preserve">Required repository state: Phase A.1/A.3 evidence exists and is available (met) (Section 2, WP-0001.H).</w:t>
      </w:r>
    </w:p>
    <w:p>
      <w:pPr>
        <w:pStyle w:val="ListParagraph"/>
        <w:numPr>
          <w:ilvl w:val="0"/>
          <w:numId w:val="1"/>
        </w:numPr>
        <w:spacing w:after="80"/>
      </w:pPr>
      <w:r>
        <w:t xml:space="preserve">Required documentation: Current live public schema (student_education_profiles, student_academic_records, student_academic_subjects, student_activities and related tables, student_cognitive_responses and related tables, student_signal_vectors and related tables) as inventoried in Phase A.1 (Section 2, WP-0001.D).</w:t>
      </w:r>
    </w:p>
    <w:p>
      <w:pPr>
        <w:pStyle w:val="ListParagraph"/>
        <w:numPr>
          <w:ilvl w:val="0"/>
          <w:numId w:val="1"/>
        </w:numPr>
        <w:spacing w:after="80"/>
      </w:pPr>
      <w:r>
        <w:t xml:space="preserve">Required dependencies: None strictly blocking.</w:t>
      </w:r>
    </w:p>
    <w:p>
      <w:pPr>
        <w:pStyle w:val="ListParagraph"/>
        <w:numPr>
          <w:ilvl w:val="0"/>
          <w:numId w:val="1"/>
        </w:numPr>
        <w:spacing w:after="80"/>
      </w:pPr>
      <w:r>
        <w:t xml:space="preserve">Required ownership: WP-0006 Enterprise Architecture Owner assignment is recommended first so the document is authored with accountability, but Phase A.3 §8 confirms this is not a hard precondition to begin drafting (see Section 3 §B.WP-0006).</w:t>
      </w:r>
    </w:p>
    <w:p>
      <w:pPr>
        <w:spacing w:after="120"/>
      </w:pPr>
    </w:p>
    <w:p>
      <w:pPr>
        <w:pStyle w:val="Heading3"/>
        <w:spacing w:after="100" w:before="220"/>
      </w:pPr>
      <w:r>
        <w:t xml:space="preserve">C. Implementation Activities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500"/>
        <w:gridCol w:w="2200"/>
        <w:gridCol w:w="2200"/>
      </w:tblGrid>
      <w:tr>
        <w:tc>
          <w:tcPr>
            <w:tcW w:type="dxa" w:w="500"/>
            <w:shd w:fill="D9E2F3" w:val="clear"/>
            <w:vAlign w:val="center"/>
          </w:tcPr>
          <w:p>
            <w:r>
              <w:rPr>
                <w:b/>
                <w:bCs/>
                <w:sz w:val="19"/>
                <w:szCs w:val="19"/>
              </w:rPr>
              <w:t xml:space="preserve">#</w:t>
            </w:r>
          </w:p>
        </w:tc>
        <w:tc>
          <w:tcPr>
            <w:tcW w:type="dxa" w:w="3400"/>
            <w:shd w:fill="D9E2F3" w:val="clear"/>
            <w:vAlign w:val="center"/>
          </w:tcPr>
          <w:p>
            <w:r>
              <w:rPr>
                <w:b/>
                <w:bCs/>
                <w:sz w:val="19"/>
                <w:szCs w:val="19"/>
              </w:rPr>
              <w:t xml:space="preserve">Activity Description</w:t>
            </w:r>
          </w:p>
        </w:tc>
        <w:tc>
          <w:tcPr>
            <w:tcW w:type="dxa" w:w="1500"/>
            <w:shd w:fill="D9E2F3" w:val="clear"/>
            <w:vAlign w:val="center"/>
          </w:tcPr>
          <w:p>
            <w:r>
              <w:rPr>
                <w:b/>
                <w:bCs/>
                <w:sz w:val="19"/>
                <w:szCs w:val="19"/>
              </w:rPr>
              <w:t xml:space="preserve">Repository Affected</w:t>
            </w:r>
          </w:p>
        </w:tc>
        <w:tc>
          <w:tcPr>
            <w:tcW w:type="dxa" w:w="2200"/>
            <w:shd w:fill="D9E2F3" w:val="clear"/>
            <w:vAlign w:val="center"/>
          </w:tcPr>
          <w:p>
            <w:r>
              <w:rPr>
                <w:b/>
                <w:bCs/>
                <w:sz w:val="19"/>
                <w:szCs w:val="19"/>
              </w:rPr>
              <w:t xml:space="preserve">Expected Output</w:t>
            </w:r>
          </w:p>
        </w:tc>
        <w:tc>
          <w:tcPr>
            <w:tcW w:type="dxa" w:w="2200"/>
            <w:shd w:fill="D9E2F3" w:val="clear"/>
            <w:vAlign w:val="center"/>
          </w:tcPr>
          <w:p>
            <w:r>
              <w:rPr>
                <w:b/>
                <w:bCs/>
                <w:sz w:val="19"/>
                <w:szCs w:val="19"/>
              </w:rPr>
              <w:t xml:space="preserve">Verification Checkpoint</w:t>
            </w:r>
          </w:p>
        </w:tc>
      </w:tr>
      <w:tr>
        <w:tc>
          <w:tcPr>
            <w:tcW w:type="dxa" w:w="500"/>
            <w:vAlign w:val="center"/>
          </w:tcPr>
          <w:p>
            <w:r>
              <w:rPr>
                <w:b w:val="false"/>
                <w:bCs w:val="false"/>
                <w:sz w:val="19"/>
                <w:szCs w:val="19"/>
              </w:rPr>
              <w:t xml:space="preserve">1</w:t>
            </w:r>
          </w:p>
        </w:tc>
        <w:tc>
          <w:tcPr>
            <w:tcW w:type="dxa" w:w="3400"/>
            <w:vAlign w:val="center"/>
          </w:tcPr>
          <w:p>
            <w:r>
              <w:rPr>
                <w:b w:val="false"/>
                <w:bCs w:val="false"/>
                <w:sz w:val="19"/>
                <w:szCs w:val="19"/>
              </w:rPr>
              <w:t xml:space="preserve">Enterprise Architecture Owner assignment via WP-0006 (recommended, not blocking).</w:t>
            </w:r>
          </w:p>
        </w:tc>
        <w:tc>
          <w:tcPr>
            <w:tcW w:type="dxa" w:w="1500"/>
            <w:vAlign w:val="center"/>
          </w:tcPr>
          <w:p>
            <w:r>
              <w:rPr>
                <w:b w:val="false"/>
                <w:bCs w:val="false"/>
                <w:sz w:val="19"/>
                <w:szCs w:val="19"/>
              </w:rPr>
              <w:t xml:space="preserve">Governance record</w:t>
            </w:r>
          </w:p>
        </w:tc>
        <w:tc>
          <w:tcPr>
            <w:tcW w:type="dxa" w:w="2200"/>
            <w:vAlign w:val="center"/>
          </w:tcPr>
          <w:p>
            <w:r>
              <w:rPr>
                <w:b w:val="false"/>
                <w:bCs w:val="false"/>
                <w:sz w:val="19"/>
                <w:szCs w:val="19"/>
              </w:rPr>
              <w:t xml:space="preserve">Named accountable owner for this Work Package.</w:t>
            </w:r>
          </w:p>
        </w:tc>
        <w:tc>
          <w:tcPr>
            <w:tcW w:type="dxa" w:w="2200"/>
            <w:vAlign w:val="center"/>
          </w:tcPr>
          <w:p>
            <w:r>
              <w:rPr>
                <w:b w:val="false"/>
                <w:bCs w:val="false"/>
                <w:sz w:val="19"/>
                <w:szCs w:val="19"/>
              </w:rPr>
              <w:t xml:space="preserve">KPI-08 movement toward 100%.</w:t>
            </w:r>
          </w:p>
        </w:tc>
      </w:tr>
      <w:tr>
        <w:tc>
          <w:tcPr>
            <w:tcW w:type="dxa" w:w="500"/>
            <w:vAlign w:val="center"/>
          </w:tcPr>
          <w:p>
            <w:r>
              <w:rPr>
                <w:b w:val="false"/>
                <w:bCs w:val="false"/>
                <w:sz w:val="19"/>
                <w:szCs w:val="19"/>
              </w:rPr>
              <w:t xml:space="preserve">2</w:t>
            </w:r>
          </w:p>
        </w:tc>
        <w:tc>
          <w:tcPr>
            <w:tcW w:type="dxa" w:w="3400"/>
            <w:vAlign w:val="center"/>
          </w:tcPr>
          <w:p>
            <w:r>
              <w:rPr>
                <w:b w:val="false"/>
                <w:bCs w:val="false"/>
                <w:sz w:val="19"/>
                <w:szCs w:val="19"/>
              </w:rPr>
              <w:t xml:space="preserve">Inventory the live public schema (table names, columns, keys, relationships) for the student-academic table set.</w:t>
            </w:r>
          </w:p>
        </w:tc>
        <w:tc>
          <w:tcPr>
            <w:tcW w:type="dxa" w:w="1500"/>
            <w:vAlign w:val="center"/>
          </w:tcPr>
          <w:p>
            <w:r>
              <w:rPr>
                <w:b w:val="false"/>
                <w:bCs w:val="false"/>
                <w:sz w:val="19"/>
                <w:szCs w:val="19"/>
              </w:rPr>
              <w:t xml:space="preserve">Documentation</w:t>
            </w:r>
          </w:p>
        </w:tc>
        <w:tc>
          <w:tcPr>
            <w:tcW w:type="dxa" w:w="2200"/>
            <w:vAlign w:val="center"/>
          </w:tcPr>
          <w:p>
            <w:r>
              <w:rPr>
                <w:b w:val="false"/>
                <w:bCs w:val="false"/>
                <w:sz w:val="19"/>
                <w:szCs w:val="19"/>
              </w:rPr>
              <w:t xml:space="preserve">Complete, current table inventory.</w:t>
            </w:r>
          </w:p>
        </w:tc>
        <w:tc>
          <w:tcPr>
            <w:tcW w:type="dxa" w:w="2200"/>
            <w:vAlign w:val="center"/>
          </w:tcPr>
          <w:p>
            <w:r>
              <w:rPr>
                <w:b w:val="false"/>
                <w:bCs w:val="false"/>
                <w:sz w:val="19"/>
                <w:szCs w:val="19"/>
              </w:rPr>
              <w:t xml:space="preserve">Inventory matches live schema query output.</w:t>
            </w:r>
          </w:p>
        </w:tc>
      </w:tr>
      <w:tr>
        <w:tc>
          <w:tcPr>
            <w:tcW w:type="dxa" w:w="500"/>
            <w:vAlign w:val="center"/>
          </w:tcPr>
          <w:p>
            <w:r>
              <w:rPr>
                <w:b w:val="false"/>
                <w:bCs w:val="false"/>
                <w:sz w:val="19"/>
                <w:szCs w:val="19"/>
              </w:rPr>
              <w:t xml:space="preserve">3</w:t>
            </w:r>
          </w:p>
        </w:tc>
        <w:tc>
          <w:tcPr>
            <w:tcW w:type="dxa" w:w="3400"/>
            <w:vAlign w:val="center"/>
          </w:tcPr>
          <w:p>
            <w:r>
              <w:rPr>
                <w:b w:val="false"/>
                <w:bCs w:val="false"/>
                <w:sz w:val="19"/>
                <w:szCs w:val="19"/>
              </w:rPr>
              <w:t xml:space="preserve">Draft the revised document, mapping each live table to the business concept it represents.</w:t>
            </w:r>
          </w:p>
        </w:tc>
        <w:tc>
          <w:tcPr>
            <w:tcW w:type="dxa" w:w="1500"/>
            <w:vAlign w:val="center"/>
          </w:tcPr>
          <w:p>
            <w:r>
              <w:rPr>
                <w:b w:val="false"/>
                <w:bCs w:val="false"/>
                <w:sz w:val="19"/>
                <w:szCs w:val="19"/>
              </w:rPr>
              <w:t xml:space="preserve">Documentation</w:t>
            </w:r>
          </w:p>
        </w:tc>
        <w:tc>
          <w:tcPr>
            <w:tcW w:type="dxa" w:w="2200"/>
            <w:vAlign w:val="center"/>
          </w:tcPr>
          <w:p>
            <w:r>
              <w:rPr>
                <w:b w:val="false"/>
                <w:bCs w:val="false"/>
                <w:sz w:val="19"/>
                <w:szCs w:val="19"/>
              </w:rPr>
              <w:t xml:space="preserve">Draft revised EEP-01 Phase A document.</w:t>
            </w:r>
          </w:p>
        </w:tc>
        <w:tc>
          <w:tcPr>
            <w:tcW w:type="dxa" w:w="2200"/>
            <w:vAlign w:val="center"/>
          </w:tcPr>
          <w:p>
            <w:r>
              <w:rPr>
                <w:b w:val="false"/>
                <w:bCs w:val="false"/>
                <w:sz w:val="19"/>
                <w:szCs w:val="19"/>
              </w:rPr>
              <w:t xml:space="preserve">Peer review by Enterprise Architecture Owner.</w:t>
            </w:r>
          </w:p>
        </w:tc>
      </w:tr>
      <w:tr>
        <w:tc>
          <w:tcPr>
            <w:tcW w:type="dxa" w:w="500"/>
            <w:vAlign w:val="center"/>
          </w:tcPr>
          <w:p>
            <w:r>
              <w:rPr>
                <w:b w:val="false"/>
                <w:bCs w:val="false"/>
                <w:sz w:val="19"/>
                <w:szCs w:val="19"/>
              </w:rPr>
              <w:t xml:space="preserve">4</w:t>
            </w:r>
          </w:p>
        </w:tc>
        <w:tc>
          <w:tcPr>
            <w:tcW w:type="dxa" w:w="3400"/>
            <w:vAlign w:val="center"/>
          </w:tcPr>
          <w:p>
            <w:r>
              <w:rPr>
                <w:b w:val="false"/>
                <w:bCs w:val="false"/>
                <w:sz w:val="19"/>
                <w:szCs w:val="19"/>
              </w:rPr>
              <w:t xml:space="preserve">Run the table-inventory diff against the live schema.</w:t>
            </w:r>
          </w:p>
        </w:tc>
        <w:tc>
          <w:tcPr>
            <w:tcW w:type="dxa" w:w="1500"/>
            <w:vAlign w:val="center"/>
          </w:tcPr>
          <w:p>
            <w:r>
              <w:rPr>
                <w:b w:val="false"/>
                <w:bCs w:val="false"/>
                <w:sz w:val="19"/>
                <w:szCs w:val="19"/>
              </w:rPr>
              <w:t xml:space="preserve">Test</w:t>
            </w:r>
          </w:p>
        </w:tc>
        <w:tc>
          <w:tcPr>
            <w:tcW w:type="dxa" w:w="2200"/>
            <w:vAlign w:val="center"/>
          </w:tcPr>
          <w:p>
            <w:r>
              <w:rPr>
                <w:b w:val="false"/>
                <w:bCs w:val="false"/>
                <w:sz w:val="19"/>
                <w:szCs w:val="19"/>
              </w:rPr>
              <w:t xml:space="preserve">Diff report.</w:t>
            </w:r>
          </w:p>
        </w:tc>
        <w:tc>
          <w:tcPr>
            <w:tcW w:type="dxa" w:w="2200"/>
            <w:vAlign w:val="center"/>
          </w:tcPr>
          <w:p>
            <w:r>
              <w:rPr>
                <w:b w:val="false"/>
                <w:bCs w:val="false"/>
                <w:sz w:val="19"/>
                <w:szCs w:val="19"/>
              </w:rPr>
              <w:t xml:space="preserve">Zero discrepancies (Phase A.3 §7 verification method for AR-0002).</w:t>
            </w:r>
          </w:p>
        </w:tc>
      </w:tr>
      <w:tr>
        <w:tc>
          <w:tcPr>
            <w:tcW w:type="dxa" w:w="500"/>
            <w:vAlign w:val="center"/>
          </w:tcPr>
          <w:p>
            <w:r>
              <w:rPr>
                <w:b w:val="false"/>
                <w:bCs w:val="false"/>
                <w:sz w:val="19"/>
                <w:szCs w:val="19"/>
              </w:rPr>
              <w:t xml:space="preserve">5</w:t>
            </w:r>
          </w:p>
        </w:tc>
        <w:tc>
          <w:tcPr>
            <w:tcW w:type="dxa" w:w="3400"/>
            <w:vAlign w:val="center"/>
          </w:tcPr>
          <w:p>
            <w:r>
              <w:rPr>
                <w:b w:val="false"/>
                <w:bCs w:val="false"/>
                <w:sz w:val="19"/>
                <w:szCs w:val="19"/>
              </w:rPr>
              <w:t xml:space="preserve">Resolve any discrepancy found by revising the document (never the schema).</w:t>
            </w:r>
          </w:p>
        </w:tc>
        <w:tc>
          <w:tcPr>
            <w:tcW w:type="dxa" w:w="1500"/>
            <w:vAlign w:val="center"/>
          </w:tcPr>
          <w:p>
            <w:r>
              <w:rPr>
                <w:b w:val="false"/>
                <w:bCs w:val="false"/>
                <w:sz w:val="19"/>
                <w:szCs w:val="19"/>
              </w:rPr>
              <w:t xml:space="preserve">Documentation</w:t>
            </w:r>
          </w:p>
        </w:tc>
        <w:tc>
          <w:tcPr>
            <w:tcW w:type="dxa" w:w="2200"/>
            <w:vAlign w:val="center"/>
          </w:tcPr>
          <w:p>
            <w:r>
              <w:rPr>
                <w:b w:val="false"/>
                <w:bCs w:val="false"/>
                <w:sz w:val="19"/>
                <w:szCs w:val="19"/>
              </w:rPr>
              <w:t xml:space="preserve">Corrected document draft.</w:t>
            </w:r>
          </w:p>
        </w:tc>
        <w:tc>
          <w:tcPr>
            <w:tcW w:type="dxa" w:w="2200"/>
            <w:vAlign w:val="center"/>
          </w:tcPr>
          <w:p>
            <w:r>
              <w:rPr>
                <w:b w:val="false"/>
                <w:bCs w:val="false"/>
                <w:sz w:val="19"/>
                <w:szCs w:val="19"/>
              </w:rPr>
              <w:t xml:space="preserve">Re-run of diff shows zero discrepancies.</w:t>
            </w:r>
          </w:p>
        </w:tc>
      </w:tr>
      <w:tr>
        <w:tc>
          <w:tcPr>
            <w:tcW w:type="dxa" w:w="500"/>
            <w:vAlign w:val="center"/>
          </w:tcPr>
          <w:p>
            <w:r>
              <w:rPr>
                <w:b w:val="false"/>
                <w:bCs w:val="false"/>
                <w:sz w:val="19"/>
                <w:szCs w:val="19"/>
              </w:rPr>
              <w:t xml:space="preserve">6</w:t>
            </w:r>
          </w:p>
        </w:tc>
        <w:tc>
          <w:tcPr>
            <w:tcW w:type="dxa" w:w="3400"/>
            <w:vAlign w:val="center"/>
          </w:tcPr>
          <w:p>
            <w:r>
              <w:rPr>
                <w:b w:val="false"/>
                <w:bCs w:val="false"/>
                <w:sz w:val="19"/>
                <w:szCs w:val="19"/>
              </w:rPr>
              <w:t xml:space="preserve">Publish the revised document.</w:t>
            </w:r>
          </w:p>
        </w:tc>
        <w:tc>
          <w:tcPr>
            <w:tcW w:type="dxa" w:w="1500"/>
            <w:vAlign w:val="center"/>
          </w:tcPr>
          <w:p>
            <w:r>
              <w:rPr>
                <w:b w:val="false"/>
                <w:bCs w:val="false"/>
                <w:sz w:val="19"/>
                <w:szCs w:val="19"/>
              </w:rPr>
              <w:t xml:space="preserve">Documentation</w:t>
            </w:r>
          </w:p>
        </w:tc>
        <w:tc>
          <w:tcPr>
            <w:tcW w:type="dxa" w:w="2200"/>
            <w:vAlign w:val="center"/>
          </w:tcPr>
          <w:p>
            <w:r>
              <w:rPr>
                <w:b w:val="false"/>
                <w:bCs w:val="false"/>
                <w:sz w:val="19"/>
                <w:szCs w:val="19"/>
              </w:rPr>
              <w:t xml:space="preserve">Published EEP-01 Phase A document (canonical baseline).</w:t>
            </w:r>
          </w:p>
        </w:tc>
        <w:tc>
          <w:tcPr>
            <w:tcW w:type="dxa" w:w="2200"/>
            <w:vAlign w:val="center"/>
          </w:tcPr>
          <w:p>
            <w:r>
              <w:rPr>
                <w:b w:val="false"/>
                <w:bCs w:val="false"/>
                <w:sz w:val="19"/>
                <w:szCs w:val="19"/>
              </w:rPr>
              <w:t xml:space="preserve">Document available in the documentation repository.</w:t>
            </w:r>
          </w:p>
        </w:tc>
      </w:tr>
      <w:tr>
        <w:tc>
          <w:tcPr>
            <w:tcW w:type="dxa" w:w="500"/>
            <w:vAlign w:val="center"/>
          </w:tcPr>
          <w:p>
            <w:r>
              <w:rPr>
                <w:b w:val="false"/>
                <w:bCs w:val="false"/>
                <w:sz w:val="19"/>
                <w:szCs w:val="19"/>
              </w:rPr>
              <w:t xml:space="preserve">7</w:t>
            </w:r>
          </w:p>
        </w:tc>
        <w:tc>
          <w:tcPr>
            <w:tcW w:type="dxa" w:w="3400"/>
            <w:vAlign w:val="center"/>
          </w:tcPr>
          <w:p>
            <w:r>
              <w:rPr>
                <w:b w:val="false"/>
                <w:bCs w:val="false"/>
                <w:sz w:val="19"/>
                <w:szCs w:val="19"/>
              </w:rPr>
              <w:t xml:space="preserve">Update ER-0002 (Superseded → Implemented) and close the VAR-02 one-time review.</w:t>
            </w:r>
          </w:p>
        </w:tc>
        <w:tc>
          <w:tcPr>
            <w:tcW w:type="dxa" w:w="1500"/>
            <w:vAlign w:val="center"/>
          </w:tcPr>
          <w:p>
            <w:r>
              <w:rPr>
                <w:b w:val="false"/>
                <w:bCs w:val="false"/>
                <w:sz w:val="19"/>
                <w:szCs w:val="19"/>
              </w:rPr>
              <w:t xml:space="preserve">Governance record</w:t>
            </w:r>
          </w:p>
        </w:tc>
        <w:tc>
          <w:tcPr>
            <w:tcW w:type="dxa" w:w="2200"/>
            <w:vAlign w:val="center"/>
          </w:tcPr>
          <w:p>
            <w:r>
              <w:rPr>
                <w:b w:val="false"/>
                <w:bCs w:val="false"/>
                <w:sz w:val="19"/>
                <w:szCs w:val="19"/>
              </w:rPr>
              <w:t xml:space="preserve">ER-0002 status update; VAR-02 review closure record.</w:t>
            </w:r>
          </w:p>
        </w:tc>
        <w:tc>
          <w:tcPr>
            <w:tcW w:type="dxa" w:w="2200"/>
            <w:vAlign w:val="center"/>
          </w:tcPr>
          <w:p>
            <w:r>
              <w:rPr>
                <w:b w:val="false"/>
                <w:bCs w:val="false"/>
                <w:sz w:val="19"/>
                <w:szCs w:val="19"/>
              </w:rPr>
              <w:t xml:space="preserve">Governance register reflects closure.</w:t>
            </w:r>
          </w:p>
        </w:tc>
      </w:tr>
    </w:tbl>
    <w:p>
      <w:pPr>
        <w:spacing w:after="120"/>
      </w:pPr>
    </w:p>
    <w:p>
      <w:pPr>
        <w:pStyle w:val="Heading3"/>
        <w:spacing w:after="100" w:before="220"/>
      </w:pPr>
      <w:r>
        <w:t xml:space="preserve">D. Repository Changes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9E2F3" w:val="clear"/>
            <w:vAlign w:val="center"/>
          </w:tcPr>
          <w:p>
            <w:r>
              <w:rPr>
                <w:b/>
                <w:bCs/>
                <w:sz w:val="19"/>
                <w:szCs w:val="19"/>
              </w:rPr>
              <w:t xml:space="preserve">Repository</w:t>
            </w:r>
          </w:p>
        </w:tc>
        <w:tc>
          <w:tcPr>
            <w:tcW w:type="dxa" w:w="7200"/>
            <w:shd w:fill="D9E2F3" w:val="clear"/>
            <w:vAlign w:val="center"/>
          </w:tcPr>
          <w:p>
            <w:r>
              <w:rPr>
                <w:b/>
                <w:bCs/>
                <w:sz w:val="19"/>
                <w:szCs w:val="19"/>
              </w:rPr>
              <w:t xml:space="preserve">Implementation Change</w:t>
            </w:r>
          </w:p>
        </w:tc>
      </w:tr>
      <w:tr>
        <w:tc>
          <w:tcPr>
            <w:tcW w:type="dxa" w:w="2400"/>
            <w:vAlign w:val="center"/>
          </w:tcPr>
          <w:p>
            <w:r>
              <w:rPr>
                <w:b w:val="false"/>
                <w:bCs w:val="false"/>
                <w:sz w:val="19"/>
                <w:szCs w:val="19"/>
              </w:rPr>
              <w:t xml:space="preserve">Documentation Repository</w:t>
            </w:r>
          </w:p>
        </w:tc>
        <w:tc>
          <w:tcPr>
            <w:tcW w:type="dxa" w:w="7200"/>
            <w:vAlign w:val="center"/>
          </w:tcPr>
          <w:p>
            <w:r>
              <w:rPr>
                <w:b w:val="false"/>
                <w:bCs w:val="false"/>
                <w:sz w:val="19"/>
                <w:szCs w:val="19"/>
              </w:rPr>
              <w:t xml:space="preserve">Primary deliverable — the revised EEP-01 Phase A document replaces the superseded description and becomes the canonical architecture baseline for the student-academic domain (Section 2, WP-0001.D, G).</w:t>
            </w:r>
          </w:p>
        </w:tc>
      </w:tr>
      <w:tr>
        <w:tc>
          <w:tcPr>
            <w:tcW w:type="dxa" w:w="2400"/>
            <w:vAlign w:val="center"/>
          </w:tcPr>
          <w:p>
            <w:r>
              <w:rPr>
                <w:b w:val="false"/>
                <w:bCs w:val="false"/>
                <w:sz w:val="19"/>
                <w:szCs w:val="19"/>
              </w:rPr>
              <w:t xml:space="preserve">Database Repository</w:t>
            </w:r>
          </w:p>
        </w:tc>
        <w:tc>
          <w:tcPr>
            <w:tcW w:type="dxa" w:w="7200"/>
            <w:vAlign w:val="center"/>
          </w:tcPr>
          <w:p>
            <w:r>
              <w:rPr>
                <w:b w:val="false"/>
                <w:bCs w:val="false"/>
                <w:sz w:val="19"/>
                <w:szCs w:val="19"/>
              </w:rPr>
              <w:t xml:space="preserve">No Approved Repository Change — VAR-02 is an approved, standing variance, not an open implementation item; no migration is in scope (Section 2, WP-0001.D).</w:t>
            </w:r>
          </w:p>
        </w:tc>
      </w:tr>
      <w:tr>
        <w:tc>
          <w:tcPr>
            <w:tcW w:type="dxa" w:w="2400"/>
            <w:vAlign w:val="center"/>
          </w:tcPr>
          <w:p>
            <w:r>
              <w:rPr>
                <w:b w:val="false"/>
                <w:bCs w:val="false"/>
                <w:sz w:val="19"/>
                <w:szCs w:val="19"/>
              </w:rPr>
              <w:t xml:space="preserve">Test Repository</w:t>
            </w:r>
          </w:p>
        </w:tc>
        <w:tc>
          <w:tcPr>
            <w:tcW w:type="dxa" w:w="7200"/>
            <w:vAlign w:val="center"/>
          </w:tcPr>
          <w:p>
            <w:r>
              <w:rPr>
                <w:b w:val="false"/>
                <w:bCs w:val="false"/>
                <w:sz w:val="19"/>
                <w:szCs w:val="19"/>
              </w:rPr>
              <w:t xml:space="preserve">No Approved Repository Change beyond the table-inventory diff verification artifact itself, which is a verification deliverable rather than a repository code change (Section 2, WP-0001.G).</w:t>
            </w:r>
          </w:p>
        </w:tc>
      </w:tr>
    </w:tbl>
    <w:p>
      <w:pPr>
        <w:spacing w:after="120"/>
      </w:pPr>
    </w:p>
    <w:p>
      <w:pPr>
        <w:pStyle w:val="Heading3"/>
        <w:spacing w:after="100" w:before="220"/>
      </w:pPr>
      <w:r>
        <w:t xml:space="preserve">E. Verification Activities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Engineering Verification</w:t>
            </w:r>
          </w:p>
        </w:tc>
        <w:tc>
          <w:tcPr>
            <w:tcW w:type="dxa" w:w="7000"/>
            <w:vAlign w:val="center"/>
          </w:tcPr>
          <w:p>
            <w:r>
              <w:rPr>
                <w:b w:val="false"/>
                <w:bCs w:val="false"/>
                <w:sz w:val="19"/>
                <w:szCs w:val="19"/>
              </w:rPr>
              <w:t xml:space="preserve">Table-inventory diff of the revised document's described schema against the live schema (\dt public.*), per the AR-0002 verification method established in Phase A.3 §7.</w:t>
            </w:r>
          </w:p>
        </w:tc>
      </w:tr>
      <w:tr>
        <w:tc>
          <w:tcPr>
            <w:tcW w:type="dxa" w:w="2600"/>
            <w:shd w:fill="D9E2F3" w:val="clear"/>
            <w:vAlign w:val="center"/>
          </w:tcPr>
          <w:p>
            <w:r>
              <w:rPr>
                <w:b/>
                <w:bCs/>
                <w:sz w:val="19"/>
                <w:szCs w:val="19"/>
              </w:rPr>
              <w:t xml:space="preserve">Repository Verification</w:t>
            </w:r>
          </w:p>
        </w:tc>
        <w:tc>
          <w:tcPr>
            <w:tcW w:type="dxa" w:w="7000"/>
            <w:vAlign w:val="center"/>
          </w:tcPr>
          <w:p>
            <w:r>
              <w:rPr>
                <w:b w:val="false"/>
                <w:bCs w:val="false"/>
                <w:sz w:val="19"/>
                <w:szCs w:val="19"/>
              </w:rPr>
              <w:t xml:space="preserve">Documentation repository update confirmed published.</w:t>
            </w:r>
          </w:p>
        </w:tc>
      </w:tr>
      <w:tr>
        <w:tc>
          <w:tcPr>
            <w:tcW w:type="dxa" w:w="2600"/>
            <w:shd w:fill="D9E2F3" w:val="clear"/>
            <w:vAlign w:val="center"/>
          </w:tcPr>
          <w:p>
            <w:r>
              <w:rPr>
                <w:b/>
                <w:bCs/>
                <w:sz w:val="19"/>
                <w:szCs w:val="19"/>
              </w:rPr>
              <w:t xml:space="preserve">Governance Verification</w:t>
            </w:r>
          </w:p>
        </w:tc>
        <w:tc>
          <w:tcPr>
            <w:tcW w:type="dxa" w:w="7000"/>
            <w:vAlign w:val="center"/>
          </w:tcPr>
          <w:p>
            <w:r>
              <w:rPr>
                <w:b w:val="false"/>
                <w:bCs w:val="false"/>
                <w:sz w:val="19"/>
                <w:szCs w:val="19"/>
              </w:rPr>
              <w:t xml:space="preserve">ER-0002 status update (Superseded → Implemented) and VAR-02 review closure logged in the governance register.</w:t>
            </w:r>
          </w:p>
        </w:tc>
      </w:tr>
      <w:tr>
        <w:tc>
          <w:tcPr>
            <w:tcW w:type="dxa" w:w="2600"/>
            <w:shd w:fill="D9E2F3" w:val="clear"/>
            <w:vAlign w:val="center"/>
          </w:tcPr>
          <w:p>
            <w:r>
              <w:rPr>
                <w:b/>
                <w:bCs/>
                <w:sz w:val="19"/>
                <w:szCs w:val="19"/>
              </w:rPr>
              <w:t xml:space="preserve">Documentation Verification</w:t>
            </w:r>
          </w:p>
        </w:tc>
        <w:tc>
          <w:tcPr>
            <w:tcW w:type="dxa" w:w="7000"/>
            <w:vAlign w:val="center"/>
          </w:tcPr>
          <w:p>
            <w:r>
              <w:rPr>
                <w:b w:val="false"/>
                <w:bCs w:val="false"/>
                <w:sz w:val="19"/>
                <w:szCs w:val="19"/>
              </w:rPr>
              <w:t xml:space="preserve">Revised document reviewed against the live public-schema table set for completeness and accuracy.</w:t>
            </w:r>
          </w:p>
        </w:tc>
      </w:tr>
      <w:tr>
        <w:tc>
          <w:tcPr>
            <w:tcW w:type="dxa" w:w="2600"/>
            <w:shd w:fill="D9E2F3" w:val="clear"/>
            <w:vAlign w:val="center"/>
          </w:tcPr>
          <w:p>
            <w:r>
              <w:rPr>
                <w:b/>
                <w:bCs/>
                <w:sz w:val="19"/>
                <w:szCs w:val="19"/>
              </w:rPr>
              <w:t xml:space="preserve">Completion Evidence</w:t>
            </w:r>
          </w:p>
        </w:tc>
        <w:tc>
          <w:tcPr>
            <w:tcW w:type="dxa" w:w="7000"/>
            <w:vAlign w:val="center"/>
          </w:tcPr>
          <w:p>
            <w:r>
              <w:rPr>
                <w:b w:val="false"/>
                <w:bCs w:val="false"/>
                <w:sz w:val="19"/>
                <w:szCs w:val="19"/>
              </w:rPr>
              <w:t xml:space="preserve">Zero-discrepancy diff report; published document; updated ER-0002 and VAR-02 records.</w:t>
            </w:r>
          </w:p>
        </w:tc>
      </w:tr>
    </w:tbl>
    <w:p>
      <w:pPr>
        <w:spacing w:after="120"/>
      </w:pPr>
    </w:p>
    <w:p>
      <w:pPr>
        <w:pStyle w:val="Heading3"/>
        <w:spacing w:after="100" w:before="220"/>
      </w:pPr>
      <w:r>
        <w:t xml:space="preserve">F. Rollback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Rollback Trigger</w:t>
            </w:r>
          </w:p>
        </w:tc>
        <w:tc>
          <w:tcPr>
            <w:tcW w:type="dxa" w:w="7000"/>
            <w:vAlign w:val="center"/>
          </w:tcPr>
          <w:p>
            <w:r>
              <w:rPr>
                <w:b w:val="false"/>
                <w:bCs w:val="false"/>
                <w:sz w:val="19"/>
                <w:szCs w:val="19"/>
              </w:rPr>
              <w:t xml:space="preserve">Not Applicable in the migration sense — this Work Package makes no database change. If a discrepancy is found after publication, it is a documentation-accuracy defect, not a rollback event.</w:t>
            </w:r>
          </w:p>
        </w:tc>
      </w:tr>
      <w:tr>
        <w:tc>
          <w:tcPr>
            <w:tcW w:type="dxa" w:w="2600"/>
            <w:shd w:fill="D9E2F3" w:val="clear"/>
            <w:vAlign w:val="center"/>
          </w:tcPr>
          <w:p>
            <w:r>
              <w:rPr>
                <w:b/>
                <w:bCs/>
                <w:sz w:val="19"/>
                <w:szCs w:val="19"/>
              </w:rPr>
              <w:t xml:space="preserve">Rollback Approach</w:t>
            </w:r>
          </w:p>
        </w:tc>
        <w:tc>
          <w:tcPr>
            <w:tcW w:type="dxa" w:w="7000"/>
            <w:vAlign w:val="center"/>
          </w:tcPr>
          <w:p>
            <w:r>
              <w:rPr>
                <w:b w:val="false"/>
                <w:bCs w:val="false"/>
                <w:sz w:val="19"/>
                <w:szCs w:val="19"/>
              </w:rPr>
              <w:t xml:space="preserve">Correct via document revision (Activity 5 pattern above) rather than a technical rollback.</w:t>
            </w:r>
          </w:p>
        </w:tc>
      </w:tr>
      <w:tr>
        <w:tc>
          <w:tcPr>
            <w:tcW w:type="dxa" w:w="2600"/>
            <w:shd w:fill="D9E2F3" w:val="clear"/>
            <w:vAlign w:val="center"/>
          </w:tcPr>
          <w:p>
            <w:r>
              <w:rPr>
                <w:b/>
                <w:bCs/>
                <w:sz w:val="19"/>
                <w:szCs w:val="19"/>
              </w:rPr>
              <w:t xml:space="preserve">Repository Restoration</w:t>
            </w:r>
          </w:p>
        </w:tc>
        <w:tc>
          <w:tcPr>
            <w:tcW w:type="dxa" w:w="7000"/>
            <w:vAlign w:val="center"/>
          </w:tcPr>
          <w:p>
            <w:r>
              <w:rPr>
                <w:b w:val="false"/>
                <w:bCs w:val="false"/>
                <w:sz w:val="19"/>
                <w:szCs w:val="19"/>
              </w:rPr>
              <w:t xml:space="preserve">Not Applicable — no database or code repository change exists to restore.</w:t>
            </w:r>
          </w:p>
        </w:tc>
      </w:tr>
      <w:tr>
        <w:tc>
          <w:tcPr>
            <w:tcW w:type="dxa" w:w="2600"/>
            <w:shd w:fill="D9E2F3" w:val="clear"/>
            <w:vAlign w:val="center"/>
          </w:tcPr>
          <w:p>
            <w:r>
              <w:rPr>
                <w:b/>
                <w:bCs/>
                <w:sz w:val="19"/>
                <w:szCs w:val="19"/>
              </w:rPr>
              <w:t xml:space="preserve">Documentation Restoration</w:t>
            </w:r>
          </w:p>
        </w:tc>
        <w:tc>
          <w:tcPr>
            <w:tcW w:type="dxa" w:w="7000"/>
            <w:vAlign w:val="center"/>
          </w:tcPr>
          <w:p>
            <w:r>
              <w:rPr>
                <w:b w:val="false"/>
                <w:bCs w:val="false"/>
                <w:sz w:val="19"/>
                <w:szCs w:val="19"/>
              </w:rPr>
              <w:t xml:space="preserve">Prior document version remains available in the documentation repository's version history for reference during correction.</w:t>
            </w:r>
          </w:p>
        </w:tc>
      </w:tr>
      <w:tr>
        <w:tc>
          <w:tcPr>
            <w:tcW w:type="dxa" w:w="2600"/>
            <w:shd w:fill="D9E2F3" w:val="clear"/>
            <w:vAlign w:val="center"/>
          </w:tcPr>
          <w:p>
            <w:r>
              <w:rPr>
                <w:b/>
                <w:bCs/>
                <w:sz w:val="19"/>
                <w:szCs w:val="19"/>
              </w:rPr>
              <w:t xml:space="preserve">Governance Restoration</w:t>
            </w:r>
          </w:p>
        </w:tc>
        <w:tc>
          <w:tcPr>
            <w:tcW w:type="dxa" w:w="7000"/>
            <w:vAlign w:val="center"/>
          </w:tcPr>
          <w:p>
            <w:r>
              <w:rPr>
                <w:b w:val="false"/>
                <w:bCs w:val="false"/>
                <w:sz w:val="19"/>
                <w:szCs w:val="19"/>
              </w:rPr>
              <w:t xml:space="preserve">Not Applicable — ER-0002 and VAR-02 status updates are only applied once the diff shows zero discrepancies; no governance reversal is required.</w:t>
            </w:r>
          </w:p>
        </w:tc>
      </w:tr>
    </w:tbl>
    <w:p>
      <w:pPr>
        <w:spacing w:after="120"/>
      </w:pPr>
    </w:p>
    <w:p>
      <w:pPr>
        <w:pStyle w:val="Heading3"/>
        <w:spacing w:after="100" w:before="220"/>
      </w:pPr>
      <w:r>
        <w:t xml:space="preserve">G. Completion Evidence</w:t>
      </w:r>
    </w:p>
    <w:p>
      <w:pPr>
        <w:pStyle w:val="ListParagraph"/>
        <w:numPr>
          <w:ilvl w:val="0"/>
          <w:numId w:val="1"/>
        </w:numPr>
        <w:spacing w:after="80"/>
      </w:pPr>
      <w:r>
        <w:t xml:space="preserve">Published revised EEP-01 Phase A document.</w:t>
      </w:r>
    </w:p>
    <w:p>
      <w:pPr>
        <w:pStyle w:val="ListParagraph"/>
        <w:numPr>
          <w:ilvl w:val="0"/>
          <w:numId w:val="1"/>
        </w:numPr>
        <w:spacing w:after="80"/>
      </w:pPr>
      <w:r>
        <w:t xml:space="preserve">Table-inventory diff report showing zero discrepancies.</w:t>
      </w:r>
    </w:p>
    <w:p>
      <w:pPr>
        <w:pStyle w:val="ListParagraph"/>
        <w:numPr>
          <w:ilvl w:val="0"/>
          <w:numId w:val="1"/>
        </w:numPr>
        <w:spacing w:after="80"/>
      </w:pPr>
      <w:r>
        <w:t xml:space="preserve">ER-0002 status update record (Superseded → Implemented).</w:t>
      </w:r>
    </w:p>
    <w:p>
      <w:pPr>
        <w:pStyle w:val="ListParagraph"/>
        <w:numPr>
          <w:ilvl w:val="0"/>
          <w:numId w:val="1"/>
        </w:numPr>
        <w:spacing w:after="80"/>
      </w:pPr>
      <w:r>
        <w:t xml:space="preserve">VAR-02 one-time review closure record.</w:t>
      </w:r>
    </w:p>
    <w:p>
      <w:pPr>
        <w:spacing w:after="120"/>
      </w:pPr>
    </w:p>
    <w:p>
      <w:pPr>
        <w:pStyle w:val="Heading3"/>
        <w:spacing w:after="100" w:before="220"/>
      </w:pPr>
      <w:r>
        <w:t xml:space="preserve">H. Completion Conditions</w:t>
      </w:r>
    </w:p>
    <w:p>
      <w:pPr>
        <w:pStyle w:val="ListParagraph"/>
        <w:numPr>
          <w:ilvl w:val="0"/>
          <w:numId w:val="1"/>
        </w:numPr>
        <w:spacing w:after="80"/>
      </w:pPr>
      <w:r>
        <w:t xml:space="preserve">KPI-02 Documentation Accuracy % = 100 (Section 2, WP-0001.J).</w:t>
      </w:r>
    </w:p>
    <w:p>
      <w:pPr>
        <w:pStyle w:val="ListParagraph"/>
        <w:numPr>
          <w:ilvl w:val="0"/>
          <w:numId w:val="1"/>
        </w:numPr>
        <w:spacing w:after="80"/>
      </w:pPr>
      <w:r>
        <w:t xml:space="preserve">AR-0002 traceability status advances to Certification Level L4 (Section 2, WP-0001.J; Section 4 §8).</w:t>
      </w:r>
    </w:p>
    <w:p>
      <w:pPr>
        <w:pStyle w:val="ListParagraph"/>
        <w:numPr>
          <w:ilvl w:val="0"/>
          <w:numId w:val="1"/>
        </w:numPr>
        <w:spacing w:after="80"/>
      </w:pPr>
      <w:r>
        <w:t xml:space="preserve">Zero unresolved table-naming discrepancies between the document and the live schema (Section 2, WP-0001.J).</w:t>
      </w:r>
    </w:p>
    <w:p>
      <w:r>
        <w:br w:type="page"/>
      </w:r>
    </w:p>
    <w:p>
      <w:pPr>
        <w:pStyle w:val="Heading2"/>
        <w:spacing w:after="140" w:before="280"/>
      </w:pPr>
      <w:r>
        <w:t xml:space="preserve">WP-0002 — Verify Row-Level Security Coverage on Student-Owned Tables</w:t>
      </w:r>
    </w:p>
    <w:p>
      <w:pPr>
        <w:pStyle w:val="Heading3"/>
        <w:spacing w:after="100" w:before="220"/>
      </w:pPr>
      <w:r>
        <w:t xml:space="preserve">A. Implementation Objective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Objective</w:t>
            </w:r>
          </w:p>
        </w:tc>
        <w:tc>
          <w:tcPr>
            <w:tcW w:type="dxa" w:w="7000"/>
            <w:vAlign w:val="center"/>
          </w:tcPr>
          <w:p>
            <w:r>
              <w:rPr>
                <w:b w:val="false"/>
                <w:bCs w:val="false"/>
                <w:sz w:val="19"/>
                <w:szCs w:val="19"/>
              </w:rPr>
              <w:t xml:space="preserve">Verify that RLS ownership-check policies exist and function correctly on student_activities, student_cognitive_responses, student_signal_vectors, and related tables, executing EGD-0007 (Phase A.3 §4; Section 2, WP-0002.A, D).</w:t>
            </w:r>
          </w:p>
        </w:tc>
      </w:tr>
      <w:tr>
        <w:tc>
          <w:tcPr>
            <w:tcW w:type="dxa" w:w="2600"/>
            <w:shd w:fill="D9E2F3" w:val="clear"/>
            <w:vAlign w:val="center"/>
          </w:tcPr>
          <w:p>
            <w:r>
              <w:rPr>
                <w:b/>
                <w:bCs/>
                <w:sz w:val="19"/>
                <w:szCs w:val="19"/>
              </w:rPr>
              <w:t xml:space="preserve">Expected Outcome</w:t>
            </w:r>
          </w:p>
        </w:tc>
        <w:tc>
          <w:tcPr>
            <w:tcW w:type="dxa" w:w="7000"/>
            <w:vAlign w:val="center"/>
          </w:tcPr>
          <w:p>
            <w:r>
              <w:rPr>
                <w:b w:val="false"/>
                <w:bCs w:val="false"/>
                <w:sz w:val="19"/>
                <w:szCs w:val="19"/>
              </w:rPr>
              <w:t xml:space="preserve">Written RLS status and policy-list confirmation for every student-owned table (Section 2, WP-0002.C).</w:t>
            </w:r>
          </w:p>
        </w:tc>
      </w:tr>
      <w:tr>
        <w:tc>
          <w:tcPr>
            <w:tcW w:type="dxa" w:w="2600"/>
            <w:shd w:fill="D9E2F3" w:val="clear"/>
            <w:vAlign w:val="center"/>
          </w:tcPr>
          <w:p>
            <w:r>
              <w:rPr>
                <w:b/>
                <w:bCs/>
                <w:sz w:val="19"/>
                <w:szCs w:val="19"/>
              </w:rPr>
              <w:t xml:space="preserve">Engineering Intent</w:t>
            </w:r>
          </w:p>
        </w:tc>
        <w:tc>
          <w:tcPr>
            <w:tcW w:type="dxa" w:w="7000"/>
            <w:vAlign w:val="center"/>
          </w:tcPr>
          <w:p>
            <w:r>
              <w:rPr>
                <w:b w:val="false"/>
                <w:bCs w:val="false"/>
                <w:sz w:val="19"/>
                <w:szCs w:val="19"/>
              </w:rPr>
              <w:t xml:space="preserve">Execute EGD-0007 against AR-0007, within Portfolio 2 — Enterprise Security, Wave 1 — Critical Foundation.</w:t>
            </w:r>
          </w:p>
        </w:tc>
      </w:tr>
      <w:tr>
        <w:tc>
          <w:tcPr>
            <w:tcW w:type="dxa" w:w="2600"/>
            <w:shd w:fill="D9E2F3" w:val="clear"/>
            <w:vAlign w:val="center"/>
          </w:tcPr>
          <w:p>
            <w:r>
              <w:rPr>
                <w:b/>
                <w:bCs/>
                <w:sz w:val="19"/>
                <w:szCs w:val="19"/>
              </w:rPr>
              <w:t xml:space="preserve">Completion Target</w:t>
            </w:r>
          </w:p>
        </w:tc>
        <w:tc>
          <w:tcPr>
            <w:tcW w:type="dxa" w:w="7000"/>
            <w:vAlign w:val="center"/>
          </w:tcPr>
          <w:p>
            <w:r>
              <w:rPr>
                <w:b w:val="false"/>
                <w:bCs w:val="false"/>
                <w:sz w:val="19"/>
                <w:szCs w:val="19"/>
              </w:rPr>
              <w:t xml:space="preserve">KPI-06 RLS Coverage % = 100% confirmed; the one Critical-until-verified technical-debt item closes (Section 2, WP-0002.C, J).</w:t>
            </w:r>
          </w:p>
        </w:tc>
      </w:tr>
    </w:tbl>
    <w:p>
      <w:pPr>
        <w:spacing w:after="120"/>
      </w:pPr>
    </w:p>
    <w:p>
      <w:pPr>
        <w:pStyle w:val="Heading3"/>
        <w:spacing w:after="100" w:before="220"/>
      </w:pPr>
      <w:r>
        <w:t xml:space="preserve">B. Implementation Preconditions</w:t>
      </w:r>
    </w:p>
    <w:p>
      <w:pPr>
        <w:pStyle w:val="ListParagraph"/>
        <w:numPr>
          <w:ilvl w:val="0"/>
          <w:numId w:val="1"/>
        </w:numPr>
        <w:spacing w:after="80"/>
      </w:pPr>
      <w:r>
        <w:t xml:space="preserve">Required approvals: EGD-0007 is already Accepted, in progress, with execution assigned to this Work Package (Phase A.3 §4) — no new governance approval required.</w:t>
      </w:r>
    </w:p>
    <w:p>
      <w:pPr>
        <w:pStyle w:val="ListParagraph"/>
        <w:numPr>
          <w:ilvl w:val="0"/>
          <w:numId w:val="1"/>
        </w:numPr>
        <w:spacing w:after="80"/>
      </w:pPr>
      <w:r>
        <w:t xml:space="preserve">Required governance decisions: None outstanding.</w:t>
      </w:r>
    </w:p>
    <w:p>
      <w:pPr>
        <w:pStyle w:val="ListParagraph"/>
        <w:numPr>
          <w:ilvl w:val="0"/>
          <w:numId w:val="1"/>
        </w:numPr>
        <w:spacing w:after="80"/>
      </w:pPr>
      <w:r>
        <w:t xml:space="preserve">Required repository state: Database repository access to RLS policy definitions; repository access and evidence are already available (Section 2, WP-0002.H).</w:t>
      </w:r>
    </w:p>
    <w:p>
      <w:pPr>
        <w:pStyle w:val="ListParagraph"/>
        <w:numPr>
          <w:ilvl w:val="0"/>
          <w:numId w:val="1"/>
        </w:numPr>
        <w:spacing w:after="80"/>
      </w:pPr>
      <w:r>
        <w:t xml:space="preserve">Required documentation: The already-confirmed RLS pattern on student_academic_records and student_academic_subjects, used as the comparison template (Section 2, WP-0002.D).</w:t>
      </w:r>
    </w:p>
    <w:p>
      <w:pPr>
        <w:pStyle w:val="ListParagraph"/>
        <w:numPr>
          <w:ilvl w:val="0"/>
          <w:numId w:val="1"/>
        </w:numPr>
        <w:spacing w:after="80"/>
      </w:pPr>
      <w:r>
        <w:t xml:space="preserve">Required dependencies: None — startable immediately with zero blocking dependency (Phase B §7).</w:t>
      </w:r>
    </w:p>
    <w:p>
      <w:pPr>
        <w:pStyle w:val="ListParagraph"/>
        <w:numPr>
          <w:ilvl w:val="0"/>
          <w:numId w:val="1"/>
        </w:numPr>
        <w:spacing w:after="80"/>
      </w:pPr>
      <w:r>
        <w:t xml:space="preserve">Required ownership: Security/Platform Engineer role is named per Phase B §9 but carries no currently-assigned individual pending WP-0006 (KPI-08 = 0%) (see Section 3 §B.WP-0006).</w:t>
      </w:r>
    </w:p>
    <w:p>
      <w:pPr>
        <w:spacing w:after="120"/>
      </w:pPr>
    </w:p>
    <w:p>
      <w:pPr>
        <w:pStyle w:val="Heading3"/>
        <w:spacing w:after="100" w:before="220"/>
      </w:pPr>
      <w:r>
        <w:t xml:space="preserve">C. Implementation Activities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500"/>
        <w:gridCol w:w="2200"/>
        <w:gridCol w:w="2200"/>
      </w:tblGrid>
      <w:tr>
        <w:tc>
          <w:tcPr>
            <w:tcW w:type="dxa" w:w="500"/>
            <w:shd w:fill="D9E2F3" w:val="clear"/>
            <w:vAlign w:val="center"/>
          </w:tcPr>
          <w:p>
            <w:r>
              <w:rPr>
                <w:b/>
                <w:bCs/>
                <w:sz w:val="19"/>
                <w:szCs w:val="19"/>
              </w:rPr>
              <w:t xml:space="preserve">#</w:t>
            </w:r>
          </w:p>
        </w:tc>
        <w:tc>
          <w:tcPr>
            <w:tcW w:type="dxa" w:w="3400"/>
            <w:shd w:fill="D9E2F3" w:val="clear"/>
            <w:vAlign w:val="center"/>
          </w:tcPr>
          <w:p>
            <w:r>
              <w:rPr>
                <w:b/>
                <w:bCs/>
                <w:sz w:val="19"/>
                <w:szCs w:val="19"/>
              </w:rPr>
              <w:t xml:space="preserve">Activity Description</w:t>
            </w:r>
          </w:p>
        </w:tc>
        <w:tc>
          <w:tcPr>
            <w:tcW w:type="dxa" w:w="1500"/>
            <w:shd w:fill="D9E2F3" w:val="clear"/>
            <w:vAlign w:val="center"/>
          </w:tcPr>
          <w:p>
            <w:r>
              <w:rPr>
                <w:b/>
                <w:bCs/>
                <w:sz w:val="19"/>
                <w:szCs w:val="19"/>
              </w:rPr>
              <w:t xml:space="preserve">Repository Affected</w:t>
            </w:r>
          </w:p>
        </w:tc>
        <w:tc>
          <w:tcPr>
            <w:tcW w:type="dxa" w:w="2200"/>
            <w:shd w:fill="D9E2F3" w:val="clear"/>
            <w:vAlign w:val="center"/>
          </w:tcPr>
          <w:p>
            <w:r>
              <w:rPr>
                <w:b/>
                <w:bCs/>
                <w:sz w:val="19"/>
                <w:szCs w:val="19"/>
              </w:rPr>
              <w:t xml:space="preserve">Expected Output</w:t>
            </w:r>
          </w:p>
        </w:tc>
        <w:tc>
          <w:tcPr>
            <w:tcW w:type="dxa" w:w="2200"/>
            <w:shd w:fill="D9E2F3" w:val="clear"/>
            <w:vAlign w:val="center"/>
          </w:tcPr>
          <w:p>
            <w:r>
              <w:rPr>
                <w:b/>
                <w:bCs/>
                <w:sz w:val="19"/>
                <w:szCs w:val="19"/>
              </w:rPr>
              <w:t xml:space="preserve">Verification Checkpoint</w:t>
            </w:r>
          </w:p>
        </w:tc>
      </w:tr>
      <w:tr>
        <w:tc>
          <w:tcPr>
            <w:tcW w:type="dxa" w:w="500"/>
            <w:vAlign w:val="center"/>
          </w:tcPr>
          <w:p>
            <w:r>
              <w:rPr>
                <w:b w:val="false"/>
                <w:bCs w:val="false"/>
                <w:sz w:val="19"/>
                <w:szCs w:val="19"/>
              </w:rPr>
              <w:t xml:space="preserve">1</w:t>
            </w:r>
          </w:p>
        </w:tc>
        <w:tc>
          <w:tcPr>
            <w:tcW w:type="dxa" w:w="3400"/>
            <w:vAlign w:val="center"/>
          </w:tcPr>
          <w:p>
            <w:r>
              <w:rPr>
                <w:b w:val="false"/>
                <w:bCs w:val="false"/>
                <w:sz w:val="19"/>
                <w:szCs w:val="19"/>
              </w:rPr>
              <w:t xml:space="preserve">Enumerate every student-owned table, cross-referencing Phase A.1's inventory.</w:t>
            </w:r>
          </w:p>
        </w:tc>
        <w:tc>
          <w:tcPr>
            <w:tcW w:type="dxa" w:w="1500"/>
            <w:vAlign w:val="center"/>
          </w:tcPr>
          <w:p>
            <w:r>
              <w:rPr>
                <w:b w:val="false"/>
                <w:bCs w:val="false"/>
                <w:sz w:val="19"/>
                <w:szCs w:val="19"/>
              </w:rPr>
              <w:t xml:space="preserve">Database</w:t>
            </w:r>
          </w:p>
        </w:tc>
        <w:tc>
          <w:tcPr>
            <w:tcW w:type="dxa" w:w="2200"/>
            <w:vAlign w:val="center"/>
          </w:tcPr>
          <w:p>
            <w:r>
              <w:rPr>
                <w:b w:val="false"/>
                <w:bCs w:val="false"/>
                <w:sz w:val="19"/>
                <w:szCs w:val="19"/>
              </w:rPr>
              <w:t xml:space="preserve">Complete table list requiring RLS verification.</w:t>
            </w:r>
          </w:p>
        </w:tc>
        <w:tc>
          <w:tcPr>
            <w:tcW w:type="dxa" w:w="2200"/>
            <w:vAlign w:val="center"/>
          </w:tcPr>
          <w:p>
            <w:r>
              <w:rPr>
                <w:b w:val="false"/>
                <w:bCs w:val="false"/>
                <w:sz w:val="19"/>
                <w:szCs w:val="19"/>
              </w:rPr>
              <w:t xml:space="preserve">List matches Phase A.1 inventory.</w:t>
            </w:r>
          </w:p>
        </w:tc>
      </w:tr>
      <w:tr>
        <w:tc>
          <w:tcPr>
            <w:tcW w:type="dxa" w:w="500"/>
            <w:vAlign w:val="center"/>
          </w:tcPr>
          <w:p>
            <w:r>
              <w:rPr>
                <w:b w:val="false"/>
                <w:bCs w:val="false"/>
                <w:sz w:val="19"/>
                <w:szCs w:val="19"/>
              </w:rPr>
              <w:t xml:space="preserve">2</w:t>
            </w:r>
          </w:p>
        </w:tc>
        <w:tc>
          <w:tcPr>
            <w:tcW w:type="dxa" w:w="3400"/>
            <w:vAlign w:val="center"/>
          </w:tcPr>
          <w:p>
            <w:r>
              <w:rPr>
                <w:b w:val="false"/>
                <w:bCs w:val="false"/>
                <w:sz w:val="19"/>
                <w:szCs w:val="19"/>
              </w:rPr>
              <w:t xml:space="preserve">For each unverified table, query RLS-enabled status and enumerate policies.</w:t>
            </w:r>
          </w:p>
        </w:tc>
        <w:tc>
          <w:tcPr>
            <w:tcW w:type="dxa" w:w="1500"/>
            <w:vAlign w:val="center"/>
          </w:tcPr>
          <w:p>
            <w:r>
              <w:rPr>
                <w:b w:val="false"/>
                <w:bCs w:val="false"/>
                <w:sz w:val="19"/>
                <w:szCs w:val="19"/>
              </w:rPr>
              <w:t xml:space="preserve">Database</w:t>
            </w:r>
          </w:p>
        </w:tc>
        <w:tc>
          <w:tcPr>
            <w:tcW w:type="dxa" w:w="2200"/>
            <w:vAlign w:val="center"/>
          </w:tcPr>
          <w:p>
            <w:r>
              <w:rPr>
                <w:b w:val="false"/>
                <w:bCs w:val="false"/>
                <w:sz w:val="19"/>
                <w:szCs w:val="19"/>
              </w:rPr>
              <w:t xml:space="preserve">Per-table RLS status and policy enumeration.</w:t>
            </w:r>
          </w:p>
        </w:tc>
        <w:tc>
          <w:tcPr>
            <w:tcW w:type="dxa" w:w="2200"/>
            <w:vAlign w:val="center"/>
          </w:tcPr>
          <w:p>
            <w:r>
              <w:rPr>
                <w:b w:val="false"/>
                <w:bCs w:val="false"/>
                <w:sz w:val="19"/>
                <w:szCs w:val="19"/>
              </w:rPr>
              <w:t xml:space="preserve">Query output captured as evidence.</w:t>
            </w:r>
          </w:p>
        </w:tc>
      </w:tr>
      <w:tr>
        <w:tc>
          <w:tcPr>
            <w:tcW w:type="dxa" w:w="500"/>
            <w:vAlign w:val="center"/>
          </w:tcPr>
          <w:p>
            <w:r>
              <w:rPr>
                <w:b w:val="false"/>
                <w:bCs w:val="false"/>
                <w:sz w:val="19"/>
                <w:szCs w:val="19"/>
              </w:rPr>
              <w:t xml:space="preserve">3</w:t>
            </w:r>
          </w:p>
        </w:tc>
        <w:tc>
          <w:tcPr>
            <w:tcW w:type="dxa" w:w="3400"/>
            <w:vAlign w:val="center"/>
          </w:tcPr>
          <w:p>
            <w:r>
              <w:rPr>
                <w:b w:val="false"/>
                <w:bCs w:val="false"/>
                <w:sz w:val="19"/>
                <w:szCs w:val="19"/>
              </w:rPr>
              <w:t xml:space="preserve">Compare each table's policy set against the confirmed-good pattern (student_academic_records, student_academic_subjects).</w:t>
            </w:r>
          </w:p>
        </w:tc>
        <w:tc>
          <w:tcPr>
            <w:tcW w:type="dxa" w:w="1500"/>
            <w:vAlign w:val="center"/>
          </w:tcPr>
          <w:p>
            <w:r>
              <w:rPr>
                <w:b w:val="false"/>
                <w:bCs w:val="false"/>
                <w:sz w:val="19"/>
                <w:szCs w:val="19"/>
              </w:rPr>
              <w:t xml:space="preserve">Test</w:t>
            </w:r>
          </w:p>
        </w:tc>
        <w:tc>
          <w:tcPr>
            <w:tcW w:type="dxa" w:w="2200"/>
            <w:vAlign w:val="center"/>
          </w:tcPr>
          <w:p>
            <w:r>
              <w:rPr>
                <w:b w:val="false"/>
                <w:bCs w:val="false"/>
                <w:sz w:val="19"/>
                <w:szCs w:val="19"/>
              </w:rPr>
              <w:t xml:space="preserve">Comparison result per table.</w:t>
            </w:r>
          </w:p>
        </w:tc>
        <w:tc>
          <w:tcPr>
            <w:tcW w:type="dxa" w:w="2200"/>
            <w:vAlign w:val="center"/>
          </w:tcPr>
          <w:p>
            <w:r>
              <w:rPr>
                <w:b w:val="false"/>
                <w:bCs w:val="false"/>
                <w:sz w:val="19"/>
                <w:szCs w:val="19"/>
              </w:rPr>
              <w:t xml:space="preserve">Pattern match or gap identified.</w:t>
            </w:r>
          </w:p>
        </w:tc>
      </w:tr>
      <w:tr>
        <w:tc>
          <w:tcPr>
            <w:tcW w:type="dxa" w:w="500"/>
            <w:vAlign w:val="center"/>
          </w:tcPr>
          <w:p>
            <w:r>
              <w:rPr>
                <w:b w:val="false"/>
                <w:bCs w:val="false"/>
                <w:sz w:val="19"/>
                <w:szCs w:val="19"/>
              </w:rPr>
              <w:t xml:space="preserve">4</w:t>
            </w:r>
          </w:p>
        </w:tc>
        <w:tc>
          <w:tcPr>
            <w:tcW w:type="dxa" w:w="3400"/>
            <w:vAlign w:val="center"/>
          </w:tcPr>
          <w:p>
            <w:r>
              <w:rPr>
                <w:b w:val="false"/>
                <w:bCs w:val="false"/>
                <w:sz w:val="19"/>
                <w:szCs w:val="19"/>
              </w:rPr>
              <w:t xml:space="preserve">Record a per-table status (Confirmed Present / Gap Confirmed).</w:t>
            </w:r>
          </w:p>
        </w:tc>
        <w:tc>
          <w:tcPr>
            <w:tcW w:type="dxa" w:w="1500"/>
            <w:vAlign w:val="center"/>
          </w:tcPr>
          <w:p>
            <w:r>
              <w:rPr>
                <w:b w:val="false"/>
                <w:bCs w:val="false"/>
                <w:sz w:val="19"/>
                <w:szCs w:val="19"/>
              </w:rPr>
              <w:t xml:space="preserve">Documentation</w:t>
            </w:r>
          </w:p>
        </w:tc>
        <w:tc>
          <w:tcPr>
            <w:tcW w:type="dxa" w:w="2200"/>
            <w:vAlign w:val="center"/>
          </w:tcPr>
          <w:p>
            <w:r>
              <w:rPr>
                <w:b w:val="false"/>
                <w:bCs w:val="false"/>
                <w:sz w:val="19"/>
                <w:szCs w:val="19"/>
              </w:rPr>
              <w:t xml:space="preserve">Status ledger for all student-owned tables.</w:t>
            </w:r>
          </w:p>
        </w:tc>
        <w:tc>
          <w:tcPr>
            <w:tcW w:type="dxa" w:w="2200"/>
            <w:vAlign w:val="center"/>
          </w:tcPr>
          <w:p>
            <w:r>
              <w:rPr>
                <w:b w:val="false"/>
                <w:bCs w:val="false"/>
                <w:sz w:val="19"/>
                <w:szCs w:val="19"/>
              </w:rPr>
              <w:t xml:space="preserve">Every table has a recorded status.</w:t>
            </w:r>
          </w:p>
        </w:tc>
      </w:tr>
      <w:tr>
        <w:tc>
          <w:tcPr>
            <w:tcW w:type="dxa" w:w="500"/>
            <w:vAlign w:val="center"/>
          </w:tcPr>
          <w:p>
            <w:r>
              <w:rPr>
                <w:b w:val="false"/>
                <w:bCs w:val="false"/>
                <w:sz w:val="19"/>
                <w:szCs w:val="19"/>
              </w:rPr>
              <w:t xml:space="preserve">5</w:t>
            </w:r>
          </w:p>
        </w:tc>
        <w:tc>
          <w:tcPr>
            <w:tcW w:type="dxa" w:w="3400"/>
            <w:vAlign w:val="center"/>
          </w:tcPr>
          <w:p>
            <w:r>
              <w:rPr>
                <w:b w:val="false"/>
                <w:bCs w:val="false"/>
                <w:sz w:val="19"/>
                <w:szCs w:val="19"/>
              </w:rPr>
              <w:t xml:space="preserve">If a gap is confirmed on any table, apply the proven RLS pattern from student_academic_records without delay (contingency; not baseline scope).</w:t>
            </w:r>
          </w:p>
        </w:tc>
        <w:tc>
          <w:tcPr>
            <w:tcW w:type="dxa" w:w="1500"/>
            <w:vAlign w:val="center"/>
          </w:tcPr>
          <w:p>
            <w:r>
              <w:rPr>
                <w:b w:val="false"/>
                <w:bCs w:val="false"/>
                <w:sz w:val="19"/>
                <w:szCs w:val="19"/>
              </w:rPr>
              <w:t xml:space="preserve">Database</w:t>
            </w:r>
          </w:p>
        </w:tc>
        <w:tc>
          <w:tcPr>
            <w:tcW w:type="dxa" w:w="2200"/>
            <w:vAlign w:val="center"/>
          </w:tcPr>
          <w:p>
            <w:r>
              <w:rPr>
                <w:b w:val="false"/>
                <w:bCs w:val="false"/>
                <w:sz w:val="19"/>
                <w:szCs w:val="19"/>
              </w:rPr>
              <w:t xml:space="preserve">Corrective RLS policy, if required.</w:t>
            </w:r>
          </w:p>
        </w:tc>
        <w:tc>
          <w:tcPr>
            <w:tcW w:type="dxa" w:w="2200"/>
            <w:vAlign w:val="center"/>
          </w:tcPr>
          <w:p>
            <w:r>
              <w:rPr>
                <w:b w:val="false"/>
                <w:bCs w:val="false"/>
                <w:sz w:val="19"/>
                <w:szCs w:val="19"/>
              </w:rPr>
              <w:t xml:space="preserve">Idempotent, rollback-ready per AR-0010/EGD-0009 (Phase B §10).</w:t>
            </w:r>
          </w:p>
        </w:tc>
      </w:tr>
      <w:tr>
        <w:tc>
          <w:tcPr>
            <w:tcW w:type="dxa" w:w="500"/>
            <w:vAlign w:val="center"/>
          </w:tcPr>
          <w:p>
            <w:r>
              <w:rPr>
                <w:b w:val="false"/>
                <w:bCs w:val="false"/>
                <w:sz w:val="19"/>
                <w:szCs w:val="19"/>
              </w:rPr>
              <w:t xml:space="preserve">6</w:t>
            </w:r>
          </w:p>
        </w:tc>
        <w:tc>
          <w:tcPr>
            <w:tcW w:type="dxa" w:w="3400"/>
            <w:vAlign w:val="center"/>
          </w:tcPr>
          <w:p>
            <w:r>
              <w:rPr>
                <w:b w:val="false"/>
                <w:bCs w:val="false"/>
                <w:sz w:val="19"/>
                <w:szCs w:val="19"/>
              </w:rPr>
              <w:t xml:space="preserve">Publish the written RLS status and policy-list document.</w:t>
            </w:r>
          </w:p>
        </w:tc>
        <w:tc>
          <w:tcPr>
            <w:tcW w:type="dxa" w:w="1500"/>
            <w:vAlign w:val="center"/>
          </w:tcPr>
          <w:p>
            <w:r>
              <w:rPr>
                <w:b w:val="false"/>
                <w:bCs w:val="false"/>
                <w:sz w:val="19"/>
                <w:szCs w:val="19"/>
              </w:rPr>
              <w:t xml:space="preserve">Documentation</w:t>
            </w:r>
          </w:p>
        </w:tc>
        <w:tc>
          <w:tcPr>
            <w:tcW w:type="dxa" w:w="2200"/>
            <w:vAlign w:val="center"/>
          </w:tcPr>
          <w:p>
            <w:r>
              <w:rPr>
                <w:b w:val="false"/>
                <w:bCs w:val="false"/>
                <w:sz w:val="19"/>
                <w:szCs w:val="19"/>
              </w:rPr>
              <w:t xml:space="preserve">Published RLS verification document.</w:t>
            </w:r>
          </w:p>
        </w:tc>
        <w:tc>
          <w:tcPr>
            <w:tcW w:type="dxa" w:w="2200"/>
            <w:vAlign w:val="center"/>
          </w:tcPr>
          <w:p>
            <w:r>
              <w:rPr>
                <w:b w:val="false"/>
                <w:bCs w:val="false"/>
                <w:sz w:val="19"/>
                <w:szCs w:val="19"/>
              </w:rPr>
              <w:t xml:space="preserve">Document available in the documentation repository.</w:t>
            </w:r>
          </w:p>
        </w:tc>
      </w:tr>
      <w:tr>
        <w:tc>
          <w:tcPr>
            <w:tcW w:type="dxa" w:w="500"/>
            <w:vAlign w:val="center"/>
          </w:tcPr>
          <w:p>
            <w:r>
              <w:rPr>
                <w:b w:val="false"/>
                <w:bCs w:val="false"/>
                <w:sz w:val="19"/>
                <w:szCs w:val="19"/>
              </w:rPr>
              <w:t xml:space="preserve">7</w:t>
            </w:r>
          </w:p>
        </w:tc>
        <w:tc>
          <w:tcPr>
            <w:tcW w:type="dxa" w:w="3400"/>
            <w:vAlign w:val="center"/>
          </w:tcPr>
          <w:p>
            <w:r>
              <w:rPr>
                <w:b w:val="false"/>
                <w:bCs w:val="false"/>
                <w:sz w:val="19"/>
                <w:szCs w:val="19"/>
              </w:rPr>
              <w:t xml:space="preserve">Update ER-0007 (Planned → Implemented) and KPI-06 (RLS Coverage %).</w:t>
            </w:r>
          </w:p>
        </w:tc>
        <w:tc>
          <w:tcPr>
            <w:tcW w:type="dxa" w:w="1500"/>
            <w:vAlign w:val="center"/>
          </w:tcPr>
          <w:p>
            <w:r>
              <w:rPr>
                <w:b w:val="false"/>
                <w:bCs w:val="false"/>
                <w:sz w:val="19"/>
                <w:szCs w:val="19"/>
              </w:rPr>
              <w:t xml:space="preserve">Governance record</w:t>
            </w:r>
          </w:p>
        </w:tc>
        <w:tc>
          <w:tcPr>
            <w:tcW w:type="dxa" w:w="2200"/>
            <w:vAlign w:val="center"/>
          </w:tcPr>
          <w:p>
            <w:r>
              <w:rPr>
                <w:b w:val="false"/>
                <w:bCs w:val="false"/>
                <w:sz w:val="19"/>
                <w:szCs w:val="19"/>
              </w:rPr>
              <w:t xml:space="preserve">ER-0007 status update; KPI-06 measurement.</w:t>
            </w:r>
          </w:p>
        </w:tc>
        <w:tc>
          <w:tcPr>
            <w:tcW w:type="dxa" w:w="2200"/>
            <w:vAlign w:val="center"/>
          </w:tcPr>
          <w:p>
            <w:r>
              <w:rPr>
                <w:b w:val="false"/>
                <w:bCs w:val="false"/>
                <w:sz w:val="19"/>
                <w:szCs w:val="19"/>
              </w:rPr>
              <w:t xml:space="preserve">Governance register and KPI dashboard reflect closure.</w:t>
            </w:r>
          </w:p>
        </w:tc>
      </w:tr>
    </w:tbl>
    <w:p>
      <w:pPr>
        <w:spacing w:after="120"/>
      </w:pPr>
    </w:p>
    <w:p>
      <w:pPr>
        <w:pStyle w:val="Heading3"/>
        <w:spacing w:after="100" w:before="220"/>
      </w:pPr>
      <w:r>
        <w:t xml:space="preserve">D. Repository Changes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9E2F3" w:val="clear"/>
            <w:vAlign w:val="center"/>
          </w:tcPr>
          <w:p>
            <w:r>
              <w:rPr>
                <w:b/>
                <w:bCs/>
                <w:sz w:val="19"/>
                <w:szCs w:val="19"/>
              </w:rPr>
              <w:t xml:space="preserve">Repository</w:t>
            </w:r>
          </w:p>
        </w:tc>
        <w:tc>
          <w:tcPr>
            <w:tcW w:type="dxa" w:w="7200"/>
            <w:shd w:fill="D9E2F3" w:val="clear"/>
            <w:vAlign w:val="center"/>
          </w:tcPr>
          <w:p>
            <w:r>
              <w:rPr>
                <w:b/>
                <w:bCs/>
                <w:sz w:val="19"/>
                <w:szCs w:val="19"/>
              </w:rPr>
              <w:t xml:space="preserve">Implementation Change</w:t>
            </w:r>
          </w:p>
        </w:tc>
      </w:tr>
      <w:tr>
        <w:tc>
          <w:tcPr>
            <w:tcW w:type="dxa" w:w="2400"/>
            <w:vAlign w:val="center"/>
          </w:tcPr>
          <w:p>
            <w:r>
              <w:rPr>
                <w:b w:val="false"/>
                <w:bCs w:val="false"/>
                <w:sz w:val="19"/>
                <w:szCs w:val="19"/>
              </w:rPr>
              <w:t xml:space="preserve">Documentation Repository</w:t>
            </w:r>
          </w:p>
        </w:tc>
        <w:tc>
          <w:tcPr>
            <w:tcW w:type="dxa" w:w="7200"/>
            <w:vAlign w:val="center"/>
          </w:tcPr>
          <w:p>
            <w:r>
              <w:rPr>
                <w:b w:val="false"/>
                <w:bCs w:val="false"/>
                <w:sz w:val="19"/>
                <w:szCs w:val="19"/>
              </w:rPr>
              <w:t xml:space="preserve">Written RLS status and policy list for every student-owned table (Section 2, WP-0002.D, G).</w:t>
            </w:r>
          </w:p>
        </w:tc>
      </w:tr>
      <w:tr>
        <w:tc>
          <w:tcPr>
            <w:tcW w:type="dxa" w:w="2400"/>
            <w:vAlign w:val="center"/>
          </w:tcPr>
          <w:p>
            <w:r>
              <w:rPr>
                <w:b w:val="false"/>
                <w:bCs w:val="false"/>
                <w:sz w:val="19"/>
                <w:szCs w:val="19"/>
              </w:rPr>
              <w:t xml:space="preserve">Database Repository</w:t>
            </w:r>
          </w:p>
        </w:tc>
        <w:tc>
          <w:tcPr>
            <w:tcW w:type="dxa" w:w="7200"/>
            <w:vAlign w:val="center"/>
          </w:tcPr>
          <w:p>
            <w:r>
              <w:rPr>
                <w:b w:val="false"/>
                <w:bCs w:val="false"/>
                <w:sz w:val="19"/>
                <w:szCs w:val="19"/>
              </w:rPr>
              <w:t xml:space="preserve">Baseline scope is verification only — no policy change. Contingency only (not baseline scope): if a gap is confirmed, apply the proven RLS pattern from student_academic_records without delay (Phase B §10), meeting the AR-0010/EGD-0009 idempotent, rollback-ready standard.</w:t>
            </w:r>
          </w:p>
        </w:tc>
      </w:tr>
      <w:tr>
        <w:tc>
          <w:tcPr>
            <w:tcW w:type="dxa" w:w="2400"/>
            <w:vAlign w:val="center"/>
          </w:tcPr>
          <w:p>
            <w:r>
              <w:rPr>
                <w:b w:val="false"/>
                <w:bCs w:val="false"/>
                <w:sz w:val="19"/>
                <w:szCs w:val="19"/>
              </w:rPr>
              <w:t xml:space="preserve">Test Repository</w:t>
            </w:r>
          </w:p>
        </w:tc>
        <w:tc>
          <w:tcPr>
            <w:tcW w:type="dxa" w:w="7200"/>
            <w:vAlign w:val="center"/>
          </w:tcPr>
          <w:p>
            <w:r>
              <w:rPr>
                <w:b w:val="false"/>
                <w:bCs w:val="false"/>
                <w:sz w:val="19"/>
                <w:szCs w:val="19"/>
              </w:rPr>
              <w:t xml:space="preserve">Query-based verification evidence for every student-owned table, the adopted template for future Realize-class verification (Section 1 §7).</w:t>
            </w:r>
          </w:p>
        </w:tc>
      </w:tr>
    </w:tbl>
    <w:p>
      <w:pPr>
        <w:spacing w:after="120"/>
      </w:pPr>
    </w:p>
    <w:p>
      <w:pPr>
        <w:pStyle w:val="Heading3"/>
        <w:spacing w:after="100" w:before="220"/>
      </w:pPr>
      <w:r>
        <w:t xml:space="preserve">E. Verification Activities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Engineering Verification</w:t>
            </w:r>
          </w:p>
        </w:tc>
        <w:tc>
          <w:tcPr>
            <w:tcW w:type="dxa" w:w="7000"/>
            <w:vAlign w:val="center"/>
          </w:tcPr>
          <w:p>
            <w:r>
              <w:rPr>
                <w:b w:val="false"/>
                <w:bCs w:val="false"/>
                <w:sz w:val="19"/>
                <w:szCs w:val="19"/>
              </w:rPr>
              <w:t xml:space="preserve">Query-based verification with written evidence per table — the standing verification template this baseline adopts for Realize-class Work Packages (Section 1 §7; Section 4 §8).</w:t>
            </w:r>
          </w:p>
        </w:tc>
      </w:tr>
      <w:tr>
        <w:tc>
          <w:tcPr>
            <w:tcW w:type="dxa" w:w="2600"/>
            <w:shd w:fill="D9E2F3" w:val="clear"/>
            <w:vAlign w:val="center"/>
          </w:tcPr>
          <w:p>
            <w:r>
              <w:rPr>
                <w:b/>
                <w:bCs/>
                <w:sz w:val="19"/>
                <w:szCs w:val="19"/>
              </w:rPr>
              <w:t xml:space="preserve">Repository Verification</w:t>
            </w:r>
          </w:p>
        </w:tc>
        <w:tc>
          <w:tcPr>
            <w:tcW w:type="dxa" w:w="7000"/>
            <w:vAlign w:val="center"/>
          </w:tcPr>
          <w:p>
            <w:r>
              <w:rPr>
                <w:b w:val="false"/>
                <w:bCs w:val="false"/>
                <w:sz w:val="19"/>
                <w:szCs w:val="19"/>
              </w:rPr>
              <w:t xml:space="preserve">Database repository RLS policy state confirmed by direct query against each student-owned table.</w:t>
            </w:r>
          </w:p>
        </w:tc>
      </w:tr>
      <w:tr>
        <w:tc>
          <w:tcPr>
            <w:tcW w:type="dxa" w:w="2600"/>
            <w:shd w:fill="D9E2F3" w:val="clear"/>
            <w:vAlign w:val="center"/>
          </w:tcPr>
          <w:p>
            <w:r>
              <w:rPr>
                <w:b/>
                <w:bCs/>
                <w:sz w:val="19"/>
                <w:szCs w:val="19"/>
              </w:rPr>
              <w:t xml:space="preserve">Governance Verification</w:t>
            </w:r>
          </w:p>
        </w:tc>
        <w:tc>
          <w:tcPr>
            <w:tcW w:type="dxa" w:w="7000"/>
            <w:vAlign w:val="center"/>
          </w:tcPr>
          <w:p>
            <w:r>
              <w:rPr>
                <w:b w:val="false"/>
                <w:bCs w:val="false"/>
                <w:sz w:val="19"/>
                <w:szCs w:val="19"/>
              </w:rPr>
              <w:t xml:space="preserve">ER-0007 status update (Planned → Implemented); KPI-06 and KPI-09 measurement update.</w:t>
            </w:r>
          </w:p>
        </w:tc>
      </w:tr>
      <w:tr>
        <w:tc>
          <w:tcPr>
            <w:tcW w:type="dxa" w:w="2600"/>
            <w:shd w:fill="D9E2F3" w:val="clear"/>
            <w:vAlign w:val="center"/>
          </w:tcPr>
          <w:p>
            <w:r>
              <w:rPr>
                <w:b/>
                <w:bCs/>
                <w:sz w:val="19"/>
                <w:szCs w:val="19"/>
              </w:rPr>
              <w:t xml:space="preserve">Documentation Verification</w:t>
            </w:r>
          </w:p>
        </w:tc>
        <w:tc>
          <w:tcPr>
            <w:tcW w:type="dxa" w:w="7000"/>
            <w:vAlign w:val="center"/>
          </w:tcPr>
          <w:p>
            <w:r>
              <w:rPr>
                <w:b w:val="false"/>
                <w:bCs w:val="false"/>
                <w:sz w:val="19"/>
                <w:szCs w:val="19"/>
              </w:rPr>
              <w:t xml:space="preserve">Written RLS status and policy-list document reviewed for completeness across all student-owned tables.</w:t>
            </w:r>
          </w:p>
        </w:tc>
      </w:tr>
      <w:tr>
        <w:tc>
          <w:tcPr>
            <w:tcW w:type="dxa" w:w="2600"/>
            <w:shd w:fill="D9E2F3" w:val="clear"/>
            <w:vAlign w:val="center"/>
          </w:tcPr>
          <w:p>
            <w:r>
              <w:rPr>
                <w:b/>
                <w:bCs/>
                <w:sz w:val="19"/>
                <w:szCs w:val="19"/>
              </w:rPr>
              <w:t xml:space="preserve">Completion Evidence</w:t>
            </w:r>
          </w:p>
        </w:tc>
        <w:tc>
          <w:tcPr>
            <w:tcW w:type="dxa" w:w="7000"/>
            <w:vAlign w:val="center"/>
          </w:tcPr>
          <w:p>
            <w:r>
              <w:rPr>
                <w:b w:val="false"/>
                <w:bCs w:val="false"/>
                <w:sz w:val="19"/>
                <w:szCs w:val="19"/>
              </w:rPr>
              <w:t xml:space="preserve">Per-table Confirmed Present / Gap Confirmed ledger; published RLS status document; updated ER-0007 and KPI-06 records.</w:t>
            </w:r>
          </w:p>
        </w:tc>
      </w:tr>
    </w:tbl>
    <w:p>
      <w:pPr>
        <w:spacing w:after="120"/>
      </w:pPr>
    </w:p>
    <w:p>
      <w:pPr>
        <w:pStyle w:val="Heading3"/>
        <w:spacing w:after="100" w:before="220"/>
      </w:pPr>
      <w:r>
        <w:t xml:space="preserve">F. Rollback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Rollback Trigger</w:t>
            </w:r>
          </w:p>
        </w:tc>
        <w:tc>
          <w:tcPr>
            <w:tcW w:type="dxa" w:w="7000"/>
            <w:vAlign w:val="center"/>
          </w:tcPr>
          <w:p>
            <w:r>
              <w:rPr>
                <w:b w:val="false"/>
                <w:bCs w:val="false"/>
                <w:sz w:val="19"/>
                <w:szCs w:val="19"/>
              </w:rPr>
              <w:t xml:space="preserve">Applicable only to the contingency corrective policy change (Activity 5) — a rollback would be triggered if the applied RLS policy is found to break legitimate application access post-deployment.</w:t>
            </w:r>
          </w:p>
        </w:tc>
      </w:tr>
      <w:tr>
        <w:tc>
          <w:tcPr>
            <w:tcW w:type="dxa" w:w="2600"/>
            <w:shd w:fill="D9E2F3" w:val="clear"/>
            <w:vAlign w:val="center"/>
          </w:tcPr>
          <w:p>
            <w:r>
              <w:rPr>
                <w:b/>
                <w:bCs/>
                <w:sz w:val="19"/>
                <w:szCs w:val="19"/>
              </w:rPr>
              <w:t xml:space="preserve">Rollback Approach</w:t>
            </w:r>
          </w:p>
        </w:tc>
        <w:tc>
          <w:tcPr>
            <w:tcW w:type="dxa" w:w="7000"/>
            <w:vAlign w:val="center"/>
          </w:tcPr>
          <w:p>
            <w:r>
              <w:rPr>
                <w:b w:val="false"/>
                <w:bCs w:val="false"/>
                <w:sz w:val="19"/>
                <w:szCs w:val="19"/>
              </w:rPr>
              <w:t xml:space="preserve">Per the AR-0010/EGD-0009 accepted standard: any corrective RLS policy migration is idempotent and rollback-ready by design (Phase B §10; Section 1 §4).</w:t>
            </w:r>
          </w:p>
        </w:tc>
      </w:tr>
      <w:tr>
        <w:tc>
          <w:tcPr>
            <w:tcW w:type="dxa" w:w="2600"/>
            <w:shd w:fill="D9E2F3" w:val="clear"/>
            <w:vAlign w:val="center"/>
          </w:tcPr>
          <w:p>
            <w:r>
              <w:rPr>
                <w:b/>
                <w:bCs/>
                <w:sz w:val="19"/>
                <w:szCs w:val="19"/>
              </w:rPr>
              <w:t xml:space="preserve">Repository Restoration</w:t>
            </w:r>
          </w:p>
        </w:tc>
        <w:tc>
          <w:tcPr>
            <w:tcW w:type="dxa" w:w="7000"/>
            <w:vAlign w:val="center"/>
          </w:tcPr>
          <w:p>
            <w:r>
              <w:rPr>
                <w:b w:val="false"/>
                <w:bCs w:val="false"/>
                <w:sz w:val="19"/>
                <w:szCs w:val="19"/>
              </w:rPr>
              <w:t xml:space="preserve">Revert the corrective migration in the database repository to the pre-change policy state, per its accompanying rollback script.</w:t>
            </w:r>
          </w:p>
        </w:tc>
      </w:tr>
      <w:tr>
        <w:tc>
          <w:tcPr>
            <w:tcW w:type="dxa" w:w="2600"/>
            <w:shd w:fill="D9E2F3" w:val="clear"/>
            <w:vAlign w:val="center"/>
          </w:tcPr>
          <w:p>
            <w:r>
              <w:rPr>
                <w:b/>
                <w:bCs/>
                <w:sz w:val="19"/>
                <w:szCs w:val="19"/>
              </w:rPr>
              <w:t xml:space="preserve">Documentation Restoration</w:t>
            </w:r>
          </w:p>
        </w:tc>
        <w:tc>
          <w:tcPr>
            <w:tcW w:type="dxa" w:w="7000"/>
            <w:vAlign w:val="center"/>
          </w:tcPr>
          <w:p>
            <w:r>
              <w:rPr>
                <w:b w:val="false"/>
                <w:bCs w:val="false"/>
                <w:sz w:val="19"/>
                <w:szCs w:val="19"/>
              </w:rPr>
              <w:t xml:space="preserve">Reissue the written RLS status document reflecting the reverted state.</w:t>
            </w:r>
          </w:p>
        </w:tc>
      </w:tr>
      <w:tr>
        <w:tc>
          <w:tcPr>
            <w:tcW w:type="dxa" w:w="2600"/>
            <w:shd w:fill="D9E2F3" w:val="clear"/>
            <w:vAlign w:val="center"/>
          </w:tcPr>
          <w:p>
            <w:r>
              <w:rPr>
                <w:b/>
                <w:bCs/>
                <w:sz w:val="19"/>
                <w:szCs w:val="19"/>
              </w:rPr>
              <w:t xml:space="preserve">Governance Restoration</w:t>
            </w:r>
          </w:p>
        </w:tc>
        <w:tc>
          <w:tcPr>
            <w:tcW w:type="dxa" w:w="7000"/>
            <w:vAlign w:val="center"/>
          </w:tcPr>
          <w:p>
            <w:r>
              <w:rPr>
                <w:b w:val="false"/>
                <w:bCs w:val="false"/>
                <w:sz w:val="19"/>
                <w:szCs w:val="19"/>
              </w:rPr>
              <w:t xml:space="preserve">Reopen ER-0007 to Planned pending re-remediation; log the reversal as a new variance per AP-007 (Section 1 §5).</w:t>
            </w:r>
          </w:p>
        </w:tc>
      </w:tr>
    </w:tbl>
    <w:p>
      <w:pPr>
        <w:spacing w:after="120"/>
      </w:pPr>
    </w:p>
    <w:p>
      <w:pPr>
        <w:pStyle w:val="Heading3"/>
        <w:spacing w:after="100" w:before="220"/>
      </w:pPr>
      <w:r>
        <w:t xml:space="preserve">G. Completion Evidence</w:t>
      </w:r>
    </w:p>
    <w:p>
      <w:pPr>
        <w:pStyle w:val="ListParagraph"/>
        <w:numPr>
          <w:ilvl w:val="0"/>
          <w:numId w:val="1"/>
        </w:numPr>
        <w:spacing w:after="80"/>
      </w:pPr>
      <w:r>
        <w:t xml:space="preserve">Per-table RLS status and policy-list ledger.</w:t>
      </w:r>
    </w:p>
    <w:p>
      <w:pPr>
        <w:pStyle w:val="ListParagraph"/>
        <w:numPr>
          <w:ilvl w:val="0"/>
          <w:numId w:val="1"/>
        </w:numPr>
        <w:spacing w:after="80"/>
      </w:pPr>
      <w:r>
        <w:t xml:space="preserve">Published written RLS confirmation document.</w:t>
      </w:r>
    </w:p>
    <w:p>
      <w:pPr>
        <w:pStyle w:val="ListParagraph"/>
        <w:numPr>
          <w:ilvl w:val="0"/>
          <w:numId w:val="1"/>
        </w:numPr>
        <w:spacing w:after="80"/>
      </w:pPr>
      <w:r>
        <w:t xml:space="preserve">Query-based verification evidence for every student-owned table.</w:t>
      </w:r>
    </w:p>
    <w:p>
      <w:pPr>
        <w:pStyle w:val="ListParagraph"/>
        <w:numPr>
          <w:ilvl w:val="0"/>
          <w:numId w:val="1"/>
        </w:numPr>
        <w:spacing w:after="80"/>
      </w:pPr>
      <w:r>
        <w:t xml:space="preserve">ER-0007 status update and KPI-06 measurement record.</w:t>
      </w:r>
    </w:p>
    <w:p>
      <w:pPr>
        <w:spacing w:after="120"/>
      </w:pPr>
    </w:p>
    <w:p>
      <w:pPr>
        <w:pStyle w:val="Heading3"/>
        <w:spacing w:after="100" w:before="220"/>
      </w:pPr>
      <w:r>
        <w:t xml:space="preserve">H. Completion Conditions</w:t>
      </w:r>
    </w:p>
    <w:p>
      <w:pPr>
        <w:pStyle w:val="ListParagraph"/>
        <w:numPr>
          <w:ilvl w:val="0"/>
          <w:numId w:val="1"/>
        </w:numPr>
        <w:spacing w:after="80"/>
      </w:pPr>
      <w:r>
        <w:t xml:space="preserve">KPI-06 RLS Coverage % = 100% confirmed (Section 2, WP-0002.J).</w:t>
      </w:r>
    </w:p>
    <w:p>
      <w:pPr>
        <w:pStyle w:val="ListParagraph"/>
        <w:numPr>
          <w:ilvl w:val="0"/>
          <w:numId w:val="1"/>
        </w:numPr>
        <w:spacing w:after="80"/>
      </w:pPr>
      <w:r>
        <w:t xml:space="preserve">AR-0007 traceability status advances to Certification Level L4, pending written confirmation (Section 2, WP-0002.J; Section 4 §8).</w:t>
      </w:r>
    </w:p>
    <w:p>
      <w:pPr>
        <w:pStyle w:val="ListParagraph"/>
        <w:numPr>
          <w:ilvl w:val="0"/>
          <w:numId w:val="1"/>
        </w:numPr>
        <w:spacing w:after="80"/>
      </w:pPr>
      <w:r>
        <w:t xml:space="preserve">KPI-09 Critical technical-debt class reduces from 1 to 0 (Section 2, WP-0002.J).</w:t>
      </w:r>
    </w:p>
    <w:p>
      <w:pPr>
        <w:pStyle w:val="ListParagraph"/>
        <w:numPr>
          <w:ilvl w:val="0"/>
          <w:numId w:val="1"/>
        </w:numPr>
        <w:spacing w:after="80"/>
      </w:pPr>
      <w:r>
        <w:t xml:space="preserve">Zero unverified student-owned tables remain (Section 2, WP-0002.J).</w:t>
      </w:r>
    </w:p>
    <w:p>
      <w:r>
        <w:br w:type="page"/>
      </w:r>
    </w:p>
    <w:p>
      <w:pPr>
        <w:pStyle w:val="Heading2"/>
        <w:spacing w:after="140" w:before="280"/>
      </w:pPr>
      <w:r>
        <w:t xml:space="preserve">WP-0003 — Partitioning Assessment and Plan for High-Growth Tables</w:t>
      </w:r>
    </w:p>
    <w:p>
      <w:pPr>
        <w:pStyle w:val="Heading3"/>
        <w:spacing w:after="100" w:before="220"/>
      </w:pPr>
      <w:r>
        <w:t xml:space="preserve">A. Implementation Objective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Objective</w:t>
            </w:r>
          </w:p>
        </w:tc>
        <w:tc>
          <w:tcPr>
            <w:tcW w:type="dxa" w:w="7000"/>
            <w:vAlign w:val="center"/>
          </w:tcPr>
          <w:p>
            <w:r>
              <w:rPr>
                <w:b w:val="false"/>
                <w:bCs w:val="false"/>
                <w:sz w:val="19"/>
                <w:szCs w:val="19"/>
              </w:rPr>
              <w:t xml:space="preserve">Assess partitioning need for the four designated high-growth historical/derived tables once the EGD-0004 trigger fires, executing EGD-0004 (Phase A.3 §4; Section 2, WP-0003.A, D).</w:t>
            </w:r>
          </w:p>
        </w:tc>
      </w:tr>
      <w:tr>
        <w:tc>
          <w:tcPr>
            <w:tcW w:type="dxa" w:w="2600"/>
            <w:shd w:fill="D9E2F3" w:val="clear"/>
            <w:vAlign w:val="center"/>
          </w:tcPr>
          <w:p>
            <w:r>
              <w:rPr>
                <w:b/>
                <w:bCs/>
                <w:sz w:val="19"/>
                <w:szCs w:val="19"/>
              </w:rPr>
              <w:t xml:space="preserve">Expected Outcome</w:t>
            </w:r>
          </w:p>
        </w:tc>
        <w:tc>
          <w:tcPr>
            <w:tcW w:type="dxa" w:w="7000"/>
            <w:vAlign w:val="center"/>
          </w:tcPr>
          <w:p>
            <w:r>
              <w:rPr>
                <w:b w:val="false"/>
                <w:bCs w:val="false"/>
                <w:sz w:val="19"/>
                <w:szCs w:val="19"/>
              </w:rPr>
              <w:t xml:space="preserve">A partitioning assessment and plan, produced only once the EGD-0004 trigger fires; a migration only if the assessment recommends one (Section 2, WP-0003.C).</w:t>
            </w:r>
          </w:p>
        </w:tc>
      </w:tr>
      <w:tr>
        <w:tc>
          <w:tcPr>
            <w:tcW w:type="dxa" w:w="2600"/>
            <w:shd w:fill="D9E2F3" w:val="clear"/>
            <w:vAlign w:val="center"/>
          </w:tcPr>
          <w:p>
            <w:r>
              <w:rPr>
                <w:b/>
                <w:bCs/>
                <w:sz w:val="19"/>
                <w:szCs w:val="19"/>
              </w:rPr>
              <w:t xml:space="preserve">Engineering Intent</w:t>
            </w:r>
          </w:p>
        </w:tc>
        <w:tc>
          <w:tcPr>
            <w:tcW w:type="dxa" w:w="7000"/>
            <w:vAlign w:val="center"/>
          </w:tcPr>
          <w:p>
            <w:r>
              <w:rPr>
                <w:b w:val="false"/>
                <w:bCs w:val="false"/>
                <w:sz w:val="19"/>
                <w:szCs w:val="19"/>
              </w:rPr>
              <w:t xml:space="preserve">Execute EGD-0004 against AR-0004, within Portfolio 1 — Enterprise Data Platform, Wave 3 — Trigger-Gated Assessment.</w:t>
            </w:r>
          </w:p>
        </w:tc>
      </w:tr>
      <w:tr>
        <w:tc>
          <w:tcPr>
            <w:tcW w:type="dxa" w:w="2600"/>
            <w:shd w:fill="D9E2F3" w:val="clear"/>
            <w:vAlign w:val="center"/>
          </w:tcPr>
          <w:p>
            <w:r>
              <w:rPr>
                <w:b/>
                <w:bCs/>
                <w:sz w:val="19"/>
                <w:szCs w:val="19"/>
              </w:rPr>
              <w:t xml:space="preserve">Completion Target</w:t>
            </w:r>
          </w:p>
        </w:tc>
        <w:tc>
          <w:tcPr>
            <w:tcW w:type="dxa" w:w="7000"/>
            <w:vAlign w:val="center"/>
          </w:tcPr>
          <w:p>
            <w:r>
              <w:rPr>
                <w:b w:val="false"/>
                <w:bCs w:val="false"/>
                <w:sz w:val="19"/>
                <w:szCs w:val="19"/>
              </w:rPr>
              <w:t xml:space="preserve">Quarterly row-count/latency check evidence against the EGD-0004 trigger thresholds, current at every review (Section 2, WP-0003.C).</w:t>
            </w:r>
          </w:p>
        </w:tc>
      </w:tr>
    </w:tbl>
    <w:p>
      <w:pPr>
        <w:spacing w:after="120"/>
      </w:pPr>
    </w:p>
    <w:p>
      <w:pPr>
        <w:pStyle w:val="Heading3"/>
        <w:spacing w:after="100" w:before="220"/>
      </w:pPr>
      <w:r>
        <w:t xml:space="preserve">B. Implementation Preconditions</w:t>
      </w:r>
    </w:p>
    <w:p>
      <w:pPr>
        <w:pStyle w:val="ListParagraph"/>
        <w:numPr>
          <w:ilvl w:val="0"/>
          <w:numId w:val="1"/>
        </w:numPr>
        <w:spacing w:after="80"/>
      </w:pPr>
      <w:r>
        <w:t xml:space="preserve">Required approvals: EGD-0004 is already dispositioned (Deferred) in Phase A.3 — no new governance is required to begin quarterly monitoring (Section 2, WP-0003.F).</w:t>
      </w:r>
    </w:p>
    <w:p>
      <w:pPr>
        <w:pStyle w:val="ListParagraph"/>
        <w:numPr>
          <w:ilvl w:val="0"/>
          <w:numId w:val="1"/>
        </w:numPr>
        <w:spacing w:after="80"/>
      </w:pPr>
      <w:r>
        <w:t xml:space="preserve">Required governance decisions: None outstanding for monitoring; a triggered execution requires no new EGD, only activation of the existing one.</w:t>
      </w:r>
    </w:p>
    <w:p>
      <w:pPr>
        <w:pStyle w:val="ListParagraph"/>
        <w:numPr>
          <w:ilvl w:val="0"/>
          <w:numId w:val="1"/>
        </w:numPr>
        <w:spacing w:after="80"/>
      </w:pPr>
      <w:r>
        <w:t xml:space="preserve">Required repository state: Database migration repository, conditional on the trigger firing (Section 2, WP-0003.D).</w:t>
      </w:r>
    </w:p>
    <w:p>
      <w:pPr>
        <w:pStyle w:val="ListParagraph"/>
        <w:numPr>
          <w:ilvl w:val="0"/>
          <w:numId w:val="1"/>
        </w:numPr>
        <w:spacing w:after="80"/>
      </w:pPr>
      <w:r>
        <w:t xml:space="preserve">Required documentation: Current row-count/growth data — an external, not-yet-gathered dependency that must exist before assessment can begin (Section 2, WP-0003.F).</w:t>
      </w:r>
    </w:p>
    <w:p>
      <w:pPr>
        <w:pStyle w:val="ListParagraph"/>
        <w:numPr>
          <w:ilvl w:val="0"/>
          <w:numId w:val="1"/>
        </w:numPr>
        <w:spacing w:after="80"/>
      </w:pPr>
      <w:r>
        <w:t xml:space="preserve">Required dependencies: EGD-0004 trigger — tables exceed 10M rows, latency degrades, or a 10-downstream-system scale target is reached (Phase A.3 §4).</w:t>
      </w:r>
    </w:p>
    <w:p>
      <w:pPr>
        <w:pStyle w:val="ListParagraph"/>
        <w:numPr>
          <w:ilvl w:val="0"/>
          <w:numId w:val="1"/>
        </w:numPr>
        <w:spacing w:after="80"/>
      </w:pPr>
      <w:r>
        <w:t xml:space="preserve">Required ownership: Platform Engineering Lead role is named per Phase B §9 but carries no currently-assigned individual pending WP-0006 (KPI-08 = 0%).</w:t>
      </w:r>
    </w:p>
    <w:p>
      <w:pPr>
        <w:spacing w:after="120"/>
      </w:pPr>
    </w:p>
    <w:p>
      <w:pPr>
        <w:pStyle w:val="Heading3"/>
        <w:spacing w:after="100" w:before="220"/>
      </w:pPr>
      <w:r>
        <w:t xml:space="preserve">C. Implementation Activities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500"/>
        <w:gridCol w:w="2200"/>
        <w:gridCol w:w="2200"/>
      </w:tblGrid>
      <w:tr>
        <w:tc>
          <w:tcPr>
            <w:tcW w:type="dxa" w:w="500"/>
            <w:shd w:fill="D9E2F3" w:val="clear"/>
            <w:vAlign w:val="center"/>
          </w:tcPr>
          <w:p>
            <w:r>
              <w:rPr>
                <w:b/>
                <w:bCs/>
                <w:sz w:val="19"/>
                <w:szCs w:val="19"/>
              </w:rPr>
              <w:t xml:space="preserve">#</w:t>
            </w:r>
          </w:p>
        </w:tc>
        <w:tc>
          <w:tcPr>
            <w:tcW w:type="dxa" w:w="3400"/>
            <w:shd w:fill="D9E2F3" w:val="clear"/>
            <w:vAlign w:val="center"/>
          </w:tcPr>
          <w:p>
            <w:r>
              <w:rPr>
                <w:b/>
                <w:bCs/>
                <w:sz w:val="19"/>
                <w:szCs w:val="19"/>
              </w:rPr>
              <w:t xml:space="preserve">Activity Description</w:t>
            </w:r>
          </w:p>
        </w:tc>
        <w:tc>
          <w:tcPr>
            <w:tcW w:type="dxa" w:w="1500"/>
            <w:shd w:fill="D9E2F3" w:val="clear"/>
            <w:vAlign w:val="center"/>
          </w:tcPr>
          <w:p>
            <w:r>
              <w:rPr>
                <w:b/>
                <w:bCs/>
                <w:sz w:val="19"/>
                <w:szCs w:val="19"/>
              </w:rPr>
              <w:t xml:space="preserve">Repository Affected</w:t>
            </w:r>
          </w:p>
        </w:tc>
        <w:tc>
          <w:tcPr>
            <w:tcW w:type="dxa" w:w="2200"/>
            <w:shd w:fill="D9E2F3" w:val="clear"/>
            <w:vAlign w:val="center"/>
          </w:tcPr>
          <w:p>
            <w:r>
              <w:rPr>
                <w:b/>
                <w:bCs/>
                <w:sz w:val="19"/>
                <w:szCs w:val="19"/>
              </w:rPr>
              <w:t xml:space="preserve">Expected Output</w:t>
            </w:r>
          </w:p>
        </w:tc>
        <w:tc>
          <w:tcPr>
            <w:tcW w:type="dxa" w:w="2200"/>
            <w:shd w:fill="D9E2F3" w:val="clear"/>
            <w:vAlign w:val="center"/>
          </w:tcPr>
          <w:p>
            <w:r>
              <w:rPr>
                <w:b/>
                <w:bCs/>
                <w:sz w:val="19"/>
                <w:szCs w:val="19"/>
              </w:rPr>
              <w:t xml:space="preserve">Verification Checkpoint</w:t>
            </w:r>
          </w:p>
        </w:tc>
      </w:tr>
      <w:tr>
        <w:tc>
          <w:tcPr>
            <w:tcW w:type="dxa" w:w="500"/>
            <w:vAlign w:val="center"/>
          </w:tcPr>
          <w:p>
            <w:r>
              <w:rPr>
                <w:b w:val="false"/>
                <w:bCs w:val="false"/>
                <w:sz w:val="19"/>
                <w:szCs w:val="19"/>
              </w:rPr>
              <w:t xml:space="preserve">1</w:t>
            </w:r>
          </w:p>
        </w:tc>
        <w:tc>
          <w:tcPr>
            <w:tcW w:type="dxa" w:w="3400"/>
            <w:vAlign w:val="center"/>
          </w:tcPr>
          <w:p>
            <w:r>
              <w:rPr>
                <w:b w:val="false"/>
                <w:bCs w:val="false"/>
                <w:sz w:val="19"/>
                <w:szCs w:val="19"/>
              </w:rPr>
              <w:t xml:space="preserve">Run the quarterly row-count/latency check against the four designated tables.</w:t>
            </w:r>
          </w:p>
        </w:tc>
        <w:tc>
          <w:tcPr>
            <w:tcW w:type="dxa" w:w="1500"/>
            <w:vAlign w:val="center"/>
          </w:tcPr>
          <w:p>
            <w:r>
              <w:rPr>
                <w:b w:val="false"/>
                <w:bCs w:val="false"/>
                <w:sz w:val="19"/>
                <w:szCs w:val="19"/>
              </w:rPr>
              <w:t xml:space="preserve">Database</w:t>
            </w:r>
          </w:p>
        </w:tc>
        <w:tc>
          <w:tcPr>
            <w:tcW w:type="dxa" w:w="2200"/>
            <w:vAlign w:val="center"/>
          </w:tcPr>
          <w:p>
            <w:r>
              <w:rPr>
                <w:b w:val="false"/>
                <w:bCs w:val="false"/>
                <w:sz w:val="19"/>
                <w:szCs w:val="19"/>
              </w:rPr>
              <w:t xml:space="preserve">Quarterly measurement record.</w:t>
            </w:r>
          </w:p>
        </w:tc>
        <w:tc>
          <w:tcPr>
            <w:tcW w:type="dxa" w:w="2200"/>
            <w:vAlign w:val="center"/>
          </w:tcPr>
          <w:p>
            <w:r>
              <w:rPr>
                <w:b w:val="false"/>
                <w:bCs w:val="false"/>
                <w:sz w:val="19"/>
                <w:szCs w:val="19"/>
              </w:rPr>
              <w:t xml:space="preserve">Measurement captured and logged.</w:t>
            </w:r>
          </w:p>
        </w:tc>
      </w:tr>
      <w:tr>
        <w:tc>
          <w:tcPr>
            <w:tcW w:type="dxa" w:w="500"/>
            <w:vAlign w:val="center"/>
          </w:tcPr>
          <w:p>
            <w:r>
              <w:rPr>
                <w:b w:val="false"/>
                <w:bCs w:val="false"/>
                <w:sz w:val="19"/>
                <w:szCs w:val="19"/>
              </w:rPr>
              <w:t xml:space="preserve">2</w:t>
            </w:r>
          </w:p>
        </w:tc>
        <w:tc>
          <w:tcPr>
            <w:tcW w:type="dxa" w:w="3400"/>
            <w:vAlign w:val="center"/>
          </w:tcPr>
          <w:p>
            <w:r>
              <w:rPr>
                <w:b w:val="false"/>
                <w:bCs w:val="false"/>
                <w:sz w:val="19"/>
                <w:szCs w:val="19"/>
              </w:rPr>
              <w:t xml:space="preserve">Compare measured values against EGD-0004's thresholds: &gt;10M rows, latency degradation, or 10-downstream-system scale.</w:t>
            </w:r>
          </w:p>
        </w:tc>
        <w:tc>
          <w:tcPr>
            <w:tcW w:type="dxa" w:w="1500"/>
            <w:vAlign w:val="center"/>
          </w:tcPr>
          <w:p>
            <w:r>
              <w:rPr>
                <w:b w:val="false"/>
                <w:bCs w:val="false"/>
                <w:sz w:val="19"/>
                <w:szCs w:val="19"/>
              </w:rPr>
              <w:t xml:space="preserve">Test</w:t>
            </w:r>
          </w:p>
        </w:tc>
        <w:tc>
          <w:tcPr>
            <w:tcW w:type="dxa" w:w="2200"/>
            <w:vAlign w:val="center"/>
          </w:tcPr>
          <w:p>
            <w:r>
              <w:rPr>
                <w:b w:val="false"/>
                <w:bCs w:val="false"/>
                <w:sz w:val="19"/>
                <w:szCs w:val="19"/>
              </w:rPr>
              <w:t xml:space="preserve">Threshold comparison result.</w:t>
            </w:r>
          </w:p>
        </w:tc>
        <w:tc>
          <w:tcPr>
            <w:tcW w:type="dxa" w:w="2200"/>
            <w:vAlign w:val="center"/>
          </w:tcPr>
          <w:p>
            <w:r>
              <w:rPr>
                <w:b w:val="false"/>
                <w:bCs w:val="false"/>
                <w:sz w:val="19"/>
                <w:szCs w:val="19"/>
              </w:rPr>
              <w:t xml:space="preserve">Trigger status (fired / not fired) determined.</w:t>
            </w:r>
          </w:p>
        </w:tc>
      </w:tr>
      <w:tr>
        <w:tc>
          <w:tcPr>
            <w:tcW w:type="dxa" w:w="500"/>
            <w:vAlign w:val="center"/>
          </w:tcPr>
          <w:p>
            <w:r>
              <w:rPr>
                <w:b w:val="false"/>
                <w:bCs w:val="false"/>
                <w:sz w:val="19"/>
                <w:szCs w:val="19"/>
              </w:rPr>
              <w:t xml:space="preserve">3</w:t>
            </w:r>
          </w:p>
        </w:tc>
        <w:tc>
          <w:tcPr>
            <w:tcW w:type="dxa" w:w="3400"/>
            <w:vAlign w:val="center"/>
          </w:tcPr>
          <w:p>
            <w:r>
              <w:rPr>
                <w:b w:val="false"/>
                <w:bCs w:val="false"/>
                <w:sz w:val="19"/>
                <w:szCs w:val="19"/>
              </w:rPr>
              <w:t xml:space="preserve">If none of the thresholds is met, log the quarterly review (VAR-04) and stop.</w:t>
            </w:r>
          </w:p>
        </w:tc>
        <w:tc>
          <w:tcPr>
            <w:tcW w:type="dxa" w:w="1500"/>
            <w:vAlign w:val="center"/>
          </w:tcPr>
          <w:p>
            <w:r>
              <w:rPr>
                <w:b w:val="false"/>
                <w:bCs w:val="false"/>
                <w:sz w:val="19"/>
                <w:szCs w:val="19"/>
              </w:rPr>
              <w:t xml:space="preserve">Governance record</w:t>
            </w:r>
          </w:p>
        </w:tc>
        <w:tc>
          <w:tcPr>
            <w:tcW w:type="dxa" w:w="2200"/>
            <w:vAlign w:val="center"/>
          </w:tcPr>
          <w:p>
            <w:r>
              <w:rPr>
                <w:b w:val="false"/>
                <w:bCs w:val="false"/>
                <w:sz w:val="19"/>
                <w:szCs w:val="19"/>
              </w:rPr>
              <w:t xml:space="preserve">VAR-04 quarterly review log entry.</w:t>
            </w:r>
          </w:p>
        </w:tc>
        <w:tc>
          <w:tcPr>
            <w:tcW w:type="dxa" w:w="2200"/>
            <w:vAlign w:val="center"/>
          </w:tcPr>
          <w:p>
            <w:r>
              <w:rPr>
                <w:b w:val="false"/>
                <w:bCs w:val="false"/>
                <w:sz w:val="19"/>
                <w:szCs w:val="19"/>
              </w:rPr>
              <w:t xml:space="preserve">Review recorded; Work Package remains dormant.</w:t>
            </w:r>
          </w:p>
        </w:tc>
      </w:tr>
      <w:tr>
        <w:tc>
          <w:tcPr>
            <w:tcW w:type="dxa" w:w="500"/>
            <w:vAlign w:val="center"/>
          </w:tcPr>
          <w:p>
            <w:r>
              <w:rPr>
                <w:b w:val="false"/>
                <w:bCs w:val="false"/>
                <w:sz w:val="19"/>
                <w:szCs w:val="19"/>
              </w:rPr>
              <w:t xml:space="preserve">4</w:t>
            </w:r>
          </w:p>
        </w:tc>
        <w:tc>
          <w:tcPr>
            <w:tcW w:type="dxa" w:w="3400"/>
            <w:vAlign w:val="center"/>
          </w:tcPr>
          <w:p>
            <w:r>
              <w:rPr>
                <w:b w:val="false"/>
                <w:bCs w:val="false"/>
                <w:sz w:val="19"/>
                <w:szCs w:val="19"/>
              </w:rPr>
              <w:t xml:space="preserve">If a threshold is met, the Platform Engineering Lead performs the partitioning assessment.</w:t>
            </w:r>
          </w:p>
        </w:tc>
        <w:tc>
          <w:tcPr>
            <w:tcW w:type="dxa" w:w="1500"/>
            <w:vAlign w:val="center"/>
          </w:tcPr>
          <w:p>
            <w:r>
              <w:rPr>
                <w:b w:val="false"/>
                <w:bCs w:val="false"/>
                <w:sz w:val="19"/>
                <w:szCs w:val="19"/>
              </w:rPr>
              <w:t xml:space="preserve">Database</w:t>
            </w:r>
          </w:p>
        </w:tc>
        <w:tc>
          <w:tcPr>
            <w:tcW w:type="dxa" w:w="2200"/>
            <w:vAlign w:val="center"/>
          </w:tcPr>
          <w:p>
            <w:r>
              <w:rPr>
                <w:b w:val="false"/>
                <w:bCs w:val="false"/>
                <w:sz w:val="19"/>
                <w:szCs w:val="19"/>
              </w:rPr>
              <w:t xml:space="preserve">Partitioning assessment report.</w:t>
            </w:r>
          </w:p>
        </w:tc>
        <w:tc>
          <w:tcPr>
            <w:tcW w:type="dxa" w:w="2200"/>
            <w:vAlign w:val="center"/>
          </w:tcPr>
          <w:p>
            <w:r>
              <w:rPr>
                <w:b w:val="false"/>
                <w:bCs w:val="false"/>
                <w:sz w:val="19"/>
                <w:szCs w:val="19"/>
              </w:rPr>
              <w:t xml:space="preserve">Assessment reviewed by Platform Engineering Lead.</w:t>
            </w:r>
          </w:p>
        </w:tc>
      </w:tr>
      <w:tr>
        <w:tc>
          <w:tcPr>
            <w:tcW w:type="dxa" w:w="500"/>
            <w:vAlign w:val="center"/>
          </w:tcPr>
          <w:p>
            <w:r>
              <w:rPr>
                <w:b w:val="false"/>
                <w:bCs w:val="false"/>
                <w:sz w:val="19"/>
                <w:szCs w:val="19"/>
              </w:rPr>
              <w:t xml:space="preserve">5</w:t>
            </w:r>
          </w:p>
        </w:tc>
        <w:tc>
          <w:tcPr>
            <w:tcW w:type="dxa" w:w="3400"/>
            <w:vAlign w:val="center"/>
          </w:tcPr>
          <w:p>
            <w:r>
              <w:rPr>
                <w:b w:val="false"/>
                <w:bCs w:val="false"/>
                <w:sz w:val="19"/>
                <w:szCs w:val="19"/>
              </w:rPr>
              <w:t xml:space="preserve">If the assessment recommends migration, design the partition scheme.</w:t>
            </w:r>
          </w:p>
        </w:tc>
        <w:tc>
          <w:tcPr>
            <w:tcW w:type="dxa" w:w="1500"/>
            <w:vAlign w:val="center"/>
          </w:tcPr>
          <w:p>
            <w:r>
              <w:rPr>
                <w:b w:val="false"/>
                <w:bCs w:val="false"/>
                <w:sz w:val="19"/>
                <w:szCs w:val="19"/>
              </w:rPr>
              <w:t xml:space="preserve">Database</w:t>
            </w:r>
          </w:p>
        </w:tc>
        <w:tc>
          <w:tcPr>
            <w:tcW w:type="dxa" w:w="2200"/>
            <w:vAlign w:val="center"/>
          </w:tcPr>
          <w:p>
            <w:r>
              <w:rPr>
                <w:b w:val="false"/>
                <w:bCs w:val="false"/>
                <w:sz w:val="19"/>
                <w:szCs w:val="19"/>
              </w:rPr>
              <w:t xml:space="preserve">Native range-partition design, consistent with the chi_scores pattern (Phase A.3 §5).</w:t>
            </w:r>
          </w:p>
        </w:tc>
        <w:tc>
          <w:tcPr>
            <w:tcW w:type="dxa" w:w="2200"/>
            <w:vAlign w:val="center"/>
          </w:tcPr>
          <w:p>
            <w:r>
              <w:rPr>
                <w:b w:val="false"/>
                <w:bCs w:val="false"/>
                <w:sz w:val="19"/>
                <w:szCs w:val="19"/>
              </w:rPr>
              <w:t xml:space="preserve">Design reviewed prior to build.</w:t>
            </w:r>
          </w:p>
        </w:tc>
      </w:tr>
      <w:tr>
        <w:tc>
          <w:tcPr>
            <w:tcW w:type="dxa" w:w="500"/>
            <w:vAlign w:val="center"/>
          </w:tcPr>
          <w:p>
            <w:r>
              <w:rPr>
                <w:b w:val="false"/>
                <w:bCs w:val="false"/>
                <w:sz w:val="19"/>
                <w:szCs w:val="19"/>
              </w:rPr>
              <w:t xml:space="preserve">6</w:t>
            </w:r>
          </w:p>
        </w:tc>
        <w:tc>
          <w:tcPr>
            <w:tcW w:type="dxa" w:w="3400"/>
            <w:vAlign w:val="center"/>
          </w:tcPr>
          <w:p>
            <w:r>
              <w:rPr>
                <w:b w:val="false"/>
                <w:bCs w:val="false"/>
                <w:sz w:val="19"/>
                <w:szCs w:val="19"/>
              </w:rPr>
              <w:t xml:space="preserve">Build the migration to the AR-0010/EGD-0009 idempotent, rollback-ready standard.</w:t>
            </w:r>
          </w:p>
        </w:tc>
        <w:tc>
          <w:tcPr>
            <w:tcW w:type="dxa" w:w="1500"/>
            <w:vAlign w:val="center"/>
          </w:tcPr>
          <w:p>
            <w:r>
              <w:rPr>
                <w:b w:val="false"/>
                <w:bCs w:val="false"/>
                <w:sz w:val="19"/>
                <w:szCs w:val="19"/>
              </w:rPr>
              <w:t xml:space="preserve">Database</w:t>
            </w:r>
          </w:p>
        </w:tc>
        <w:tc>
          <w:tcPr>
            <w:tcW w:type="dxa" w:w="2200"/>
            <w:vAlign w:val="center"/>
          </w:tcPr>
          <w:p>
            <w:r>
              <w:rPr>
                <w:b w:val="false"/>
                <w:bCs w:val="false"/>
                <w:sz w:val="19"/>
                <w:szCs w:val="19"/>
              </w:rPr>
              <w:t xml:space="preserve">Partitioning migration artifact.</w:t>
            </w:r>
          </w:p>
        </w:tc>
        <w:tc>
          <w:tcPr>
            <w:tcW w:type="dxa" w:w="2200"/>
            <w:vAlign w:val="center"/>
          </w:tcPr>
          <w:p>
            <w:r>
              <w:rPr>
                <w:b w:val="false"/>
                <w:bCs w:val="false"/>
                <w:sz w:val="19"/>
                <w:szCs w:val="19"/>
              </w:rPr>
              <w:t xml:space="preserve">Migration meets AR-0010/EGD-0009 standard.</w:t>
            </w:r>
          </w:p>
        </w:tc>
      </w:tr>
      <w:tr>
        <w:tc>
          <w:tcPr>
            <w:tcW w:type="dxa" w:w="500"/>
            <w:vAlign w:val="center"/>
          </w:tcPr>
          <w:p>
            <w:r>
              <w:rPr>
                <w:b w:val="false"/>
                <w:bCs w:val="false"/>
                <w:sz w:val="19"/>
                <w:szCs w:val="19"/>
              </w:rPr>
              <w:t xml:space="preserve">7</w:t>
            </w:r>
          </w:p>
        </w:tc>
        <w:tc>
          <w:tcPr>
            <w:tcW w:type="dxa" w:w="3400"/>
            <w:vAlign w:val="center"/>
          </w:tcPr>
          <w:p>
            <w:r>
              <w:rPr>
                <w:b w:val="false"/>
                <w:bCs w:val="false"/>
                <w:sz w:val="19"/>
                <w:szCs w:val="19"/>
              </w:rPr>
              <w:t xml:space="preserve">Execute and verify; update the EGD-0004 trigger-monitoring log and KPI-05/KPI-09.</w:t>
            </w:r>
          </w:p>
        </w:tc>
        <w:tc>
          <w:tcPr>
            <w:tcW w:type="dxa" w:w="1500"/>
            <w:vAlign w:val="center"/>
          </w:tcPr>
          <w:p>
            <w:r>
              <w:rPr>
                <w:b w:val="false"/>
                <w:bCs w:val="false"/>
                <w:sz w:val="19"/>
                <w:szCs w:val="19"/>
              </w:rPr>
              <w:t xml:space="preserve">Governance record</w:t>
            </w:r>
          </w:p>
        </w:tc>
        <w:tc>
          <w:tcPr>
            <w:tcW w:type="dxa" w:w="2200"/>
            <w:vAlign w:val="center"/>
          </w:tcPr>
          <w:p>
            <w:r>
              <w:rPr>
                <w:b w:val="false"/>
                <w:bCs w:val="false"/>
                <w:sz w:val="19"/>
                <w:szCs w:val="19"/>
              </w:rPr>
              <w:t xml:space="preserve">Trigger-monitoring log update; KPI update.</w:t>
            </w:r>
          </w:p>
        </w:tc>
        <w:tc>
          <w:tcPr>
            <w:tcW w:type="dxa" w:w="2200"/>
            <w:vAlign w:val="center"/>
          </w:tcPr>
          <w:p>
            <w:r>
              <w:rPr>
                <w:b w:val="false"/>
                <w:bCs w:val="false"/>
                <w:sz w:val="19"/>
                <w:szCs w:val="19"/>
              </w:rPr>
              <w:t xml:space="preserve">Migration executed with zero rollback failures.</w:t>
            </w:r>
          </w:p>
        </w:tc>
      </w:tr>
    </w:tbl>
    <w:p>
      <w:pPr>
        <w:spacing w:after="120"/>
      </w:pPr>
    </w:p>
    <w:p>
      <w:pPr>
        <w:pStyle w:val="Heading3"/>
        <w:spacing w:after="100" w:before="220"/>
      </w:pPr>
      <w:r>
        <w:t xml:space="preserve">D. Repository Changes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9E2F3" w:val="clear"/>
            <w:vAlign w:val="center"/>
          </w:tcPr>
          <w:p>
            <w:r>
              <w:rPr>
                <w:b/>
                <w:bCs/>
                <w:sz w:val="19"/>
                <w:szCs w:val="19"/>
              </w:rPr>
              <w:t xml:space="preserve">Repository</w:t>
            </w:r>
          </w:p>
        </w:tc>
        <w:tc>
          <w:tcPr>
            <w:tcW w:type="dxa" w:w="7200"/>
            <w:shd w:fill="D9E2F3" w:val="clear"/>
            <w:vAlign w:val="center"/>
          </w:tcPr>
          <w:p>
            <w:r>
              <w:rPr>
                <w:b/>
                <w:bCs/>
                <w:sz w:val="19"/>
                <w:szCs w:val="19"/>
              </w:rPr>
              <w:t xml:space="preserve">Implementation Change</w:t>
            </w:r>
          </w:p>
        </w:tc>
      </w:tr>
      <w:tr>
        <w:tc>
          <w:tcPr>
            <w:tcW w:type="dxa" w:w="2400"/>
            <w:vAlign w:val="center"/>
          </w:tcPr>
          <w:p>
            <w:r>
              <w:rPr>
                <w:b w:val="false"/>
                <w:bCs w:val="false"/>
                <w:sz w:val="19"/>
                <w:szCs w:val="19"/>
              </w:rPr>
              <w:t xml:space="preserve">Documentation Repository</w:t>
            </w:r>
          </w:p>
        </w:tc>
        <w:tc>
          <w:tcPr>
            <w:tcW w:type="dxa" w:w="7200"/>
            <w:vAlign w:val="center"/>
          </w:tcPr>
          <w:p>
            <w:r>
              <w:rPr>
                <w:b w:val="false"/>
                <w:bCs w:val="false"/>
                <w:sz w:val="19"/>
                <w:szCs w:val="19"/>
              </w:rPr>
              <w:t xml:space="preserve">Partitioning assessment report is produced once the trigger fires (Section 2, WP-0003.D, G).</w:t>
            </w:r>
          </w:p>
        </w:tc>
      </w:tr>
      <w:tr>
        <w:tc>
          <w:tcPr>
            <w:tcW w:type="dxa" w:w="2400"/>
            <w:vAlign w:val="center"/>
          </w:tcPr>
          <w:p>
            <w:r>
              <w:rPr>
                <w:b w:val="false"/>
                <w:bCs w:val="false"/>
                <w:sz w:val="19"/>
                <w:szCs w:val="19"/>
              </w:rPr>
              <w:t xml:space="preserve">Database Repository</w:t>
            </w:r>
          </w:p>
        </w:tc>
        <w:tc>
          <w:tcPr>
            <w:tcW w:type="dxa" w:w="7200"/>
            <w:vAlign w:val="center"/>
          </w:tcPr>
          <w:p>
            <w:r>
              <w:rPr>
                <w:b w:val="false"/>
                <w:bCs w:val="false"/>
                <w:sz w:val="19"/>
                <w:szCs w:val="19"/>
              </w:rPr>
              <w:t xml:space="preserve">No Approved Repository Change until the EGD-0004 trigger fires. Conditional native PostgreSQL range-partitioning migration, only once triggered and only if the assessment recommends it, meeting the AR-0010/EGD-0009 idempotent, rollback-ready standard (Section 2, WP-0003.D, G).</w:t>
            </w:r>
          </w:p>
        </w:tc>
      </w:tr>
      <w:tr>
        <w:tc>
          <w:tcPr>
            <w:tcW w:type="dxa" w:w="2400"/>
            <w:vAlign w:val="center"/>
          </w:tcPr>
          <w:p>
            <w:r>
              <w:rPr>
                <w:b w:val="false"/>
                <w:bCs w:val="false"/>
                <w:sz w:val="19"/>
                <w:szCs w:val="19"/>
              </w:rPr>
              <w:t xml:space="preserve">Test Repository</w:t>
            </w:r>
          </w:p>
        </w:tc>
        <w:tc>
          <w:tcPr>
            <w:tcW w:type="dxa" w:w="7200"/>
            <w:vAlign w:val="center"/>
          </w:tcPr>
          <w:p>
            <w:r>
              <w:rPr>
                <w:b w:val="false"/>
                <w:bCs w:val="false"/>
                <w:sz w:val="19"/>
                <w:szCs w:val="19"/>
              </w:rPr>
              <w:t xml:space="preserve">Quarterly row-count/latency check output, an ongoing verification artifact irrespective of whether the trigger has fired (Section 2, WP-0003.D).</w:t>
            </w:r>
          </w:p>
        </w:tc>
      </w:tr>
    </w:tbl>
    <w:p>
      <w:pPr>
        <w:spacing w:after="120"/>
      </w:pPr>
    </w:p>
    <w:p>
      <w:pPr>
        <w:pStyle w:val="Heading3"/>
        <w:spacing w:after="100" w:before="220"/>
      </w:pPr>
      <w:r>
        <w:t xml:space="preserve">E. Verification Activities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Engineering Verification</w:t>
            </w:r>
          </w:p>
        </w:tc>
        <w:tc>
          <w:tcPr>
            <w:tcW w:type="dxa" w:w="7000"/>
            <w:vAlign w:val="center"/>
          </w:tcPr>
          <w:p>
            <w:r>
              <w:rPr>
                <w:b w:val="false"/>
                <w:bCs w:val="false"/>
                <w:sz w:val="19"/>
                <w:szCs w:val="19"/>
              </w:rPr>
              <w:t xml:space="preserve">Quarterly row-count/latency check against the EGD-0004 trigger thresholds (Phase A.3 §7; Section 4 §8).</w:t>
            </w:r>
          </w:p>
        </w:tc>
      </w:tr>
      <w:tr>
        <w:tc>
          <w:tcPr>
            <w:tcW w:type="dxa" w:w="2600"/>
            <w:shd w:fill="D9E2F3" w:val="clear"/>
            <w:vAlign w:val="center"/>
          </w:tcPr>
          <w:p>
            <w:r>
              <w:rPr>
                <w:b/>
                <w:bCs/>
                <w:sz w:val="19"/>
                <w:szCs w:val="19"/>
              </w:rPr>
              <w:t xml:space="preserve">Repository Verification</w:t>
            </w:r>
          </w:p>
        </w:tc>
        <w:tc>
          <w:tcPr>
            <w:tcW w:type="dxa" w:w="7000"/>
            <w:vAlign w:val="center"/>
          </w:tcPr>
          <w:p>
            <w:r>
              <w:rPr>
                <w:b w:val="false"/>
                <w:bCs w:val="false"/>
                <w:sz w:val="19"/>
                <w:szCs w:val="19"/>
              </w:rPr>
              <w:t xml:space="preserve">Database repository migration artifact verified against the AR-0010/EGD-0009 idempotent, rollback-ready standard, if and when a migration is built.</w:t>
            </w:r>
          </w:p>
        </w:tc>
      </w:tr>
      <w:tr>
        <w:tc>
          <w:tcPr>
            <w:tcW w:type="dxa" w:w="2600"/>
            <w:shd w:fill="D9E2F3" w:val="clear"/>
            <w:vAlign w:val="center"/>
          </w:tcPr>
          <w:p>
            <w:r>
              <w:rPr>
                <w:b/>
                <w:bCs/>
                <w:sz w:val="19"/>
                <w:szCs w:val="19"/>
              </w:rPr>
              <w:t xml:space="preserve">Governance Verification</w:t>
            </w:r>
          </w:p>
        </w:tc>
        <w:tc>
          <w:tcPr>
            <w:tcW w:type="dxa" w:w="7000"/>
            <w:vAlign w:val="center"/>
          </w:tcPr>
          <w:p>
            <w:r>
              <w:rPr>
                <w:b w:val="false"/>
                <w:bCs w:val="false"/>
                <w:sz w:val="19"/>
                <w:szCs w:val="19"/>
              </w:rPr>
              <w:t xml:space="preserve">EGD-0004 trigger-monitoring log and VAR-04 quarterly review record updated at every review cycle.</w:t>
            </w:r>
          </w:p>
        </w:tc>
      </w:tr>
      <w:tr>
        <w:tc>
          <w:tcPr>
            <w:tcW w:type="dxa" w:w="2600"/>
            <w:shd w:fill="D9E2F3" w:val="clear"/>
            <w:vAlign w:val="center"/>
          </w:tcPr>
          <w:p>
            <w:r>
              <w:rPr>
                <w:b/>
                <w:bCs/>
                <w:sz w:val="19"/>
                <w:szCs w:val="19"/>
              </w:rPr>
              <w:t xml:space="preserve">Documentation Verification</w:t>
            </w:r>
          </w:p>
        </w:tc>
        <w:tc>
          <w:tcPr>
            <w:tcW w:type="dxa" w:w="7000"/>
            <w:vAlign w:val="center"/>
          </w:tcPr>
          <w:p>
            <w:r>
              <w:rPr>
                <w:b w:val="false"/>
                <w:bCs w:val="false"/>
                <w:sz w:val="19"/>
                <w:szCs w:val="19"/>
              </w:rPr>
              <w:t xml:space="preserve">Partitioning assessment report reviewed by the Platform Engineering Lead.</w:t>
            </w:r>
          </w:p>
        </w:tc>
      </w:tr>
      <w:tr>
        <w:tc>
          <w:tcPr>
            <w:tcW w:type="dxa" w:w="2600"/>
            <w:shd w:fill="D9E2F3" w:val="clear"/>
            <w:vAlign w:val="center"/>
          </w:tcPr>
          <w:p>
            <w:r>
              <w:rPr>
                <w:b/>
                <w:bCs/>
                <w:sz w:val="19"/>
                <w:szCs w:val="19"/>
              </w:rPr>
              <w:t xml:space="preserve">Completion Evidence</w:t>
            </w:r>
          </w:p>
        </w:tc>
        <w:tc>
          <w:tcPr>
            <w:tcW w:type="dxa" w:w="7000"/>
            <w:vAlign w:val="center"/>
          </w:tcPr>
          <w:p>
            <w:r>
              <w:rPr>
                <w:b w:val="false"/>
                <w:bCs w:val="false"/>
                <w:sz w:val="19"/>
                <w:szCs w:val="19"/>
              </w:rPr>
              <w:t xml:space="preserve">Current quarterly monitoring evidence; assessment report; migration and rollback verification, if triggered.</w:t>
            </w:r>
          </w:p>
        </w:tc>
      </w:tr>
    </w:tbl>
    <w:p>
      <w:pPr>
        <w:spacing w:after="120"/>
      </w:pPr>
    </w:p>
    <w:p>
      <w:pPr>
        <w:pStyle w:val="Heading3"/>
        <w:spacing w:after="100" w:before="220"/>
      </w:pPr>
      <w:r>
        <w:t xml:space="preserve">F. Rollback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Rollback Trigger</w:t>
            </w:r>
          </w:p>
        </w:tc>
        <w:tc>
          <w:tcPr>
            <w:tcW w:type="dxa" w:w="7000"/>
            <w:vAlign w:val="center"/>
          </w:tcPr>
          <w:p>
            <w:r>
              <w:rPr>
                <w:b w:val="false"/>
                <w:bCs w:val="false"/>
                <w:sz w:val="19"/>
                <w:szCs w:val="19"/>
              </w:rPr>
              <w:t xml:space="preserve">Applicable only if a migration is built and executed (Activities 5–7) — triggered by a failed partitioning migration, unexpected query-plan regression, or a rollback request during verification.</w:t>
            </w:r>
          </w:p>
        </w:tc>
      </w:tr>
      <w:tr>
        <w:tc>
          <w:tcPr>
            <w:tcW w:type="dxa" w:w="2600"/>
            <w:shd w:fill="D9E2F3" w:val="clear"/>
            <w:vAlign w:val="center"/>
          </w:tcPr>
          <w:p>
            <w:r>
              <w:rPr>
                <w:b/>
                <w:bCs/>
                <w:sz w:val="19"/>
                <w:szCs w:val="19"/>
              </w:rPr>
              <w:t xml:space="preserve">Rollback Approach</w:t>
            </w:r>
          </w:p>
        </w:tc>
        <w:tc>
          <w:tcPr>
            <w:tcW w:type="dxa" w:w="7000"/>
            <w:vAlign w:val="center"/>
          </w:tcPr>
          <w:p>
            <w:r>
              <w:rPr>
                <w:b w:val="false"/>
                <w:bCs w:val="false"/>
                <w:sz w:val="19"/>
                <w:szCs w:val="19"/>
              </w:rPr>
              <w:t xml:space="preserve">Per the AR-0010/EGD-0009 accepted standard: the migration is designed as idempotent and rollback-ready before it is executed (Activity 6).</w:t>
            </w:r>
          </w:p>
        </w:tc>
      </w:tr>
      <w:tr>
        <w:tc>
          <w:tcPr>
            <w:tcW w:type="dxa" w:w="2600"/>
            <w:shd w:fill="D9E2F3" w:val="clear"/>
            <w:vAlign w:val="center"/>
          </w:tcPr>
          <w:p>
            <w:r>
              <w:rPr>
                <w:b/>
                <w:bCs/>
                <w:sz w:val="19"/>
                <w:szCs w:val="19"/>
              </w:rPr>
              <w:t xml:space="preserve">Repository Restoration</w:t>
            </w:r>
          </w:p>
        </w:tc>
        <w:tc>
          <w:tcPr>
            <w:tcW w:type="dxa" w:w="7000"/>
            <w:vAlign w:val="center"/>
          </w:tcPr>
          <w:p>
            <w:r>
              <w:rPr>
                <w:b w:val="false"/>
                <w:bCs w:val="false"/>
                <w:sz w:val="19"/>
                <w:szCs w:val="19"/>
              </w:rPr>
              <w:t xml:space="preserve">Execute the migration's accompanying rollback script to restore the pre-partition table structure in the database repository.</w:t>
            </w:r>
          </w:p>
        </w:tc>
      </w:tr>
      <w:tr>
        <w:tc>
          <w:tcPr>
            <w:tcW w:type="dxa" w:w="2600"/>
            <w:shd w:fill="D9E2F3" w:val="clear"/>
            <w:vAlign w:val="center"/>
          </w:tcPr>
          <w:p>
            <w:r>
              <w:rPr>
                <w:b/>
                <w:bCs/>
                <w:sz w:val="19"/>
                <w:szCs w:val="19"/>
              </w:rPr>
              <w:t xml:space="preserve">Documentation Restoration</w:t>
            </w:r>
          </w:p>
        </w:tc>
        <w:tc>
          <w:tcPr>
            <w:tcW w:type="dxa" w:w="7000"/>
            <w:vAlign w:val="center"/>
          </w:tcPr>
          <w:p>
            <w:r>
              <w:rPr>
                <w:b w:val="false"/>
                <w:bCs w:val="false"/>
                <w:sz w:val="19"/>
                <w:szCs w:val="19"/>
              </w:rPr>
              <w:t xml:space="preserve">Amend the assessment report to record the rollback event and its cause.</w:t>
            </w:r>
          </w:p>
        </w:tc>
      </w:tr>
      <w:tr>
        <w:tc>
          <w:tcPr>
            <w:tcW w:type="dxa" w:w="2600"/>
            <w:shd w:fill="D9E2F3" w:val="clear"/>
            <w:vAlign w:val="center"/>
          </w:tcPr>
          <w:p>
            <w:r>
              <w:rPr>
                <w:b/>
                <w:bCs/>
                <w:sz w:val="19"/>
                <w:szCs w:val="19"/>
              </w:rPr>
              <w:t xml:space="preserve">Governance Restoration</w:t>
            </w:r>
          </w:p>
        </w:tc>
        <w:tc>
          <w:tcPr>
            <w:tcW w:type="dxa" w:w="7000"/>
            <w:vAlign w:val="center"/>
          </w:tcPr>
          <w:p>
            <w:r>
              <w:rPr>
                <w:b w:val="false"/>
                <w:bCs w:val="false"/>
                <w:sz w:val="19"/>
                <w:szCs w:val="19"/>
              </w:rPr>
              <w:t xml:space="preserve">Update the EGD-0004 trigger-monitoring log to reflect the rollback; the trigger condition remains active for a future re-attempt.</w:t>
            </w:r>
          </w:p>
        </w:tc>
      </w:tr>
    </w:tbl>
    <w:p>
      <w:pPr>
        <w:spacing w:after="120"/>
      </w:pPr>
    </w:p>
    <w:p>
      <w:pPr>
        <w:pStyle w:val="Heading3"/>
        <w:spacing w:after="100" w:before="220"/>
      </w:pPr>
      <w:r>
        <w:t xml:space="preserve">G. Completion Evidence</w:t>
      </w:r>
    </w:p>
    <w:p>
      <w:pPr>
        <w:pStyle w:val="ListParagraph"/>
        <w:numPr>
          <w:ilvl w:val="0"/>
          <w:numId w:val="1"/>
        </w:numPr>
        <w:spacing w:after="80"/>
      </w:pPr>
      <w:r>
        <w:t xml:space="preserve">Current quarterly row-count/latency monitoring record.</w:t>
      </w:r>
    </w:p>
    <w:p>
      <w:pPr>
        <w:pStyle w:val="ListParagraph"/>
        <w:numPr>
          <w:ilvl w:val="0"/>
          <w:numId w:val="1"/>
        </w:numPr>
        <w:spacing w:after="80"/>
      </w:pPr>
      <w:r>
        <w:t xml:space="preserve">Partitioning assessment report (once triggered).</w:t>
      </w:r>
    </w:p>
    <w:p>
      <w:pPr>
        <w:pStyle w:val="ListParagraph"/>
        <w:numPr>
          <w:ilvl w:val="0"/>
          <w:numId w:val="1"/>
        </w:numPr>
        <w:spacing w:after="80"/>
      </w:pPr>
      <w:r>
        <w:t xml:space="preserve">Partitioning migration artifact and rollback verification, if a migration is executed.</w:t>
      </w:r>
    </w:p>
    <w:p>
      <w:pPr>
        <w:pStyle w:val="ListParagraph"/>
        <w:numPr>
          <w:ilvl w:val="0"/>
          <w:numId w:val="1"/>
        </w:numPr>
        <w:spacing w:after="80"/>
      </w:pPr>
      <w:r>
        <w:t xml:space="preserve">EGD-0004 trigger-monitoring log and VAR-04 review record.</w:t>
      </w:r>
    </w:p>
    <w:p>
      <w:pPr>
        <w:spacing w:after="120"/>
      </w:pPr>
    </w:p>
    <w:p>
      <w:pPr>
        <w:pStyle w:val="Heading3"/>
        <w:spacing w:after="100" w:before="220"/>
      </w:pPr>
      <w:r>
        <w:t xml:space="preserve">H. Completion Conditions</w:t>
      </w:r>
    </w:p>
    <w:p>
      <w:pPr>
        <w:pStyle w:val="ListParagraph"/>
        <w:numPr>
          <w:ilvl w:val="0"/>
          <w:numId w:val="1"/>
        </w:numPr>
        <w:spacing w:after="80"/>
      </w:pPr>
      <w:r>
        <w:t xml:space="preserve">Quarterly monitoring evidence exists and is current (Section 2, WP-0003.J).</w:t>
      </w:r>
    </w:p>
    <w:p>
      <w:pPr>
        <w:pStyle w:val="ListParagraph"/>
        <w:numPr>
          <w:ilvl w:val="0"/>
          <w:numId w:val="1"/>
        </w:numPr>
        <w:spacing w:after="80"/>
      </w:pPr>
      <w:r>
        <w:t xml:space="preserve">If triggered, the migration meets the AR-0010 standard with zero rollback failures (Section 2, WP-0003.J).</w:t>
      </w:r>
    </w:p>
    <w:p>
      <w:pPr>
        <w:pStyle w:val="ListParagraph"/>
        <w:numPr>
          <w:ilvl w:val="0"/>
          <w:numId w:val="1"/>
        </w:numPr>
        <w:spacing w:after="80"/>
      </w:pPr>
      <w:r>
        <w:t xml:space="preserve">Row count is measured against the 10M threshold, and downstream-system count against the 10-system threshold, at each quarterly review (Section 2, WP-0003.J).</w:t>
      </w:r>
    </w:p>
    <w:p>
      <w:pPr>
        <w:pStyle w:val="ListParagraph"/>
        <w:numPr>
          <w:ilvl w:val="0"/>
          <w:numId w:val="1"/>
        </w:numPr>
        <w:spacing w:after="80"/>
      </w:pPr>
      <w:r>
        <w:t xml:space="preserve">Certification Level L3 (standing) is maintained; L4 is achieved only if triggered and verified (Section 4 §8).</w:t>
      </w:r>
    </w:p>
    <w:p>
      <w:r>
        <w:br w:type="page"/>
      </w:r>
    </w:p>
    <w:p>
      <w:pPr>
        <w:pStyle w:val="Heading2"/>
        <w:spacing w:after="140" w:before="280"/>
      </w:pPr>
      <w:r>
        <w:t xml:space="preserve">WP-0004 — Document the Accepted Direct-FK Taxonomy Pattern and Establish a Per-Release Denormalization Check</w:t>
      </w:r>
    </w:p>
    <w:p>
      <w:pPr>
        <w:pStyle w:val="Heading3"/>
        <w:spacing w:after="100" w:before="220"/>
      </w:pPr>
      <w:r>
        <w:t xml:space="preserve">A. Implementation Objective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Objective</w:t>
            </w:r>
          </w:p>
        </w:tc>
        <w:tc>
          <w:tcPr>
            <w:tcW w:type="dxa" w:w="7000"/>
            <w:vAlign w:val="center"/>
          </w:tcPr>
          <w:p>
            <w:r>
              <w:rPr>
                <w:b w:val="false"/>
                <w:bCs w:val="false"/>
                <w:sz w:val="19"/>
                <w:szCs w:val="19"/>
              </w:rPr>
              <w:t xml:space="preserve">Document the accepted direct-FK taxonomy pattern and establish a per-release automated denormalization check, executing EGD-0003 (Phase A.3 §4; Section 2, WP-0004.A, D).</w:t>
            </w:r>
          </w:p>
        </w:tc>
      </w:tr>
      <w:tr>
        <w:tc>
          <w:tcPr>
            <w:tcW w:type="dxa" w:w="2600"/>
            <w:shd w:fill="D9E2F3" w:val="clear"/>
            <w:vAlign w:val="center"/>
          </w:tcPr>
          <w:p>
            <w:r>
              <w:rPr>
                <w:b/>
                <w:bCs/>
                <w:sz w:val="19"/>
                <w:szCs w:val="19"/>
              </w:rPr>
              <w:t xml:space="preserve">Expected Outcome</w:t>
            </w:r>
          </w:p>
        </w:tc>
        <w:tc>
          <w:tcPr>
            <w:tcW w:type="dxa" w:w="7000"/>
            <w:vAlign w:val="center"/>
          </w:tcPr>
          <w:p>
            <w:r>
              <w:rPr>
                <w:b w:val="false"/>
                <w:bCs w:val="false"/>
                <w:sz w:val="19"/>
                <w:szCs w:val="19"/>
              </w:rPr>
              <w:t xml:space="preserve">Published pattern documentation plus an operating per-release automated denormalization check (Section 2, WP-0004.C).</w:t>
            </w:r>
          </w:p>
        </w:tc>
      </w:tr>
      <w:tr>
        <w:tc>
          <w:tcPr>
            <w:tcW w:type="dxa" w:w="2600"/>
            <w:shd w:fill="D9E2F3" w:val="clear"/>
            <w:vAlign w:val="center"/>
          </w:tcPr>
          <w:p>
            <w:r>
              <w:rPr>
                <w:b/>
                <w:bCs/>
                <w:sz w:val="19"/>
                <w:szCs w:val="19"/>
              </w:rPr>
              <w:t xml:space="preserve">Engineering Intent</w:t>
            </w:r>
          </w:p>
        </w:tc>
        <w:tc>
          <w:tcPr>
            <w:tcW w:type="dxa" w:w="7000"/>
            <w:vAlign w:val="center"/>
          </w:tcPr>
          <w:p>
            <w:r>
              <w:rPr>
                <w:b w:val="false"/>
                <w:bCs w:val="false"/>
                <w:sz w:val="19"/>
                <w:szCs w:val="19"/>
              </w:rPr>
              <w:t xml:space="preserve">Execute EGD-0003 against AR-0003, within Portfolio 1 — Enterprise Data Platform, Wave 2 — Platform Stabilization.</w:t>
            </w:r>
          </w:p>
        </w:tc>
      </w:tr>
      <w:tr>
        <w:tc>
          <w:tcPr>
            <w:tcW w:type="dxa" w:w="2600"/>
            <w:shd w:fill="D9E2F3" w:val="clear"/>
            <w:vAlign w:val="center"/>
          </w:tcPr>
          <w:p>
            <w:r>
              <w:rPr>
                <w:b/>
                <w:bCs/>
                <w:sz w:val="19"/>
                <w:szCs w:val="19"/>
              </w:rPr>
              <w:t xml:space="preserve">Completion Target</w:t>
            </w:r>
          </w:p>
        </w:tc>
        <w:tc>
          <w:tcPr>
            <w:tcW w:type="dxa" w:w="7000"/>
            <w:vAlign w:val="center"/>
          </w:tcPr>
          <w:p>
            <w:r>
              <w:rPr>
                <w:b w:val="false"/>
                <w:bCs w:val="false"/>
                <w:sz w:val="19"/>
                <w:szCs w:val="19"/>
              </w:rPr>
              <w:t xml:space="preserve">Per-release automated denormalization check passing with zero violations (Section 2, WP-0004.C).</w:t>
            </w:r>
          </w:p>
        </w:tc>
      </w:tr>
    </w:tbl>
    <w:p>
      <w:pPr>
        <w:spacing w:after="120"/>
      </w:pPr>
    </w:p>
    <w:p>
      <w:pPr>
        <w:pStyle w:val="Heading3"/>
        <w:spacing w:after="100" w:before="220"/>
      </w:pPr>
      <w:r>
        <w:t xml:space="preserve">B. Implementation Preconditions</w:t>
      </w:r>
    </w:p>
    <w:p>
      <w:pPr>
        <w:pStyle w:val="ListParagraph"/>
        <w:numPr>
          <w:ilvl w:val="0"/>
          <w:numId w:val="1"/>
        </w:numPr>
        <w:spacing w:after="80"/>
      </w:pPr>
      <w:r>
        <w:t xml:space="preserve">Required approvals: EGD-0003 is already Accepted, conditionally, in Phase A.3 — no new governance approval required.</w:t>
      </w:r>
    </w:p>
    <w:p>
      <w:pPr>
        <w:pStyle w:val="ListParagraph"/>
        <w:numPr>
          <w:ilvl w:val="0"/>
          <w:numId w:val="1"/>
        </w:numPr>
        <w:spacing w:after="80"/>
      </w:pPr>
      <w:r>
        <w:t xml:space="preserve">Required governance decisions: None outstanding; ongoing condition monitoring only.</w:t>
      </w:r>
    </w:p>
    <w:p>
      <w:pPr>
        <w:pStyle w:val="ListParagraph"/>
        <w:numPr>
          <w:ilvl w:val="0"/>
          <w:numId w:val="1"/>
        </w:numPr>
        <w:spacing w:after="80"/>
      </w:pPr>
      <w:r>
        <w:t xml:space="preserve">Required repository state: Database repository and CI/release pipeline, to the extent one already exists (Section 2, WP-0004.D).</w:t>
      </w:r>
    </w:p>
    <w:p>
      <w:pPr>
        <w:pStyle w:val="ListParagraph"/>
        <w:numPr>
          <w:ilvl w:val="0"/>
          <w:numId w:val="1"/>
        </w:numPr>
        <w:spacing w:after="80"/>
      </w:pPr>
      <w:r>
        <w:t xml:space="preserve">Required documentation: The direct-FK reference pattern already implemented (e.g., academic_boards.country_id-style keys) (Section 2, WP-0004.D).</w:t>
      </w:r>
    </w:p>
    <w:p>
      <w:pPr>
        <w:pStyle w:val="ListParagraph"/>
        <w:numPr>
          <w:ilvl w:val="0"/>
          <w:numId w:val="1"/>
        </w:numPr>
        <w:spacing w:after="80"/>
      </w:pPr>
      <w:r>
        <w:t xml:space="preserve">Required dependencies: WP-0001's naming clarity is beneficial but non-blocking (Section 2, WP-0004.F).</w:t>
      </w:r>
    </w:p>
    <w:p>
      <w:pPr>
        <w:pStyle w:val="ListParagraph"/>
        <w:numPr>
          <w:ilvl w:val="0"/>
          <w:numId w:val="1"/>
        </w:numPr>
        <w:spacing w:after="80"/>
      </w:pPr>
      <w:r>
        <w:t xml:space="preserve">Required ownership: Data Governance Owner role is named per Phase B §9 but carries no currently-assigned individual pending WP-0006 (KPI-08 = 0%).</w:t>
      </w:r>
    </w:p>
    <w:p>
      <w:pPr>
        <w:spacing w:after="120"/>
      </w:pPr>
    </w:p>
    <w:p>
      <w:pPr>
        <w:pStyle w:val="Heading3"/>
        <w:spacing w:after="100" w:before="220"/>
      </w:pPr>
      <w:r>
        <w:t xml:space="preserve">C. Implementation Activities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500"/>
        <w:gridCol w:w="2200"/>
        <w:gridCol w:w="2200"/>
      </w:tblGrid>
      <w:tr>
        <w:tc>
          <w:tcPr>
            <w:tcW w:type="dxa" w:w="500"/>
            <w:shd w:fill="D9E2F3" w:val="clear"/>
            <w:vAlign w:val="center"/>
          </w:tcPr>
          <w:p>
            <w:r>
              <w:rPr>
                <w:b/>
                <w:bCs/>
                <w:sz w:val="19"/>
                <w:szCs w:val="19"/>
              </w:rPr>
              <w:t xml:space="preserve">#</w:t>
            </w:r>
          </w:p>
        </w:tc>
        <w:tc>
          <w:tcPr>
            <w:tcW w:type="dxa" w:w="3400"/>
            <w:shd w:fill="D9E2F3" w:val="clear"/>
            <w:vAlign w:val="center"/>
          </w:tcPr>
          <w:p>
            <w:r>
              <w:rPr>
                <w:b/>
                <w:bCs/>
                <w:sz w:val="19"/>
                <w:szCs w:val="19"/>
              </w:rPr>
              <w:t xml:space="preserve">Activity Description</w:t>
            </w:r>
          </w:p>
        </w:tc>
        <w:tc>
          <w:tcPr>
            <w:tcW w:type="dxa" w:w="1500"/>
            <w:shd w:fill="D9E2F3" w:val="clear"/>
            <w:vAlign w:val="center"/>
          </w:tcPr>
          <w:p>
            <w:r>
              <w:rPr>
                <w:b/>
                <w:bCs/>
                <w:sz w:val="19"/>
                <w:szCs w:val="19"/>
              </w:rPr>
              <w:t xml:space="preserve">Repository Affected</w:t>
            </w:r>
          </w:p>
        </w:tc>
        <w:tc>
          <w:tcPr>
            <w:tcW w:type="dxa" w:w="2200"/>
            <w:shd w:fill="D9E2F3" w:val="clear"/>
            <w:vAlign w:val="center"/>
          </w:tcPr>
          <w:p>
            <w:r>
              <w:rPr>
                <w:b/>
                <w:bCs/>
                <w:sz w:val="19"/>
                <w:szCs w:val="19"/>
              </w:rPr>
              <w:t xml:space="preserve">Expected Output</w:t>
            </w:r>
          </w:p>
        </w:tc>
        <w:tc>
          <w:tcPr>
            <w:tcW w:type="dxa" w:w="2200"/>
            <w:shd w:fill="D9E2F3" w:val="clear"/>
            <w:vAlign w:val="center"/>
          </w:tcPr>
          <w:p>
            <w:r>
              <w:rPr>
                <w:b/>
                <w:bCs/>
                <w:sz w:val="19"/>
                <w:szCs w:val="19"/>
              </w:rPr>
              <w:t xml:space="preserve">Verification Checkpoint</w:t>
            </w:r>
          </w:p>
        </w:tc>
      </w:tr>
      <w:tr>
        <w:tc>
          <w:tcPr>
            <w:tcW w:type="dxa" w:w="500"/>
            <w:vAlign w:val="center"/>
          </w:tcPr>
          <w:p>
            <w:r>
              <w:rPr>
                <w:b w:val="false"/>
                <w:bCs w:val="false"/>
                <w:sz w:val="19"/>
                <w:szCs w:val="19"/>
              </w:rPr>
              <w:t xml:space="preserve">1</w:t>
            </w:r>
          </w:p>
        </w:tc>
        <w:tc>
          <w:tcPr>
            <w:tcW w:type="dxa" w:w="3400"/>
            <w:vAlign w:val="center"/>
          </w:tcPr>
          <w:p>
            <w:r>
              <w:rPr>
                <w:b w:val="false"/>
                <w:bCs w:val="false"/>
                <w:sz w:val="19"/>
                <w:szCs w:val="19"/>
              </w:rPr>
              <w:t xml:space="preserve">Data Governance Owner authors the pattern documentation, describing the accepted direct-FK taxonomy pattern.</w:t>
            </w:r>
          </w:p>
        </w:tc>
        <w:tc>
          <w:tcPr>
            <w:tcW w:type="dxa" w:w="1500"/>
            <w:vAlign w:val="center"/>
          </w:tcPr>
          <w:p>
            <w:r>
              <w:rPr>
                <w:b w:val="false"/>
                <w:bCs w:val="false"/>
                <w:sz w:val="19"/>
                <w:szCs w:val="19"/>
              </w:rPr>
              <w:t xml:space="preserve">Documentation</w:t>
            </w:r>
          </w:p>
        </w:tc>
        <w:tc>
          <w:tcPr>
            <w:tcW w:type="dxa" w:w="2200"/>
            <w:vAlign w:val="center"/>
          </w:tcPr>
          <w:p>
            <w:r>
              <w:rPr>
                <w:b w:val="false"/>
                <w:bCs w:val="false"/>
                <w:sz w:val="19"/>
                <w:szCs w:val="19"/>
              </w:rPr>
              <w:t xml:space="preserve">Published pattern documentation.</w:t>
            </w:r>
          </w:p>
        </w:tc>
        <w:tc>
          <w:tcPr>
            <w:tcW w:type="dxa" w:w="2200"/>
            <w:vAlign w:val="center"/>
          </w:tcPr>
          <w:p>
            <w:r>
              <w:rPr>
                <w:b w:val="false"/>
                <w:bCs w:val="false"/>
                <w:sz w:val="19"/>
                <w:szCs w:val="19"/>
              </w:rPr>
              <w:t xml:space="preserve">Review by Data Governance Owner.</w:t>
            </w:r>
          </w:p>
        </w:tc>
      </w:tr>
      <w:tr>
        <w:tc>
          <w:tcPr>
            <w:tcW w:type="dxa" w:w="500"/>
            <w:vAlign w:val="center"/>
          </w:tcPr>
          <w:p>
            <w:r>
              <w:rPr>
                <w:b w:val="false"/>
                <w:bCs w:val="false"/>
                <w:sz w:val="19"/>
                <w:szCs w:val="19"/>
              </w:rPr>
              <w:t xml:space="preserve">2</w:t>
            </w:r>
          </w:p>
        </w:tc>
        <w:tc>
          <w:tcPr>
            <w:tcW w:type="dxa" w:w="3400"/>
            <w:vAlign w:val="center"/>
          </w:tcPr>
          <w:p>
            <w:r>
              <w:rPr>
                <w:b w:val="false"/>
                <w:bCs w:val="false"/>
                <w:sz w:val="19"/>
                <w:szCs w:val="19"/>
              </w:rPr>
              <w:t xml:space="preserve">Design the automated check: scan every student-owned table's columns for denormalized taxonomy facts.</w:t>
            </w:r>
          </w:p>
        </w:tc>
        <w:tc>
          <w:tcPr>
            <w:tcW w:type="dxa" w:w="1500"/>
            <w:vAlign w:val="center"/>
          </w:tcPr>
          <w:p>
            <w:r>
              <w:rPr>
                <w:b w:val="false"/>
                <w:bCs w:val="false"/>
                <w:sz w:val="19"/>
                <w:szCs w:val="19"/>
              </w:rPr>
              <w:t xml:space="preserve">Test</w:t>
            </w:r>
          </w:p>
        </w:tc>
        <w:tc>
          <w:tcPr>
            <w:tcW w:type="dxa" w:w="2200"/>
            <w:vAlign w:val="center"/>
          </w:tcPr>
          <w:p>
            <w:r>
              <w:rPr>
                <w:b w:val="false"/>
                <w:bCs w:val="false"/>
                <w:sz w:val="19"/>
                <w:szCs w:val="19"/>
              </w:rPr>
              <w:t xml:space="preserve">Automated check design.</w:t>
            </w:r>
          </w:p>
        </w:tc>
        <w:tc>
          <w:tcPr>
            <w:tcW w:type="dxa" w:w="2200"/>
            <w:vAlign w:val="center"/>
          </w:tcPr>
          <w:p>
            <w:r>
              <w:rPr>
                <w:b w:val="false"/>
                <w:bCs w:val="false"/>
                <w:sz w:val="19"/>
                <w:szCs w:val="19"/>
              </w:rPr>
              <w:t xml:space="preserve">Design covers all student-owned tables.</w:t>
            </w:r>
          </w:p>
        </w:tc>
      </w:tr>
      <w:tr>
        <w:tc>
          <w:tcPr>
            <w:tcW w:type="dxa" w:w="500"/>
            <w:vAlign w:val="center"/>
          </w:tcPr>
          <w:p>
            <w:r>
              <w:rPr>
                <w:b w:val="false"/>
                <w:bCs w:val="false"/>
                <w:sz w:val="19"/>
                <w:szCs w:val="19"/>
              </w:rPr>
              <w:t xml:space="preserve">3</w:t>
            </w:r>
          </w:p>
        </w:tc>
        <w:tc>
          <w:tcPr>
            <w:tcW w:type="dxa" w:w="3400"/>
            <w:vAlign w:val="center"/>
          </w:tcPr>
          <w:p>
            <w:r>
              <w:rPr>
                <w:b w:val="false"/>
                <w:bCs w:val="false"/>
                <w:sz w:val="19"/>
                <w:szCs w:val="19"/>
              </w:rPr>
              <w:t xml:space="preserve">Integrate the check into the release pipeline, to the extent one already exists.</w:t>
            </w:r>
          </w:p>
        </w:tc>
        <w:tc>
          <w:tcPr>
            <w:tcW w:type="dxa" w:w="1500"/>
            <w:vAlign w:val="center"/>
          </w:tcPr>
          <w:p>
            <w:r>
              <w:rPr>
                <w:b w:val="false"/>
                <w:bCs w:val="false"/>
                <w:sz w:val="19"/>
                <w:szCs w:val="19"/>
              </w:rPr>
              <w:t xml:space="preserve">Test</w:t>
            </w:r>
          </w:p>
        </w:tc>
        <w:tc>
          <w:tcPr>
            <w:tcW w:type="dxa" w:w="2200"/>
            <w:vAlign w:val="center"/>
          </w:tcPr>
          <w:p>
            <w:r>
              <w:rPr>
                <w:b w:val="false"/>
                <w:bCs w:val="false"/>
                <w:sz w:val="19"/>
                <w:szCs w:val="19"/>
              </w:rPr>
              <w:t xml:space="preserve">Operating per-release check.</w:t>
            </w:r>
          </w:p>
        </w:tc>
        <w:tc>
          <w:tcPr>
            <w:tcW w:type="dxa" w:w="2200"/>
            <w:vAlign w:val="center"/>
          </w:tcPr>
          <w:p>
            <w:r>
              <w:rPr>
                <w:b w:val="false"/>
                <w:bCs w:val="false"/>
                <w:sz w:val="19"/>
                <w:szCs w:val="19"/>
              </w:rPr>
              <w:t xml:space="preserve">Check executes automatically at release time.</w:t>
            </w:r>
          </w:p>
        </w:tc>
      </w:tr>
      <w:tr>
        <w:tc>
          <w:tcPr>
            <w:tcW w:type="dxa" w:w="500"/>
            <w:vAlign w:val="center"/>
          </w:tcPr>
          <w:p>
            <w:r>
              <w:rPr>
                <w:b w:val="false"/>
                <w:bCs w:val="false"/>
                <w:sz w:val="19"/>
                <w:szCs w:val="19"/>
              </w:rPr>
              <w:t xml:space="preserve">4</w:t>
            </w:r>
          </w:p>
        </w:tc>
        <w:tc>
          <w:tcPr>
            <w:tcW w:type="dxa" w:w="3400"/>
            <w:vAlign w:val="center"/>
          </w:tcPr>
          <w:p>
            <w:r>
              <w:rPr>
                <w:b w:val="false"/>
                <w:bCs w:val="false"/>
                <w:sz w:val="19"/>
                <w:szCs w:val="19"/>
              </w:rPr>
              <w:t xml:space="preserve">Run the check each release; log the result as the VAR-03 per-release review.</w:t>
            </w:r>
          </w:p>
        </w:tc>
        <w:tc>
          <w:tcPr>
            <w:tcW w:type="dxa" w:w="1500"/>
            <w:vAlign w:val="center"/>
          </w:tcPr>
          <w:p>
            <w:r>
              <w:rPr>
                <w:b w:val="false"/>
                <w:bCs w:val="false"/>
                <w:sz w:val="19"/>
                <w:szCs w:val="19"/>
              </w:rPr>
              <w:t xml:space="preserve">Governance record</w:t>
            </w:r>
          </w:p>
        </w:tc>
        <w:tc>
          <w:tcPr>
            <w:tcW w:type="dxa" w:w="2200"/>
            <w:vAlign w:val="center"/>
          </w:tcPr>
          <w:p>
            <w:r>
              <w:rPr>
                <w:b w:val="false"/>
                <w:bCs w:val="false"/>
                <w:sz w:val="19"/>
                <w:szCs w:val="19"/>
              </w:rPr>
              <w:t xml:space="preserve">Per-release check output; VAR-03 log entry.</w:t>
            </w:r>
          </w:p>
        </w:tc>
        <w:tc>
          <w:tcPr>
            <w:tcW w:type="dxa" w:w="2200"/>
            <w:vAlign w:val="center"/>
          </w:tcPr>
          <w:p>
            <w:r>
              <w:rPr>
                <w:b w:val="false"/>
                <w:bCs w:val="false"/>
                <w:sz w:val="19"/>
                <w:szCs w:val="19"/>
              </w:rPr>
              <w:t xml:space="preserve">Log entry recorded for every release.</w:t>
            </w:r>
          </w:p>
        </w:tc>
      </w:tr>
      <w:tr>
        <w:tc>
          <w:tcPr>
            <w:tcW w:type="dxa" w:w="500"/>
            <w:vAlign w:val="center"/>
          </w:tcPr>
          <w:p>
            <w:r>
              <w:rPr>
                <w:b w:val="false"/>
                <w:bCs w:val="false"/>
                <w:sz w:val="19"/>
                <w:szCs w:val="19"/>
              </w:rPr>
              <w:t xml:space="preserve">5</w:t>
            </w:r>
          </w:p>
        </w:tc>
        <w:tc>
          <w:tcPr>
            <w:tcW w:type="dxa" w:w="3400"/>
            <w:vAlign w:val="center"/>
          </w:tcPr>
          <w:p>
            <w:r>
              <w:rPr>
                <w:b w:val="false"/>
                <w:bCs w:val="false"/>
                <w:sz w:val="19"/>
                <w:szCs w:val="19"/>
              </w:rPr>
              <w:t xml:space="preserve">If a violation is found, do not retrofit inline — scope the retrofit as a separate contingency action.</w:t>
            </w:r>
          </w:p>
        </w:tc>
        <w:tc>
          <w:tcPr>
            <w:tcW w:type="dxa" w:w="1500"/>
            <w:vAlign w:val="center"/>
          </w:tcPr>
          <w:p>
            <w:r>
              <w:rPr>
                <w:b w:val="false"/>
                <w:bCs w:val="false"/>
                <w:sz w:val="19"/>
                <w:szCs w:val="19"/>
              </w:rPr>
              <w:t xml:space="preserve">Documentation</w:t>
            </w:r>
          </w:p>
        </w:tc>
        <w:tc>
          <w:tcPr>
            <w:tcW w:type="dxa" w:w="2200"/>
            <w:vAlign w:val="center"/>
          </w:tcPr>
          <w:p>
            <w:r>
              <w:rPr>
                <w:b w:val="false"/>
                <w:bCs w:val="false"/>
                <w:sz w:val="19"/>
                <w:szCs w:val="19"/>
              </w:rPr>
              <w:t xml:space="preserve">Violation record and retrofit scoping note, if applicable.</w:t>
            </w:r>
          </w:p>
        </w:tc>
        <w:tc>
          <w:tcPr>
            <w:tcW w:type="dxa" w:w="2200"/>
            <w:vAlign w:val="center"/>
          </w:tcPr>
          <w:p>
            <w:r>
              <w:rPr>
                <w:b w:val="false"/>
                <w:bCs w:val="false"/>
                <w:sz w:val="19"/>
                <w:szCs w:val="19"/>
              </w:rPr>
              <w:t xml:space="preserve">Retrofit scoped, not silently absorbed into this Work Package.</w:t>
            </w:r>
          </w:p>
        </w:tc>
      </w:tr>
    </w:tbl>
    <w:p>
      <w:pPr>
        <w:spacing w:after="120"/>
      </w:pPr>
    </w:p>
    <w:p>
      <w:pPr>
        <w:pStyle w:val="Heading3"/>
        <w:spacing w:after="100" w:before="220"/>
      </w:pPr>
      <w:r>
        <w:t xml:space="preserve">D. Repository Changes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9E2F3" w:val="clear"/>
            <w:vAlign w:val="center"/>
          </w:tcPr>
          <w:p>
            <w:r>
              <w:rPr>
                <w:b/>
                <w:bCs/>
                <w:sz w:val="19"/>
                <w:szCs w:val="19"/>
              </w:rPr>
              <w:t xml:space="preserve">Repository</w:t>
            </w:r>
          </w:p>
        </w:tc>
        <w:tc>
          <w:tcPr>
            <w:tcW w:type="dxa" w:w="7200"/>
            <w:shd w:fill="D9E2F3" w:val="clear"/>
            <w:vAlign w:val="center"/>
          </w:tcPr>
          <w:p>
            <w:r>
              <w:rPr>
                <w:b/>
                <w:bCs/>
                <w:sz w:val="19"/>
                <w:szCs w:val="19"/>
              </w:rPr>
              <w:t xml:space="preserve">Implementation Change</w:t>
            </w:r>
          </w:p>
        </w:tc>
      </w:tr>
      <w:tr>
        <w:tc>
          <w:tcPr>
            <w:tcW w:type="dxa" w:w="2400"/>
            <w:vAlign w:val="center"/>
          </w:tcPr>
          <w:p>
            <w:r>
              <w:rPr>
                <w:b w:val="false"/>
                <w:bCs w:val="false"/>
                <w:sz w:val="19"/>
                <w:szCs w:val="19"/>
              </w:rPr>
              <w:t xml:space="preserve">Documentation Repository</w:t>
            </w:r>
          </w:p>
        </w:tc>
        <w:tc>
          <w:tcPr>
            <w:tcW w:type="dxa" w:w="7200"/>
            <w:vAlign w:val="center"/>
          </w:tcPr>
          <w:p>
            <w:r>
              <w:rPr>
                <w:b w:val="false"/>
                <w:bCs w:val="false"/>
                <w:sz w:val="19"/>
                <w:szCs w:val="19"/>
              </w:rPr>
              <w:t xml:space="preserve">Taxonomy pattern documentation, the primary documentation deliverable of this Work Package (Section 2, WP-0004.D, G).</w:t>
            </w:r>
          </w:p>
        </w:tc>
      </w:tr>
      <w:tr>
        <w:tc>
          <w:tcPr>
            <w:tcW w:type="dxa" w:w="2400"/>
            <w:vAlign w:val="center"/>
          </w:tcPr>
          <w:p>
            <w:r>
              <w:rPr>
                <w:b w:val="false"/>
                <w:bCs w:val="false"/>
                <w:sz w:val="19"/>
                <w:szCs w:val="19"/>
              </w:rPr>
              <w:t xml:space="preserve">Database Repository</w:t>
            </w:r>
          </w:p>
        </w:tc>
        <w:tc>
          <w:tcPr>
            <w:tcW w:type="dxa" w:w="7200"/>
            <w:vAlign w:val="center"/>
          </w:tcPr>
          <w:p>
            <w:r>
              <w:rPr>
                <w:b w:val="false"/>
                <w:bCs w:val="false"/>
                <w:sz w:val="19"/>
                <w:szCs w:val="19"/>
              </w:rPr>
              <w:t xml:space="preserve">No Approved Repository Change in baseline scope — the pattern is already implemented and accepted conditionally. A retrofit to _code+version applies only as contingency if a denormalized taxonomy fact or versioning need is found (Section 2, WP-0004.D, G).</w:t>
            </w:r>
          </w:p>
        </w:tc>
      </w:tr>
      <w:tr>
        <w:tc>
          <w:tcPr>
            <w:tcW w:type="dxa" w:w="2400"/>
            <w:vAlign w:val="center"/>
          </w:tcPr>
          <w:p>
            <w:r>
              <w:rPr>
                <w:b w:val="false"/>
                <w:bCs w:val="false"/>
                <w:sz w:val="19"/>
                <w:szCs w:val="19"/>
              </w:rPr>
              <w:t xml:space="preserve">Test Repository</w:t>
            </w:r>
          </w:p>
        </w:tc>
        <w:tc>
          <w:tcPr>
            <w:tcW w:type="dxa" w:w="7200"/>
            <w:vAlign w:val="center"/>
          </w:tcPr>
          <w:p>
            <w:r>
              <w:rPr>
                <w:b w:val="false"/>
                <w:bCs w:val="false"/>
                <w:sz w:val="19"/>
                <w:szCs w:val="19"/>
              </w:rPr>
              <w:t xml:space="preserve">CI/release-pipeline automated denormalization check artifact (Section 2, WP-0004.D, G).</w:t>
            </w:r>
          </w:p>
        </w:tc>
      </w:tr>
    </w:tbl>
    <w:p>
      <w:pPr>
        <w:spacing w:after="120"/>
      </w:pPr>
    </w:p>
    <w:p>
      <w:pPr>
        <w:pStyle w:val="Heading3"/>
        <w:spacing w:after="100" w:before="220"/>
      </w:pPr>
      <w:r>
        <w:t xml:space="preserve">E. Verification Activities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Engineering Verification</w:t>
            </w:r>
          </w:p>
        </w:tc>
        <w:tc>
          <w:tcPr>
            <w:tcW w:type="dxa" w:w="7000"/>
            <w:vAlign w:val="center"/>
          </w:tcPr>
          <w:p>
            <w:r>
              <w:rPr>
                <w:b w:val="false"/>
                <w:bCs w:val="false"/>
                <w:sz w:val="19"/>
                <w:szCs w:val="19"/>
              </w:rPr>
              <w:t xml:space="preserve">Per-release automated denormalization check, run at every release cycle (Section 4 §8).</w:t>
            </w:r>
          </w:p>
        </w:tc>
      </w:tr>
      <w:tr>
        <w:tc>
          <w:tcPr>
            <w:tcW w:type="dxa" w:w="2600"/>
            <w:shd w:fill="D9E2F3" w:val="clear"/>
            <w:vAlign w:val="center"/>
          </w:tcPr>
          <w:p>
            <w:r>
              <w:rPr>
                <w:b/>
                <w:bCs/>
                <w:sz w:val="19"/>
                <w:szCs w:val="19"/>
              </w:rPr>
              <w:t xml:space="preserve">Repository Verification</w:t>
            </w:r>
          </w:p>
        </w:tc>
        <w:tc>
          <w:tcPr>
            <w:tcW w:type="dxa" w:w="7000"/>
            <w:vAlign w:val="center"/>
          </w:tcPr>
          <w:p>
            <w:r>
              <w:rPr>
                <w:b w:val="false"/>
                <w:bCs w:val="false"/>
                <w:sz w:val="19"/>
                <w:szCs w:val="19"/>
              </w:rPr>
              <w:t xml:space="preserve">CI/release-pipeline check artifact confirmed operating.</w:t>
            </w:r>
          </w:p>
        </w:tc>
      </w:tr>
      <w:tr>
        <w:tc>
          <w:tcPr>
            <w:tcW w:type="dxa" w:w="2600"/>
            <w:shd w:fill="D9E2F3" w:val="clear"/>
            <w:vAlign w:val="center"/>
          </w:tcPr>
          <w:p>
            <w:r>
              <w:rPr>
                <w:b/>
                <w:bCs/>
                <w:sz w:val="19"/>
                <w:szCs w:val="19"/>
              </w:rPr>
              <w:t xml:space="preserve">Governance Verification</w:t>
            </w:r>
          </w:p>
        </w:tc>
        <w:tc>
          <w:tcPr>
            <w:tcW w:type="dxa" w:w="7000"/>
            <w:vAlign w:val="center"/>
          </w:tcPr>
          <w:p>
            <w:r>
              <w:rPr>
                <w:b w:val="false"/>
                <w:bCs w:val="false"/>
                <w:sz w:val="19"/>
                <w:szCs w:val="19"/>
              </w:rPr>
              <w:t xml:space="preserve">VAR-03 per-release review log updated at every release.</w:t>
            </w:r>
          </w:p>
        </w:tc>
      </w:tr>
      <w:tr>
        <w:tc>
          <w:tcPr>
            <w:tcW w:type="dxa" w:w="2600"/>
            <w:shd w:fill="D9E2F3" w:val="clear"/>
            <w:vAlign w:val="center"/>
          </w:tcPr>
          <w:p>
            <w:r>
              <w:rPr>
                <w:b/>
                <w:bCs/>
                <w:sz w:val="19"/>
                <w:szCs w:val="19"/>
              </w:rPr>
              <w:t xml:space="preserve">Documentation Verification</w:t>
            </w:r>
          </w:p>
        </w:tc>
        <w:tc>
          <w:tcPr>
            <w:tcW w:type="dxa" w:w="7000"/>
            <w:vAlign w:val="center"/>
          </w:tcPr>
          <w:p>
            <w:r>
              <w:rPr>
                <w:b w:val="false"/>
                <w:bCs w:val="false"/>
                <w:sz w:val="19"/>
                <w:szCs w:val="19"/>
              </w:rPr>
              <w:t xml:space="preserve">Pattern documentation reviewed by the Data Governance Owner for completeness.</w:t>
            </w:r>
          </w:p>
        </w:tc>
      </w:tr>
      <w:tr>
        <w:tc>
          <w:tcPr>
            <w:tcW w:type="dxa" w:w="2600"/>
            <w:shd w:fill="D9E2F3" w:val="clear"/>
            <w:vAlign w:val="center"/>
          </w:tcPr>
          <w:p>
            <w:r>
              <w:rPr>
                <w:b/>
                <w:bCs/>
                <w:sz w:val="19"/>
                <w:szCs w:val="19"/>
              </w:rPr>
              <w:t xml:space="preserve">Completion Evidence</w:t>
            </w:r>
          </w:p>
        </w:tc>
        <w:tc>
          <w:tcPr>
            <w:tcW w:type="dxa" w:w="7000"/>
            <w:vAlign w:val="center"/>
          </w:tcPr>
          <w:p>
            <w:r>
              <w:rPr>
                <w:b w:val="false"/>
                <w:bCs w:val="false"/>
                <w:sz w:val="19"/>
                <w:szCs w:val="19"/>
              </w:rPr>
              <w:t xml:space="preserve">Published pattern documentation; operating automated check; VAR-03 review log with zero violations recorded.</w:t>
            </w:r>
          </w:p>
        </w:tc>
      </w:tr>
    </w:tbl>
    <w:p>
      <w:pPr>
        <w:spacing w:after="120"/>
      </w:pPr>
    </w:p>
    <w:p>
      <w:pPr>
        <w:pStyle w:val="Heading3"/>
        <w:spacing w:after="100" w:before="220"/>
      </w:pPr>
      <w:r>
        <w:t xml:space="preserve">F. Rollback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Rollback Trigger</w:t>
            </w:r>
          </w:p>
        </w:tc>
        <w:tc>
          <w:tcPr>
            <w:tcW w:type="dxa" w:w="7000"/>
            <w:vAlign w:val="center"/>
          </w:tcPr>
          <w:p>
            <w:r>
              <w:rPr>
                <w:b w:val="false"/>
                <w:bCs w:val="false"/>
                <w:sz w:val="19"/>
                <w:szCs w:val="19"/>
              </w:rPr>
              <w:t xml:space="preserve">Baseline scope (documentation and automated check) carries no database change and therefore no rollback trigger. Applicable only to the contingency retrofit, if EGD-0003's condition is triggered by a confirmed violation.</w:t>
            </w:r>
          </w:p>
        </w:tc>
      </w:tr>
      <w:tr>
        <w:tc>
          <w:tcPr>
            <w:tcW w:type="dxa" w:w="2600"/>
            <w:shd w:fill="D9E2F3" w:val="clear"/>
            <w:vAlign w:val="center"/>
          </w:tcPr>
          <w:p>
            <w:r>
              <w:rPr>
                <w:b/>
                <w:bCs/>
                <w:sz w:val="19"/>
                <w:szCs w:val="19"/>
              </w:rPr>
              <w:t xml:space="preserve">Rollback Approach</w:t>
            </w:r>
          </w:p>
        </w:tc>
        <w:tc>
          <w:tcPr>
            <w:tcW w:type="dxa" w:w="7000"/>
            <w:vAlign w:val="center"/>
          </w:tcPr>
          <w:p>
            <w:r>
              <w:rPr>
                <w:b w:val="false"/>
                <w:bCs w:val="false"/>
                <w:sz w:val="19"/>
                <w:szCs w:val="19"/>
              </w:rPr>
              <w:t xml:space="preserve">Per the AR-0010/EGD-0009 accepted standard, any contingency retrofit migration is idempotent and rollback-ready by design.</w:t>
            </w:r>
          </w:p>
        </w:tc>
      </w:tr>
      <w:tr>
        <w:tc>
          <w:tcPr>
            <w:tcW w:type="dxa" w:w="2600"/>
            <w:shd w:fill="D9E2F3" w:val="clear"/>
            <w:vAlign w:val="center"/>
          </w:tcPr>
          <w:p>
            <w:r>
              <w:rPr>
                <w:b/>
                <w:bCs/>
                <w:sz w:val="19"/>
                <w:szCs w:val="19"/>
              </w:rPr>
              <w:t xml:space="preserve">Repository Restoration</w:t>
            </w:r>
          </w:p>
        </w:tc>
        <w:tc>
          <w:tcPr>
            <w:tcW w:type="dxa" w:w="7000"/>
            <w:vAlign w:val="center"/>
          </w:tcPr>
          <w:p>
            <w:r>
              <w:rPr>
                <w:b w:val="false"/>
                <w:bCs w:val="false"/>
                <w:sz w:val="19"/>
                <w:szCs w:val="19"/>
              </w:rPr>
              <w:t xml:space="preserve">Revert the contingency retrofit migration in the database repository to the pre-change direct-FK state, per its accompanying rollback script.</w:t>
            </w:r>
          </w:p>
        </w:tc>
      </w:tr>
      <w:tr>
        <w:tc>
          <w:tcPr>
            <w:tcW w:type="dxa" w:w="2600"/>
            <w:shd w:fill="D9E2F3" w:val="clear"/>
            <w:vAlign w:val="center"/>
          </w:tcPr>
          <w:p>
            <w:r>
              <w:rPr>
                <w:b/>
                <w:bCs/>
                <w:sz w:val="19"/>
                <w:szCs w:val="19"/>
              </w:rPr>
              <w:t xml:space="preserve">Documentation Restoration</w:t>
            </w:r>
          </w:p>
        </w:tc>
        <w:tc>
          <w:tcPr>
            <w:tcW w:type="dxa" w:w="7000"/>
            <w:vAlign w:val="center"/>
          </w:tcPr>
          <w:p>
            <w:r>
              <w:rPr>
                <w:b w:val="false"/>
                <w:bCs w:val="false"/>
                <w:sz w:val="19"/>
                <w:szCs w:val="19"/>
              </w:rPr>
              <w:t xml:space="preserve">Amend the taxonomy pattern documentation to reflect the reverted state.</w:t>
            </w:r>
          </w:p>
        </w:tc>
      </w:tr>
      <w:tr>
        <w:tc>
          <w:tcPr>
            <w:tcW w:type="dxa" w:w="2600"/>
            <w:shd w:fill="D9E2F3" w:val="clear"/>
            <w:vAlign w:val="center"/>
          </w:tcPr>
          <w:p>
            <w:r>
              <w:rPr>
                <w:b/>
                <w:bCs/>
                <w:sz w:val="19"/>
                <w:szCs w:val="19"/>
              </w:rPr>
              <w:t xml:space="preserve">Governance Restoration</w:t>
            </w:r>
          </w:p>
        </w:tc>
        <w:tc>
          <w:tcPr>
            <w:tcW w:type="dxa" w:w="7000"/>
            <w:vAlign w:val="center"/>
          </w:tcPr>
          <w:p>
            <w:r>
              <w:rPr>
                <w:b w:val="false"/>
                <w:bCs w:val="false"/>
                <w:sz w:val="19"/>
                <w:szCs w:val="19"/>
              </w:rPr>
              <w:t xml:space="preserve">Log the reversal as a new VAR-03 review entry; re-open EGD-0003 condition monitoring.</w:t>
            </w:r>
          </w:p>
        </w:tc>
      </w:tr>
    </w:tbl>
    <w:p>
      <w:pPr>
        <w:spacing w:after="120"/>
      </w:pPr>
    </w:p>
    <w:p>
      <w:pPr>
        <w:pStyle w:val="Heading3"/>
        <w:spacing w:after="100" w:before="220"/>
      </w:pPr>
      <w:r>
        <w:t xml:space="preserve">G. Completion Evidence</w:t>
      </w:r>
    </w:p>
    <w:p>
      <w:pPr>
        <w:pStyle w:val="ListParagraph"/>
        <w:numPr>
          <w:ilvl w:val="0"/>
          <w:numId w:val="1"/>
        </w:numPr>
        <w:spacing w:after="80"/>
      </w:pPr>
      <w:r>
        <w:t xml:space="preserve">Published taxonomy pattern documentation.</w:t>
      </w:r>
    </w:p>
    <w:p>
      <w:pPr>
        <w:pStyle w:val="ListParagraph"/>
        <w:numPr>
          <w:ilvl w:val="0"/>
          <w:numId w:val="1"/>
        </w:numPr>
        <w:spacing w:after="80"/>
      </w:pPr>
      <w:r>
        <w:t xml:space="preserve">Operating per-release automated denormalization check.</w:t>
      </w:r>
    </w:p>
    <w:p>
      <w:pPr>
        <w:pStyle w:val="ListParagraph"/>
        <w:numPr>
          <w:ilvl w:val="0"/>
          <w:numId w:val="1"/>
        </w:numPr>
        <w:spacing w:after="80"/>
      </w:pPr>
      <w:r>
        <w:t xml:space="preserve">VAR-03 per-release review log.</w:t>
      </w:r>
    </w:p>
    <w:p>
      <w:pPr>
        <w:spacing w:after="120"/>
      </w:pPr>
    </w:p>
    <w:p>
      <w:pPr>
        <w:pStyle w:val="Heading3"/>
        <w:spacing w:after="100" w:before="220"/>
      </w:pPr>
      <w:r>
        <w:t xml:space="preserve">H. Completion Conditions</w:t>
      </w:r>
    </w:p>
    <w:p>
      <w:pPr>
        <w:pStyle w:val="ListParagraph"/>
        <w:numPr>
          <w:ilvl w:val="0"/>
          <w:numId w:val="1"/>
        </w:numPr>
        <w:spacing w:after="80"/>
      </w:pPr>
      <w:r>
        <w:t xml:space="preserve">Zero denormalization violations detected in the check's operating history (Section 2, WP-0004.J).</w:t>
      </w:r>
    </w:p>
    <w:p>
      <w:pPr>
        <w:pStyle w:val="ListParagraph"/>
        <w:numPr>
          <w:ilvl w:val="0"/>
          <w:numId w:val="1"/>
        </w:numPr>
        <w:spacing w:after="80"/>
      </w:pPr>
      <w:r>
        <w:t xml:space="preserve">KPI-04 Approved Variances (count) remains stable or declines (Section 2, WP-0004.J).</w:t>
      </w:r>
    </w:p>
    <w:p>
      <w:pPr>
        <w:pStyle w:val="ListParagraph"/>
        <w:numPr>
          <w:ilvl w:val="0"/>
          <w:numId w:val="1"/>
        </w:numPr>
        <w:spacing w:after="80"/>
      </w:pPr>
      <w:r>
        <w:t xml:space="preserve">AR-0003 advances toward Certification Level L4 (Section 2, WP-0004.C; Section 4 §8).</w:t>
      </w:r>
    </w:p>
    <w:p>
      <w:r>
        <w:br w:type="page"/>
      </w:r>
    </w:p>
    <w:p>
      <w:pPr>
        <w:pStyle w:val="Heading2"/>
        <w:spacing w:after="140" w:before="280"/>
      </w:pPr>
      <w:r>
        <w:t xml:space="preserve">WP-0005 — Column-Level Access Review for Free-Text/JSON Payload Columns</w:t>
      </w:r>
    </w:p>
    <w:p>
      <w:pPr>
        <w:pStyle w:val="Heading3"/>
        <w:spacing w:after="100" w:before="220"/>
      </w:pPr>
      <w:r>
        <w:t xml:space="preserve">A. Implementation Objective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Objective</w:t>
            </w:r>
          </w:p>
        </w:tc>
        <w:tc>
          <w:tcPr>
            <w:tcW w:type="dxa" w:w="7000"/>
            <w:vAlign w:val="center"/>
          </w:tcPr>
          <w:p>
            <w:r>
              <w:rPr>
                <w:b w:val="false"/>
                <w:bCs w:val="false"/>
                <w:sz w:val="19"/>
                <w:szCs w:val="19"/>
              </w:rPr>
              <w:t xml:space="preserve">Review free-text/JSON payload columns (e.g., cognitive raw responses) for column-level access-control needs, extending AR-0007 beyond the table-level RLS verified under WP-0002 (Phase A.3 §3; Section 2, WP-0005.A, D).</w:t>
            </w:r>
          </w:p>
        </w:tc>
      </w:tr>
      <w:tr>
        <w:tc>
          <w:tcPr>
            <w:tcW w:type="dxa" w:w="2600"/>
            <w:shd w:fill="D9E2F3" w:val="clear"/>
            <w:vAlign w:val="center"/>
          </w:tcPr>
          <w:p>
            <w:r>
              <w:rPr>
                <w:b/>
                <w:bCs/>
                <w:sz w:val="19"/>
                <w:szCs w:val="19"/>
              </w:rPr>
              <w:t xml:space="preserve">Expected Outcome</w:t>
            </w:r>
          </w:p>
        </w:tc>
        <w:tc>
          <w:tcPr>
            <w:tcW w:type="dxa" w:w="7000"/>
            <w:vAlign w:val="center"/>
          </w:tcPr>
          <w:p>
            <w:r>
              <w:rPr>
                <w:b w:val="false"/>
                <w:bCs w:val="false"/>
                <w:sz w:val="19"/>
                <w:szCs w:val="19"/>
              </w:rPr>
              <w:t xml:space="preserve">A column-level access review report with an explicit protection-level decision for every reviewed column (Section 2, WP-0005.C).</w:t>
            </w:r>
          </w:p>
        </w:tc>
      </w:tr>
      <w:tr>
        <w:tc>
          <w:tcPr>
            <w:tcW w:type="dxa" w:w="2600"/>
            <w:shd w:fill="D9E2F3" w:val="clear"/>
            <w:vAlign w:val="center"/>
          </w:tcPr>
          <w:p>
            <w:r>
              <w:rPr>
                <w:b/>
                <w:bCs/>
                <w:sz w:val="19"/>
                <w:szCs w:val="19"/>
              </w:rPr>
              <w:t xml:space="preserve">Engineering Intent</w:t>
            </w:r>
          </w:p>
        </w:tc>
        <w:tc>
          <w:tcPr>
            <w:tcW w:type="dxa" w:w="7000"/>
            <w:vAlign w:val="center"/>
          </w:tcPr>
          <w:p>
            <w:r>
              <w:rPr>
                <w:b w:val="false"/>
                <w:bCs w:val="false"/>
                <w:sz w:val="19"/>
                <w:szCs w:val="19"/>
              </w:rPr>
              <w:t xml:space="preserve">Execute EGD-0007 (extension) against AR-0007 (extension), within Portfolio 1 — Enterprise Data Platform, Wave 2 — Platform Stabilization.</w:t>
            </w:r>
          </w:p>
        </w:tc>
      </w:tr>
      <w:tr>
        <w:tc>
          <w:tcPr>
            <w:tcW w:type="dxa" w:w="2600"/>
            <w:shd w:fill="D9E2F3" w:val="clear"/>
            <w:vAlign w:val="center"/>
          </w:tcPr>
          <w:p>
            <w:r>
              <w:rPr>
                <w:b/>
                <w:bCs/>
                <w:sz w:val="19"/>
                <w:szCs w:val="19"/>
              </w:rPr>
              <w:t xml:space="preserve">Completion Target</w:t>
            </w:r>
          </w:p>
        </w:tc>
        <w:tc>
          <w:tcPr>
            <w:tcW w:type="dxa" w:w="7000"/>
            <w:vAlign w:val="center"/>
          </w:tcPr>
          <w:p>
            <w:r>
              <w:rPr>
                <w:b w:val="false"/>
                <w:bCs w:val="false"/>
                <w:sz w:val="19"/>
                <w:szCs w:val="19"/>
              </w:rPr>
              <w:t xml:space="preserve">A documented decision exists for every free-text/JSON payload column reviewed (Section 2, WP-0005.C).</w:t>
            </w:r>
          </w:p>
        </w:tc>
      </w:tr>
    </w:tbl>
    <w:p>
      <w:pPr>
        <w:spacing w:after="120"/>
      </w:pPr>
    </w:p>
    <w:p>
      <w:pPr>
        <w:pStyle w:val="Heading3"/>
        <w:spacing w:after="100" w:before="220"/>
      </w:pPr>
      <w:r>
        <w:t xml:space="preserve">B. Implementation Preconditions</w:t>
      </w:r>
    </w:p>
    <w:p>
      <w:pPr>
        <w:pStyle w:val="ListParagraph"/>
        <w:numPr>
          <w:ilvl w:val="0"/>
          <w:numId w:val="1"/>
        </w:numPr>
        <w:spacing w:after="80"/>
      </w:pPr>
      <w:r>
        <w:t xml:space="preserve">Required approvals: EGD-0007 is already Accepted, in progress — the same disposition WP-0002 executes against; no new governance required (Section 2, WP-0005.F).</w:t>
      </w:r>
    </w:p>
    <w:p>
      <w:pPr>
        <w:pStyle w:val="ListParagraph"/>
        <w:numPr>
          <w:ilvl w:val="0"/>
          <w:numId w:val="1"/>
        </w:numPr>
        <w:spacing w:after="80"/>
      </w:pPr>
      <w:r>
        <w:t xml:space="preserve">Required governance decisions: None outstanding.</w:t>
      </w:r>
    </w:p>
    <w:p>
      <w:pPr>
        <w:pStyle w:val="ListParagraph"/>
        <w:numPr>
          <w:ilvl w:val="0"/>
          <w:numId w:val="1"/>
        </w:numPr>
        <w:spacing w:after="80"/>
      </w:pPr>
      <w:r>
        <w:t xml:space="preserve">Required repository state: Database repository access to column definitions and existing RLS policies.</w:t>
      </w:r>
    </w:p>
    <w:p>
      <w:pPr>
        <w:pStyle w:val="ListParagraph"/>
        <w:numPr>
          <w:ilvl w:val="0"/>
          <w:numId w:val="1"/>
        </w:numPr>
        <w:spacing w:after="80"/>
      </w:pPr>
      <w:r>
        <w:t xml:space="preserve">Required documentation: WP-0002's verification method, used as the template for this review (Section 2, WP-0005.D).</w:t>
      </w:r>
    </w:p>
    <w:p>
      <w:pPr>
        <w:pStyle w:val="ListParagraph"/>
        <w:numPr>
          <w:ilvl w:val="0"/>
          <w:numId w:val="1"/>
        </w:numPr>
        <w:spacing w:after="80"/>
      </w:pPr>
      <w:r>
        <w:t xml:space="preserve">Required dependencies: WP-0002 completed is a recommended, non-blocking sequence — same tables, same reviewer (Section 2, WP-0005.F, H).</w:t>
      </w:r>
    </w:p>
    <w:p>
      <w:pPr>
        <w:pStyle w:val="ListParagraph"/>
        <w:numPr>
          <w:ilvl w:val="0"/>
          <w:numId w:val="1"/>
        </w:numPr>
        <w:spacing w:after="80"/>
      </w:pPr>
      <w:r>
        <w:t xml:space="preserve">Required ownership: Security/Platform Engineer role is named per Phase B §9 but carries no currently-assigned individual pending WP-0006 (KPI-08 = 0%), the same role responsible for WP-0002.</w:t>
      </w:r>
    </w:p>
    <w:p>
      <w:pPr>
        <w:spacing w:after="120"/>
      </w:pPr>
    </w:p>
    <w:p>
      <w:pPr>
        <w:pStyle w:val="Heading3"/>
        <w:spacing w:after="100" w:before="220"/>
      </w:pPr>
      <w:r>
        <w:t xml:space="preserve">C. Implementation Activities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500"/>
        <w:gridCol w:w="2200"/>
        <w:gridCol w:w="2200"/>
      </w:tblGrid>
      <w:tr>
        <w:tc>
          <w:tcPr>
            <w:tcW w:type="dxa" w:w="500"/>
            <w:shd w:fill="D9E2F3" w:val="clear"/>
            <w:vAlign w:val="center"/>
          </w:tcPr>
          <w:p>
            <w:r>
              <w:rPr>
                <w:b/>
                <w:bCs/>
                <w:sz w:val="19"/>
                <w:szCs w:val="19"/>
              </w:rPr>
              <w:t xml:space="preserve">#</w:t>
            </w:r>
          </w:p>
        </w:tc>
        <w:tc>
          <w:tcPr>
            <w:tcW w:type="dxa" w:w="3400"/>
            <w:shd w:fill="D9E2F3" w:val="clear"/>
            <w:vAlign w:val="center"/>
          </w:tcPr>
          <w:p>
            <w:r>
              <w:rPr>
                <w:b/>
                <w:bCs/>
                <w:sz w:val="19"/>
                <w:szCs w:val="19"/>
              </w:rPr>
              <w:t xml:space="preserve">Activity Description</w:t>
            </w:r>
          </w:p>
        </w:tc>
        <w:tc>
          <w:tcPr>
            <w:tcW w:type="dxa" w:w="1500"/>
            <w:shd w:fill="D9E2F3" w:val="clear"/>
            <w:vAlign w:val="center"/>
          </w:tcPr>
          <w:p>
            <w:r>
              <w:rPr>
                <w:b/>
                <w:bCs/>
                <w:sz w:val="19"/>
                <w:szCs w:val="19"/>
              </w:rPr>
              <w:t xml:space="preserve">Repository Affected</w:t>
            </w:r>
          </w:p>
        </w:tc>
        <w:tc>
          <w:tcPr>
            <w:tcW w:type="dxa" w:w="2200"/>
            <w:shd w:fill="D9E2F3" w:val="clear"/>
            <w:vAlign w:val="center"/>
          </w:tcPr>
          <w:p>
            <w:r>
              <w:rPr>
                <w:b/>
                <w:bCs/>
                <w:sz w:val="19"/>
                <w:szCs w:val="19"/>
              </w:rPr>
              <w:t xml:space="preserve">Expected Output</w:t>
            </w:r>
          </w:p>
        </w:tc>
        <w:tc>
          <w:tcPr>
            <w:tcW w:type="dxa" w:w="2200"/>
            <w:shd w:fill="D9E2F3" w:val="clear"/>
            <w:vAlign w:val="center"/>
          </w:tcPr>
          <w:p>
            <w:r>
              <w:rPr>
                <w:b/>
                <w:bCs/>
                <w:sz w:val="19"/>
                <w:szCs w:val="19"/>
              </w:rPr>
              <w:t xml:space="preserve">Verification Checkpoint</w:t>
            </w:r>
          </w:p>
        </w:tc>
      </w:tr>
      <w:tr>
        <w:tc>
          <w:tcPr>
            <w:tcW w:type="dxa" w:w="500"/>
            <w:vAlign w:val="center"/>
          </w:tcPr>
          <w:p>
            <w:r>
              <w:rPr>
                <w:b w:val="false"/>
                <w:bCs w:val="false"/>
                <w:sz w:val="19"/>
                <w:szCs w:val="19"/>
              </w:rPr>
              <w:t xml:space="preserve">1</w:t>
            </w:r>
          </w:p>
        </w:tc>
        <w:tc>
          <w:tcPr>
            <w:tcW w:type="dxa" w:w="3400"/>
            <w:vAlign w:val="center"/>
          </w:tcPr>
          <w:p>
            <w:r>
              <w:rPr>
                <w:b w:val="false"/>
                <w:bCs w:val="false"/>
                <w:sz w:val="19"/>
                <w:szCs w:val="19"/>
              </w:rPr>
              <w:t xml:space="preserve">Enumerate free-text/JSON payload columns, beginning with cognitive raw responses.</w:t>
            </w:r>
          </w:p>
        </w:tc>
        <w:tc>
          <w:tcPr>
            <w:tcW w:type="dxa" w:w="1500"/>
            <w:vAlign w:val="center"/>
          </w:tcPr>
          <w:p>
            <w:r>
              <w:rPr>
                <w:b w:val="false"/>
                <w:bCs w:val="false"/>
                <w:sz w:val="19"/>
                <w:szCs w:val="19"/>
              </w:rPr>
              <w:t xml:space="preserve">Database</w:t>
            </w:r>
          </w:p>
        </w:tc>
        <w:tc>
          <w:tcPr>
            <w:tcW w:type="dxa" w:w="2200"/>
            <w:vAlign w:val="center"/>
          </w:tcPr>
          <w:p>
            <w:r>
              <w:rPr>
                <w:b w:val="false"/>
                <w:bCs w:val="false"/>
                <w:sz w:val="19"/>
                <w:szCs w:val="19"/>
              </w:rPr>
              <w:t xml:space="preserve">Complete column list requiring review.</w:t>
            </w:r>
          </w:p>
        </w:tc>
        <w:tc>
          <w:tcPr>
            <w:tcW w:type="dxa" w:w="2200"/>
            <w:vAlign w:val="center"/>
          </w:tcPr>
          <w:p>
            <w:r>
              <w:rPr>
                <w:b w:val="false"/>
                <w:bCs w:val="false"/>
                <w:sz w:val="19"/>
                <w:szCs w:val="19"/>
              </w:rPr>
              <w:t xml:space="preserve">List cross-referenced with Phase A.1 inventory.</w:t>
            </w:r>
          </w:p>
        </w:tc>
      </w:tr>
      <w:tr>
        <w:tc>
          <w:tcPr>
            <w:tcW w:type="dxa" w:w="500"/>
            <w:vAlign w:val="center"/>
          </w:tcPr>
          <w:p>
            <w:r>
              <w:rPr>
                <w:b w:val="false"/>
                <w:bCs w:val="false"/>
                <w:sz w:val="19"/>
                <w:szCs w:val="19"/>
              </w:rPr>
              <w:t xml:space="preserve">2</w:t>
            </w:r>
          </w:p>
        </w:tc>
        <w:tc>
          <w:tcPr>
            <w:tcW w:type="dxa" w:w="3400"/>
            <w:vAlign w:val="center"/>
          </w:tcPr>
          <w:p>
            <w:r>
              <w:rPr>
                <w:b w:val="false"/>
                <w:bCs w:val="false"/>
                <w:sz w:val="19"/>
                <w:szCs w:val="19"/>
              </w:rPr>
              <w:t xml:space="preserve">For each column, assess whether WP-0002's confirmed table-level RLS is sufficient protection.</w:t>
            </w:r>
          </w:p>
        </w:tc>
        <w:tc>
          <w:tcPr>
            <w:tcW w:type="dxa" w:w="1500"/>
            <w:vAlign w:val="center"/>
          </w:tcPr>
          <w:p>
            <w:r>
              <w:rPr>
                <w:b w:val="false"/>
                <w:bCs w:val="false"/>
                <w:sz w:val="19"/>
                <w:szCs w:val="19"/>
              </w:rPr>
              <w:t xml:space="preserve">Test</w:t>
            </w:r>
          </w:p>
        </w:tc>
        <w:tc>
          <w:tcPr>
            <w:tcW w:type="dxa" w:w="2200"/>
            <w:vAlign w:val="center"/>
          </w:tcPr>
          <w:p>
            <w:r>
              <w:rPr>
                <w:b w:val="false"/>
                <w:bCs w:val="false"/>
                <w:sz w:val="19"/>
                <w:szCs w:val="19"/>
              </w:rPr>
              <w:t xml:space="preserve">Per-column adequacy assessment.</w:t>
            </w:r>
          </w:p>
        </w:tc>
        <w:tc>
          <w:tcPr>
            <w:tcW w:type="dxa" w:w="2200"/>
            <w:vAlign w:val="center"/>
          </w:tcPr>
          <w:p>
            <w:r>
              <w:rPr>
                <w:b w:val="false"/>
                <w:bCs w:val="false"/>
                <w:sz w:val="19"/>
                <w:szCs w:val="19"/>
              </w:rPr>
              <w:t xml:space="preserve">Assessment follows WP-0002's written-evidence template.</w:t>
            </w:r>
          </w:p>
        </w:tc>
      </w:tr>
      <w:tr>
        <w:tc>
          <w:tcPr>
            <w:tcW w:type="dxa" w:w="500"/>
            <w:vAlign w:val="center"/>
          </w:tcPr>
          <w:p>
            <w:r>
              <w:rPr>
                <w:b w:val="false"/>
                <w:bCs w:val="false"/>
                <w:sz w:val="19"/>
                <w:szCs w:val="19"/>
              </w:rPr>
              <w:t xml:space="preserve">3</w:t>
            </w:r>
          </w:p>
        </w:tc>
        <w:tc>
          <w:tcPr>
            <w:tcW w:type="dxa" w:w="3400"/>
            <w:vAlign w:val="center"/>
          </w:tcPr>
          <w:p>
            <w:r>
              <w:rPr>
                <w:b w:val="false"/>
                <w:bCs w:val="false"/>
                <w:sz w:val="19"/>
                <w:szCs w:val="19"/>
              </w:rPr>
              <w:t xml:space="preserve">Record a protection-level decision per column (e.g., adequate-as-is, column-level policy required, REVOKE required).</w:t>
            </w:r>
          </w:p>
        </w:tc>
        <w:tc>
          <w:tcPr>
            <w:tcW w:type="dxa" w:w="1500"/>
            <w:vAlign w:val="center"/>
          </w:tcPr>
          <w:p>
            <w:r>
              <w:rPr>
                <w:b w:val="false"/>
                <w:bCs w:val="false"/>
                <w:sz w:val="19"/>
                <w:szCs w:val="19"/>
              </w:rPr>
              <w:t xml:space="preserve">Documentation</w:t>
            </w:r>
          </w:p>
        </w:tc>
        <w:tc>
          <w:tcPr>
            <w:tcW w:type="dxa" w:w="2200"/>
            <w:vAlign w:val="center"/>
          </w:tcPr>
          <w:p>
            <w:r>
              <w:rPr>
                <w:b w:val="false"/>
                <w:bCs w:val="false"/>
                <w:sz w:val="19"/>
                <w:szCs w:val="19"/>
              </w:rPr>
              <w:t xml:space="preserve">Protection-level decision ledger.</w:t>
            </w:r>
          </w:p>
        </w:tc>
        <w:tc>
          <w:tcPr>
            <w:tcW w:type="dxa" w:w="2200"/>
            <w:vAlign w:val="center"/>
          </w:tcPr>
          <w:p>
            <w:r>
              <w:rPr>
                <w:b w:val="false"/>
                <w:bCs w:val="false"/>
                <w:sz w:val="19"/>
                <w:szCs w:val="19"/>
              </w:rPr>
              <w:t xml:space="preserve">Every reviewed column has a recorded decision.</w:t>
            </w:r>
          </w:p>
        </w:tc>
      </w:tr>
      <w:tr>
        <w:tc>
          <w:tcPr>
            <w:tcW w:type="dxa" w:w="500"/>
            <w:vAlign w:val="center"/>
          </w:tcPr>
          <w:p>
            <w:r>
              <w:rPr>
                <w:b w:val="false"/>
                <w:bCs w:val="false"/>
                <w:sz w:val="19"/>
                <w:szCs w:val="19"/>
              </w:rPr>
              <w:t xml:space="preserve">4</w:t>
            </w:r>
          </w:p>
        </w:tc>
        <w:tc>
          <w:tcPr>
            <w:tcW w:type="dxa" w:w="3400"/>
            <w:vAlign w:val="center"/>
          </w:tcPr>
          <w:p>
            <w:r>
              <w:rPr>
                <w:b w:val="false"/>
                <w:bCs w:val="false"/>
                <w:sz w:val="19"/>
                <w:szCs w:val="19"/>
              </w:rPr>
              <w:t xml:space="preserve">Apply a column-level policy or REVOKE change only where the review finds a gap.</w:t>
            </w:r>
          </w:p>
        </w:tc>
        <w:tc>
          <w:tcPr>
            <w:tcW w:type="dxa" w:w="1500"/>
            <w:vAlign w:val="center"/>
          </w:tcPr>
          <w:p>
            <w:r>
              <w:rPr>
                <w:b w:val="false"/>
                <w:bCs w:val="false"/>
                <w:sz w:val="19"/>
                <w:szCs w:val="19"/>
              </w:rPr>
              <w:t xml:space="preserve">Database</w:t>
            </w:r>
          </w:p>
        </w:tc>
        <w:tc>
          <w:tcPr>
            <w:tcW w:type="dxa" w:w="2200"/>
            <w:vAlign w:val="center"/>
          </w:tcPr>
          <w:p>
            <w:r>
              <w:rPr>
                <w:b w:val="false"/>
                <w:bCs w:val="false"/>
                <w:sz w:val="19"/>
                <w:szCs w:val="19"/>
              </w:rPr>
              <w:t xml:space="preserve">Corrective column-level policy, if required.</w:t>
            </w:r>
          </w:p>
        </w:tc>
        <w:tc>
          <w:tcPr>
            <w:tcW w:type="dxa" w:w="2200"/>
            <w:vAlign w:val="center"/>
          </w:tcPr>
          <w:p>
            <w:r>
              <w:rPr>
                <w:b w:val="false"/>
                <w:bCs w:val="false"/>
                <w:sz w:val="19"/>
                <w:szCs w:val="19"/>
              </w:rPr>
              <w:t xml:space="preserve">Idempotent, rollback-ready per AR-0010/EGD-0009.</w:t>
            </w:r>
          </w:p>
        </w:tc>
      </w:tr>
      <w:tr>
        <w:tc>
          <w:tcPr>
            <w:tcW w:type="dxa" w:w="500"/>
            <w:vAlign w:val="center"/>
          </w:tcPr>
          <w:p>
            <w:r>
              <w:rPr>
                <w:b w:val="false"/>
                <w:bCs w:val="false"/>
                <w:sz w:val="19"/>
                <w:szCs w:val="19"/>
              </w:rPr>
              <w:t xml:space="preserve">5</w:t>
            </w:r>
          </w:p>
        </w:tc>
        <w:tc>
          <w:tcPr>
            <w:tcW w:type="dxa" w:w="3400"/>
            <w:vAlign w:val="center"/>
          </w:tcPr>
          <w:p>
            <w:r>
              <w:rPr>
                <w:b w:val="false"/>
                <w:bCs w:val="false"/>
                <w:sz w:val="19"/>
                <w:szCs w:val="19"/>
              </w:rPr>
              <w:t xml:space="preserve">Publish the review report, following WP-0002's written-evidence template.</w:t>
            </w:r>
          </w:p>
        </w:tc>
        <w:tc>
          <w:tcPr>
            <w:tcW w:type="dxa" w:w="1500"/>
            <w:vAlign w:val="center"/>
          </w:tcPr>
          <w:p>
            <w:r>
              <w:rPr>
                <w:b w:val="false"/>
                <w:bCs w:val="false"/>
                <w:sz w:val="19"/>
                <w:szCs w:val="19"/>
              </w:rPr>
              <w:t xml:space="preserve">Documentation</w:t>
            </w:r>
          </w:p>
        </w:tc>
        <w:tc>
          <w:tcPr>
            <w:tcW w:type="dxa" w:w="2200"/>
            <w:vAlign w:val="center"/>
          </w:tcPr>
          <w:p>
            <w:r>
              <w:rPr>
                <w:b w:val="false"/>
                <w:bCs w:val="false"/>
                <w:sz w:val="19"/>
                <w:szCs w:val="19"/>
              </w:rPr>
              <w:t xml:space="preserve">Published column-level access review report.</w:t>
            </w:r>
          </w:p>
        </w:tc>
        <w:tc>
          <w:tcPr>
            <w:tcW w:type="dxa" w:w="2200"/>
            <w:vAlign w:val="center"/>
          </w:tcPr>
          <w:p>
            <w:r>
              <w:rPr>
                <w:b w:val="false"/>
                <w:bCs w:val="false"/>
                <w:sz w:val="19"/>
                <w:szCs w:val="19"/>
              </w:rPr>
              <w:t xml:space="preserve">Document available in the documentation repository.</w:t>
            </w:r>
          </w:p>
        </w:tc>
      </w:tr>
    </w:tbl>
    <w:p>
      <w:pPr>
        <w:spacing w:after="120"/>
      </w:pPr>
    </w:p>
    <w:p>
      <w:pPr>
        <w:pStyle w:val="Heading3"/>
        <w:spacing w:after="100" w:before="220"/>
      </w:pPr>
      <w:r>
        <w:t xml:space="preserve">D. Repository Changes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9E2F3" w:val="clear"/>
            <w:vAlign w:val="center"/>
          </w:tcPr>
          <w:p>
            <w:r>
              <w:rPr>
                <w:b/>
                <w:bCs/>
                <w:sz w:val="19"/>
                <w:szCs w:val="19"/>
              </w:rPr>
              <w:t xml:space="preserve">Repository</w:t>
            </w:r>
          </w:p>
        </w:tc>
        <w:tc>
          <w:tcPr>
            <w:tcW w:type="dxa" w:w="7200"/>
            <w:shd w:fill="D9E2F3" w:val="clear"/>
            <w:vAlign w:val="center"/>
          </w:tcPr>
          <w:p>
            <w:r>
              <w:rPr>
                <w:b/>
                <w:bCs/>
                <w:sz w:val="19"/>
                <w:szCs w:val="19"/>
              </w:rPr>
              <w:t xml:space="preserve">Implementation Change</w:t>
            </w:r>
          </w:p>
        </w:tc>
      </w:tr>
      <w:tr>
        <w:tc>
          <w:tcPr>
            <w:tcW w:type="dxa" w:w="2400"/>
            <w:vAlign w:val="center"/>
          </w:tcPr>
          <w:p>
            <w:r>
              <w:rPr>
                <w:b w:val="false"/>
                <w:bCs w:val="false"/>
                <w:sz w:val="19"/>
                <w:szCs w:val="19"/>
              </w:rPr>
              <w:t xml:space="preserve">Documentation Repository</w:t>
            </w:r>
          </w:p>
        </w:tc>
        <w:tc>
          <w:tcPr>
            <w:tcW w:type="dxa" w:w="7200"/>
            <w:vAlign w:val="center"/>
          </w:tcPr>
          <w:p>
            <w:r>
              <w:rPr>
                <w:b w:val="false"/>
                <w:bCs w:val="false"/>
                <w:sz w:val="19"/>
                <w:szCs w:val="19"/>
              </w:rPr>
              <w:t xml:space="preserve">Column-level access review report with a protection-level decision per reviewed column (Section 2, WP-0005.D, G).</w:t>
            </w:r>
          </w:p>
        </w:tc>
      </w:tr>
      <w:tr>
        <w:tc>
          <w:tcPr>
            <w:tcW w:type="dxa" w:w="2400"/>
            <w:vAlign w:val="center"/>
          </w:tcPr>
          <w:p>
            <w:r>
              <w:rPr>
                <w:b w:val="false"/>
                <w:bCs w:val="false"/>
                <w:sz w:val="19"/>
                <w:szCs w:val="19"/>
              </w:rPr>
              <w:t xml:space="preserve">Database Repository</w:t>
            </w:r>
          </w:p>
        </w:tc>
        <w:tc>
          <w:tcPr>
            <w:tcW w:type="dxa" w:w="7200"/>
            <w:vAlign w:val="center"/>
          </w:tcPr>
          <w:p>
            <w:r>
              <w:rPr>
                <w:b w:val="false"/>
                <w:bCs w:val="false"/>
                <w:sz w:val="19"/>
                <w:szCs w:val="19"/>
              </w:rPr>
              <w:t xml:space="preserve">No Approved Repository Change in baseline scope. Conditional column-level policy change only if the review finds a protection gap warranting one (Section 2, WP-0005.D, G).</w:t>
            </w:r>
          </w:p>
        </w:tc>
      </w:tr>
      <w:tr>
        <w:tc>
          <w:tcPr>
            <w:tcW w:type="dxa" w:w="2400"/>
            <w:vAlign w:val="center"/>
          </w:tcPr>
          <w:p>
            <w:r>
              <w:rPr>
                <w:b w:val="false"/>
                <w:bCs w:val="false"/>
                <w:sz w:val="19"/>
                <w:szCs w:val="19"/>
              </w:rPr>
              <w:t xml:space="preserve">Test Repository</w:t>
            </w:r>
          </w:p>
        </w:tc>
        <w:tc>
          <w:tcPr>
            <w:tcW w:type="dxa" w:w="7200"/>
            <w:vAlign w:val="center"/>
          </w:tcPr>
          <w:p>
            <w:r>
              <w:rPr>
                <w:b w:val="false"/>
                <w:bCs w:val="false"/>
                <w:sz w:val="19"/>
                <w:szCs w:val="19"/>
              </w:rPr>
              <w:t xml:space="preserve">Review-based verification evidence, following WP-0002's written-evidence template (Section 2, WP-0005.D).</w:t>
            </w:r>
          </w:p>
        </w:tc>
      </w:tr>
    </w:tbl>
    <w:p>
      <w:pPr>
        <w:spacing w:after="120"/>
      </w:pPr>
    </w:p>
    <w:p>
      <w:pPr>
        <w:pStyle w:val="Heading3"/>
        <w:spacing w:after="100" w:before="220"/>
      </w:pPr>
      <w:r>
        <w:t xml:space="preserve">E. Verification Activities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Engineering Verification</w:t>
            </w:r>
          </w:p>
        </w:tc>
        <w:tc>
          <w:tcPr>
            <w:tcW w:type="dxa" w:w="7000"/>
            <w:vAlign w:val="center"/>
          </w:tcPr>
          <w:p>
            <w:r>
              <w:rPr>
                <w:b w:val="false"/>
                <w:bCs w:val="false"/>
                <w:sz w:val="19"/>
                <w:szCs w:val="19"/>
              </w:rPr>
              <w:t xml:space="preserve">Review findings using WP-0002's verification template — an explicit, cited reuse of WP-0002's method rather than a new one (Section 4 §6, §8).</w:t>
            </w:r>
          </w:p>
        </w:tc>
      </w:tr>
      <w:tr>
        <w:tc>
          <w:tcPr>
            <w:tcW w:type="dxa" w:w="2600"/>
            <w:shd w:fill="D9E2F3" w:val="clear"/>
            <w:vAlign w:val="center"/>
          </w:tcPr>
          <w:p>
            <w:r>
              <w:rPr>
                <w:b/>
                <w:bCs/>
                <w:sz w:val="19"/>
                <w:szCs w:val="19"/>
              </w:rPr>
              <w:t xml:space="preserve">Repository Verification</w:t>
            </w:r>
          </w:p>
        </w:tc>
        <w:tc>
          <w:tcPr>
            <w:tcW w:type="dxa" w:w="7000"/>
            <w:vAlign w:val="center"/>
          </w:tcPr>
          <w:p>
            <w:r>
              <w:rPr>
                <w:b w:val="false"/>
                <w:bCs w:val="false"/>
                <w:sz w:val="19"/>
                <w:szCs w:val="19"/>
              </w:rPr>
              <w:t xml:space="preserve">Database repository column-level policy state confirmed, where a corrective change was applied.</w:t>
            </w:r>
          </w:p>
        </w:tc>
      </w:tr>
      <w:tr>
        <w:tc>
          <w:tcPr>
            <w:tcW w:type="dxa" w:w="2600"/>
            <w:shd w:fill="D9E2F3" w:val="clear"/>
            <w:vAlign w:val="center"/>
          </w:tcPr>
          <w:p>
            <w:r>
              <w:rPr>
                <w:b/>
                <w:bCs/>
                <w:sz w:val="19"/>
                <w:szCs w:val="19"/>
              </w:rPr>
              <w:t xml:space="preserve">Governance Verification</w:t>
            </w:r>
          </w:p>
        </w:tc>
        <w:tc>
          <w:tcPr>
            <w:tcW w:type="dxa" w:w="7000"/>
            <w:vAlign w:val="center"/>
          </w:tcPr>
          <w:p>
            <w:r>
              <w:rPr>
                <w:b w:val="false"/>
                <w:bCs w:val="false"/>
                <w:sz w:val="19"/>
                <w:szCs w:val="19"/>
              </w:rPr>
              <w:t xml:space="preserve">Protection-level decision logged per column in the governance record.</w:t>
            </w:r>
          </w:p>
        </w:tc>
      </w:tr>
      <w:tr>
        <w:tc>
          <w:tcPr>
            <w:tcW w:type="dxa" w:w="2600"/>
            <w:shd w:fill="D9E2F3" w:val="clear"/>
            <w:vAlign w:val="center"/>
          </w:tcPr>
          <w:p>
            <w:r>
              <w:rPr>
                <w:b/>
                <w:bCs/>
                <w:sz w:val="19"/>
                <w:szCs w:val="19"/>
              </w:rPr>
              <w:t xml:space="preserve">Documentation Verification</w:t>
            </w:r>
          </w:p>
        </w:tc>
        <w:tc>
          <w:tcPr>
            <w:tcW w:type="dxa" w:w="7000"/>
            <w:vAlign w:val="center"/>
          </w:tcPr>
          <w:p>
            <w:r>
              <w:rPr>
                <w:b w:val="false"/>
                <w:bCs w:val="false"/>
                <w:sz w:val="19"/>
                <w:szCs w:val="19"/>
              </w:rPr>
              <w:t xml:space="preserve">Review report reviewed for a documented decision on every in-scope column.</w:t>
            </w:r>
          </w:p>
        </w:tc>
      </w:tr>
      <w:tr>
        <w:tc>
          <w:tcPr>
            <w:tcW w:type="dxa" w:w="2600"/>
            <w:shd w:fill="D9E2F3" w:val="clear"/>
            <w:vAlign w:val="center"/>
          </w:tcPr>
          <w:p>
            <w:r>
              <w:rPr>
                <w:b/>
                <w:bCs/>
                <w:sz w:val="19"/>
                <w:szCs w:val="19"/>
              </w:rPr>
              <w:t xml:space="preserve">Completion Evidence</w:t>
            </w:r>
          </w:p>
        </w:tc>
        <w:tc>
          <w:tcPr>
            <w:tcW w:type="dxa" w:w="7000"/>
            <w:vAlign w:val="center"/>
          </w:tcPr>
          <w:p>
            <w:r>
              <w:rPr>
                <w:b w:val="false"/>
                <w:bCs w:val="false"/>
                <w:sz w:val="19"/>
                <w:szCs w:val="19"/>
              </w:rPr>
              <w:t xml:space="preserve">Per-column protection-level decision ledger; published review report; corrective policy change and verification, where applicable.</w:t>
            </w:r>
          </w:p>
        </w:tc>
      </w:tr>
    </w:tbl>
    <w:p>
      <w:pPr>
        <w:spacing w:after="120"/>
      </w:pPr>
    </w:p>
    <w:p>
      <w:pPr>
        <w:pStyle w:val="Heading3"/>
        <w:spacing w:after="100" w:before="220"/>
      </w:pPr>
      <w:r>
        <w:t xml:space="preserve">F. Rollback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Rollback Trigger</w:t>
            </w:r>
          </w:p>
        </w:tc>
        <w:tc>
          <w:tcPr>
            <w:tcW w:type="dxa" w:w="7000"/>
            <w:vAlign w:val="center"/>
          </w:tcPr>
          <w:p>
            <w:r>
              <w:rPr>
                <w:b w:val="false"/>
                <w:bCs w:val="false"/>
                <w:sz w:val="19"/>
                <w:szCs w:val="19"/>
              </w:rPr>
              <w:t xml:space="preserve">Applicable only to the contingency corrective column-level policy change (Activity 4) — triggered if the applied policy is found to break legitimate application access.</w:t>
            </w:r>
          </w:p>
        </w:tc>
      </w:tr>
      <w:tr>
        <w:tc>
          <w:tcPr>
            <w:tcW w:type="dxa" w:w="2600"/>
            <w:shd w:fill="D9E2F3" w:val="clear"/>
            <w:vAlign w:val="center"/>
          </w:tcPr>
          <w:p>
            <w:r>
              <w:rPr>
                <w:b/>
                <w:bCs/>
                <w:sz w:val="19"/>
                <w:szCs w:val="19"/>
              </w:rPr>
              <w:t xml:space="preserve">Rollback Approach</w:t>
            </w:r>
          </w:p>
        </w:tc>
        <w:tc>
          <w:tcPr>
            <w:tcW w:type="dxa" w:w="7000"/>
            <w:vAlign w:val="center"/>
          </w:tcPr>
          <w:p>
            <w:r>
              <w:rPr>
                <w:b w:val="false"/>
                <w:bCs w:val="false"/>
                <w:sz w:val="19"/>
                <w:szCs w:val="19"/>
              </w:rPr>
              <w:t xml:space="preserve">Per the AR-0010/EGD-0009 accepted standard: any corrective column-level policy or REVOKE change is idempotent and rollback-ready by design.</w:t>
            </w:r>
          </w:p>
        </w:tc>
      </w:tr>
      <w:tr>
        <w:tc>
          <w:tcPr>
            <w:tcW w:type="dxa" w:w="2600"/>
            <w:shd w:fill="D9E2F3" w:val="clear"/>
            <w:vAlign w:val="center"/>
          </w:tcPr>
          <w:p>
            <w:r>
              <w:rPr>
                <w:b/>
                <w:bCs/>
                <w:sz w:val="19"/>
                <w:szCs w:val="19"/>
              </w:rPr>
              <w:t xml:space="preserve">Repository Restoration</w:t>
            </w:r>
          </w:p>
        </w:tc>
        <w:tc>
          <w:tcPr>
            <w:tcW w:type="dxa" w:w="7000"/>
            <w:vAlign w:val="center"/>
          </w:tcPr>
          <w:p>
            <w:r>
              <w:rPr>
                <w:b w:val="false"/>
                <w:bCs w:val="false"/>
                <w:sz w:val="19"/>
                <w:szCs w:val="19"/>
              </w:rPr>
              <w:t xml:space="preserve">Revert the corrective policy change in the database repository to the pre-change column-access state, per its accompanying rollback script.</w:t>
            </w:r>
          </w:p>
        </w:tc>
      </w:tr>
      <w:tr>
        <w:tc>
          <w:tcPr>
            <w:tcW w:type="dxa" w:w="2600"/>
            <w:shd w:fill="D9E2F3" w:val="clear"/>
            <w:vAlign w:val="center"/>
          </w:tcPr>
          <w:p>
            <w:r>
              <w:rPr>
                <w:b/>
                <w:bCs/>
                <w:sz w:val="19"/>
                <w:szCs w:val="19"/>
              </w:rPr>
              <w:t xml:space="preserve">Documentation Restoration</w:t>
            </w:r>
          </w:p>
        </w:tc>
        <w:tc>
          <w:tcPr>
            <w:tcW w:type="dxa" w:w="7000"/>
            <w:vAlign w:val="center"/>
          </w:tcPr>
          <w:p>
            <w:r>
              <w:rPr>
                <w:b w:val="false"/>
                <w:bCs w:val="false"/>
                <w:sz w:val="19"/>
                <w:szCs w:val="19"/>
              </w:rPr>
              <w:t xml:space="preserve">Amend the review report to reflect the reverted decision.</w:t>
            </w:r>
          </w:p>
        </w:tc>
      </w:tr>
      <w:tr>
        <w:tc>
          <w:tcPr>
            <w:tcW w:type="dxa" w:w="2600"/>
            <w:shd w:fill="D9E2F3" w:val="clear"/>
            <w:vAlign w:val="center"/>
          </w:tcPr>
          <w:p>
            <w:r>
              <w:rPr>
                <w:b/>
                <w:bCs/>
                <w:sz w:val="19"/>
                <w:szCs w:val="19"/>
              </w:rPr>
              <w:t xml:space="preserve">Governance Restoration</w:t>
            </w:r>
          </w:p>
        </w:tc>
        <w:tc>
          <w:tcPr>
            <w:tcW w:type="dxa" w:w="7000"/>
            <w:vAlign w:val="center"/>
          </w:tcPr>
          <w:p>
            <w:r>
              <w:rPr>
                <w:b w:val="false"/>
                <w:bCs w:val="false"/>
                <w:sz w:val="19"/>
                <w:szCs w:val="19"/>
              </w:rPr>
              <w:t xml:space="preserve">Log the reversal in the protection-level decision ledger; re-open the affected column for review.</w:t>
            </w:r>
          </w:p>
        </w:tc>
      </w:tr>
    </w:tbl>
    <w:p>
      <w:pPr>
        <w:spacing w:after="120"/>
      </w:pPr>
    </w:p>
    <w:p>
      <w:pPr>
        <w:pStyle w:val="Heading3"/>
        <w:spacing w:after="100" w:before="220"/>
      </w:pPr>
      <w:r>
        <w:t xml:space="preserve">G. Completion Evidence</w:t>
      </w:r>
    </w:p>
    <w:p>
      <w:pPr>
        <w:pStyle w:val="ListParagraph"/>
        <w:numPr>
          <w:ilvl w:val="0"/>
          <w:numId w:val="1"/>
        </w:numPr>
        <w:spacing w:after="80"/>
      </w:pPr>
      <w:r>
        <w:t xml:space="preserve">Per-column protection-level decision ledger.</w:t>
      </w:r>
    </w:p>
    <w:p>
      <w:pPr>
        <w:pStyle w:val="ListParagraph"/>
        <w:numPr>
          <w:ilvl w:val="0"/>
          <w:numId w:val="1"/>
        </w:numPr>
        <w:spacing w:after="80"/>
      </w:pPr>
      <w:r>
        <w:t xml:space="preserve">Published column-level access review report.</w:t>
      </w:r>
    </w:p>
    <w:p>
      <w:pPr>
        <w:pStyle w:val="ListParagraph"/>
        <w:numPr>
          <w:ilvl w:val="0"/>
          <w:numId w:val="1"/>
        </w:numPr>
        <w:spacing w:after="80"/>
      </w:pPr>
      <w:r>
        <w:t xml:space="preserve">Review-based verification evidence, following WP-0002's template.</w:t>
      </w:r>
    </w:p>
    <w:p>
      <w:pPr>
        <w:spacing w:after="120"/>
      </w:pPr>
    </w:p>
    <w:p>
      <w:pPr>
        <w:pStyle w:val="Heading3"/>
        <w:spacing w:after="100" w:before="220"/>
      </w:pPr>
      <w:r>
        <w:t xml:space="preserve">H. Completion Conditions</w:t>
      </w:r>
    </w:p>
    <w:p>
      <w:pPr>
        <w:pStyle w:val="ListParagraph"/>
        <w:numPr>
          <w:ilvl w:val="0"/>
          <w:numId w:val="1"/>
        </w:numPr>
        <w:spacing w:after="80"/>
      </w:pPr>
      <w:r>
        <w:t xml:space="preserve">A documented decision exists for every reviewed column (Section 2, WP-0005.J).</w:t>
      </w:r>
    </w:p>
    <w:p>
      <w:pPr>
        <w:pStyle w:val="ListParagraph"/>
        <w:numPr>
          <w:ilvl w:val="0"/>
          <w:numId w:val="1"/>
        </w:numPr>
        <w:spacing w:after="80"/>
      </w:pPr>
      <w:r>
        <w:t xml:space="preserve">Zero unreviewed cognitive raw-response or equivalent free-text/JSON columns remain (Section 2, WP-0005.J).</w:t>
      </w:r>
    </w:p>
    <w:p>
      <w:pPr>
        <w:pStyle w:val="ListParagraph"/>
        <w:numPr>
          <w:ilvl w:val="0"/>
          <w:numId w:val="1"/>
        </w:numPr>
        <w:spacing w:after="80"/>
      </w:pPr>
      <w:r>
        <w:t xml:space="preserve">AR-0007 (extension) advances toward Certification Level L4 (Section 4 §8).</w:t>
      </w:r>
    </w:p>
    <w:p>
      <w:r>
        <w:br w:type="page"/>
      </w:r>
    </w:p>
    <w:p>
      <w:pPr>
        <w:pStyle w:val="Heading2"/>
        <w:spacing w:after="140" w:before="280"/>
      </w:pPr>
      <w:r>
        <w:t xml:space="preserve">WP-0006 — Assign Named, Accountable Owners to Every Unassigned Architecture, Data-Governance, Security/Platform, and Compliance Role</w:t>
      </w:r>
    </w:p>
    <w:p>
      <w:pPr>
        <w:pStyle w:val="Heading3"/>
        <w:spacing w:after="100" w:before="220"/>
      </w:pPr>
      <w:r>
        <w:t xml:space="preserve">A. Implementation Objective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Objective</w:t>
            </w:r>
          </w:p>
        </w:tc>
        <w:tc>
          <w:tcPr>
            <w:tcW w:type="dxa" w:w="7000"/>
            <w:vAlign w:val="center"/>
          </w:tcPr>
          <w:p>
            <w:r>
              <w:rPr>
                <w:b w:val="false"/>
                <w:bCs w:val="false"/>
                <w:sz w:val="19"/>
                <w:szCs w:val="19"/>
              </w:rPr>
              <w:t xml:space="preserve">Name accountable owners for the five roles identified in Phase B §9 — Enterprise Architecture Owner, Data Governance Owner, Platform Engineering Lead, Security/Platform Engineer, and Executive Sponsor/Governance Board — resolving the single cross-cutting governance blocker before any other Work Package is treated as fully executable (Section 2, WP-0006.A, C).</w:t>
            </w:r>
          </w:p>
        </w:tc>
      </w:tr>
      <w:tr>
        <w:tc>
          <w:tcPr>
            <w:tcW w:type="dxa" w:w="2600"/>
            <w:shd w:fill="D9E2F3" w:val="clear"/>
            <w:vAlign w:val="center"/>
          </w:tcPr>
          <w:p>
            <w:r>
              <w:rPr>
                <w:b/>
                <w:bCs/>
                <w:sz w:val="19"/>
                <w:szCs w:val="19"/>
              </w:rPr>
              <w:t xml:space="preserve">Expected Outcome</w:t>
            </w:r>
          </w:p>
        </w:tc>
        <w:tc>
          <w:tcPr>
            <w:tcW w:type="dxa" w:w="7000"/>
            <w:vAlign w:val="center"/>
          </w:tcPr>
          <w:p>
            <w:r>
              <w:rPr>
                <w:b w:val="false"/>
                <w:bCs w:val="false"/>
                <w:sz w:val="19"/>
                <w:szCs w:val="19"/>
              </w:rPr>
              <w:t xml:space="preserve">Five named, accountable owners assigned across all nine Enterprise Governance Decisions (EGD-0001–EGD-0009) and all six Work Packages (Section 2, WP-0006.C).</w:t>
            </w:r>
          </w:p>
        </w:tc>
      </w:tr>
      <w:tr>
        <w:tc>
          <w:tcPr>
            <w:tcW w:type="dxa" w:w="2600"/>
            <w:shd w:fill="D9E2F3" w:val="clear"/>
            <w:vAlign w:val="center"/>
          </w:tcPr>
          <w:p>
            <w:r>
              <w:rPr>
                <w:b/>
                <w:bCs/>
                <w:sz w:val="19"/>
                <w:szCs w:val="19"/>
              </w:rPr>
              <w:t xml:space="preserve">Engineering Intent</w:t>
            </w:r>
          </w:p>
        </w:tc>
        <w:tc>
          <w:tcPr>
            <w:tcW w:type="dxa" w:w="7000"/>
            <w:vAlign w:val="center"/>
          </w:tcPr>
          <w:p>
            <w:r>
              <w:rPr>
                <w:b w:val="false"/>
                <w:bCs w:val="false"/>
                <w:sz w:val="19"/>
                <w:szCs w:val="19"/>
              </w:rPr>
              <w:t xml:space="preserve">Execute All EGD-0001–EGD-0009 against AP-009 (all), within Portfolio 8 — Governance &amp; Quality, Wave 1 — Critical Foundation.</w:t>
            </w:r>
          </w:p>
        </w:tc>
      </w:tr>
      <w:tr>
        <w:tc>
          <w:tcPr>
            <w:tcW w:type="dxa" w:w="2600"/>
            <w:shd w:fill="D9E2F3" w:val="clear"/>
            <w:vAlign w:val="center"/>
          </w:tcPr>
          <w:p>
            <w:r>
              <w:rPr>
                <w:b/>
                <w:bCs/>
                <w:sz w:val="19"/>
                <w:szCs w:val="19"/>
              </w:rPr>
              <w:t xml:space="preserve">Completion Target</w:t>
            </w:r>
          </w:p>
        </w:tc>
        <w:tc>
          <w:tcPr>
            <w:tcW w:type="dxa" w:w="7000"/>
            <w:vAlign w:val="center"/>
          </w:tcPr>
          <w:p>
            <w:r>
              <w:rPr>
                <w:b w:val="false"/>
                <w:bCs w:val="false"/>
                <w:sz w:val="19"/>
                <w:szCs w:val="19"/>
              </w:rPr>
              <w:t xml:space="preserve">KPI-08 Ownership Assignment % = 100% (Section 2, WP-0006.C).</w:t>
            </w:r>
          </w:p>
        </w:tc>
      </w:tr>
    </w:tbl>
    <w:p>
      <w:pPr>
        <w:spacing w:after="120"/>
      </w:pPr>
    </w:p>
    <w:p>
      <w:pPr>
        <w:pStyle w:val="Heading3"/>
        <w:spacing w:after="100" w:before="220"/>
      </w:pPr>
      <w:r>
        <w:t xml:space="preserve">B. Implementation Preconditions</w:t>
      </w:r>
    </w:p>
    <w:p>
      <w:pPr>
        <w:pStyle w:val="ListParagraph"/>
        <w:numPr>
          <w:ilvl w:val="0"/>
          <w:numId w:val="1"/>
        </w:numPr>
        <w:spacing w:after="80"/>
      </w:pPr>
      <w:r>
        <w:t xml:space="preserve">Required approvals: None — this Work Package is itself the precondition for every EGD's execution accountability; it does not depend on any other governance action (Section 2, WP-0006.F).</w:t>
      </w:r>
    </w:p>
    <w:p>
      <w:pPr>
        <w:pStyle w:val="ListParagraph"/>
        <w:numPr>
          <w:ilvl w:val="0"/>
          <w:numId w:val="1"/>
        </w:numPr>
        <w:spacing w:after="80"/>
      </w:pPr>
      <w:r>
        <w:t xml:space="preserve">Required governance decisions: None outstanding.</w:t>
      </w:r>
    </w:p>
    <w:p>
      <w:pPr>
        <w:pStyle w:val="ListParagraph"/>
        <w:numPr>
          <w:ilvl w:val="0"/>
          <w:numId w:val="1"/>
        </w:numPr>
        <w:spacing w:after="80"/>
      </w:pPr>
      <w:r>
        <w:t xml:space="preserve">Required repository state: Not Applicable — this is an organizational action, not a repository-dependent one.</w:t>
      </w:r>
    </w:p>
    <w:p>
      <w:pPr>
        <w:pStyle w:val="ListParagraph"/>
        <w:numPr>
          <w:ilvl w:val="0"/>
          <w:numId w:val="1"/>
        </w:numPr>
        <w:spacing w:after="80"/>
      </w:pPr>
      <w:r>
        <w:t xml:space="preserve">Required documentation: The full list of unassigned roles across EGD-0001–EGD-0009 and WP-0001–WP-0006, already inventoried in Phase A.3 §10.</w:t>
      </w:r>
    </w:p>
    <w:p>
      <w:pPr>
        <w:pStyle w:val="ListParagraph"/>
        <w:numPr>
          <w:ilvl w:val="0"/>
          <w:numId w:val="1"/>
        </w:numPr>
        <w:spacing w:after="80"/>
      </w:pPr>
      <w:r>
        <w:t xml:space="preserve">Required dependencies: None — immediately startable (Phase B §7).</w:t>
      </w:r>
    </w:p>
    <w:p>
      <w:pPr>
        <w:pStyle w:val="ListParagraph"/>
        <w:numPr>
          <w:ilvl w:val="0"/>
          <w:numId w:val="1"/>
        </w:numPr>
        <w:spacing w:after="80"/>
      </w:pPr>
      <w:r>
        <w:t xml:space="preserve">Required ownership: Executive Sponsor / Governance Board holds this Work Package directly; it is the mechanism by which the other four roles are named (Section 2, WP-0006.E).</w:t>
      </w:r>
    </w:p>
    <w:p>
      <w:pPr>
        <w:spacing w:after="120"/>
      </w:pPr>
    </w:p>
    <w:p>
      <w:pPr>
        <w:pStyle w:val="Heading3"/>
        <w:spacing w:after="100" w:before="220"/>
      </w:pPr>
      <w:r>
        <w:t xml:space="preserve">C. Implementation Activities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500"/>
        <w:gridCol w:w="2200"/>
        <w:gridCol w:w="2200"/>
      </w:tblGrid>
      <w:tr>
        <w:tc>
          <w:tcPr>
            <w:tcW w:type="dxa" w:w="500"/>
            <w:shd w:fill="D9E2F3" w:val="clear"/>
            <w:vAlign w:val="center"/>
          </w:tcPr>
          <w:p>
            <w:r>
              <w:rPr>
                <w:b/>
                <w:bCs/>
                <w:sz w:val="19"/>
                <w:szCs w:val="19"/>
              </w:rPr>
              <w:t xml:space="preserve">#</w:t>
            </w:r>
          </w:p>
        </w:tc>
        <w:tc>
          <w:tcPr>
            <w:tcW w:type="dxa" w:w="3400"/>
            <w:shd w:fill="D9E2F3" w:val="clear"/>
            <w:vAlign w:val="center"/>
          </w:tcPr>
          <w:p>
            <w:r>
              <w:rPr>
                <w:b/>
                <w:bCs/>
                <w:sz w:val="19"/>
                <w:szCs w:val="19"/>
              </w:rPr>
              <w:t xml:space="preserve">Activity Description</w:t>
            </w:r>
          </w:p>
        </w:tc>
        <w:tc>
          <w:tcPr>
            <w:tcW w:type="dxa" w:w="1500"/>
            <w:shd w:fill="D9E2F3" w:val="clear"/>
            <w:vAlign w:val="center"/>
          </w:tcPr>
          <w:p>
            <w:r>
              <w:rPr>
                <w:b/>
                <w:bCs/>
                <w:sz w:val="19"/>
                <w:szCs w:val="19"/>
              </w:rPr>
              <w:t xml:space="preserve">Repository Affected</w:t>
            </w:r>
          </w:p>
        </w:tc>
        <w:tc>
          <w:tcPr>
            <w:tcW w:type="dxa" w:w="2200"/>
            <w:shd w:fill="D9E2F3" w:val="clear"/>
            <w:vAlign w:val="center"/>
          </w:tcPr>
          <w:p>
            <w:r>
              <w:rPr>
                <w:b/>
                <w:bCs/>
                <w:sz w:val="19"/>
                <w:szCs w:val="19"/>
              </w:rPr>
              <w:t xml:space="preserve">Expected Output</w:t>
            </w:r>
          </w:p>
        </w:tc>
        <w:tc>
          <w:tcPr>
            <w:tcW w:type="dxa" w:w="2200"/>
            <w:shd w:fill="D9E2F3" w:val="clear"/>
            <w:vAlign w:val="center"/>
          </w:tcPr>
          <w:p>
            <w:r>
              <w:rPr>
                <w:b/>
                <w:bCs/>
                <w:sz w:val="19"/>
                <w:szCs w:val="19"/>
              </w:rPr>
              <w:t xml:space="preserve">Verification Checkpoint</w:t>
            </w:r>
          </w:p>
        </w:tc>
      </w:tr>
      <w:tr>
        <w:tc>
          <w:tcPr>
            <w:tcW w:type="dxa" w:w="500"/>
            <w:vAlign w:val="center"/>
          </w:tcPr>
          <w:p>
            <w:r>
              <w:rPr>
                <w:b w:val="false"/>
                <w:bCs w:val="false"/>
                <w:sz w:val="19"/>
                <w:szCs w:val="19"/>
              </w:rPr>
              <w:t xml:space="preserve">1</w:t>
            </w:r>
          </w:p>
        </w:tc>
        <w:tc>
          <w:tcPr>
            <w:tcW w:type="dxa" w:w="3400"/>
            <w:vAlign w:val="center"/>
          </w:tcPr>
          <w:p>
            <w:r>
              <w:rPr>
                <w:b w:val="false"/>
                <w:bCs w:val="false"/>
                <w:sz w:val="19"/>
                <w:szCs w:val="19"/>
              </w:rPr>
              <w:t xml:space="preserve">Executive Sponsor/Governance Board identifies and confirms an accountable individual for each of the five named roles.</w:t>
            </w:r>
          </w:p>
        </w:tc>
        <w:tc>
          <w:tcPr>
            <w:tcW w:type="dxa" w:w="1500"/>
            <w:vAlign w:val="center"/>
          </w:tcPr>
          <w:p>
            <w:r>
              <w:rPr>
                <w:b w:val="false"/>
                <w:bCs w:val="false"/>
                <w:sz w:val="19"/>
                <w:szCs w:val="19"/>
              </w:rPr>
              <w:t xml:space="preserve">Governance record</w:t>
            </w:r>
          </w:p>
        </w:tc>
        <w:tc>
          <w:tcPr>
            <w:tcW w:type="dxa" w:w="2200"/>
            <w:vAlign w:val="center"/>
          </w:tcPr>
          <w:p>
            <w:r>
              <w:rPr>
                <w:b w:val="false"/>
                <w:bCs w:val="false"/>
                <w:sz w:val="19"/>
                <w:szCs w:val="19"/>
              </w:rPr>
              <w:t xml:space="preserve">Five confirmed named owners.</w:t>
            </w:r>
          </w:p>
        </w:tc>
        <w:tc>
          <w:tcPr>
            <w:tcW w:type="dxa" w:w="2200"/>
            <w:vAlign w:val="center"/>
          </w:tcPr>
          <w:p>
            <w:r>
              <w:rPr>
                <w:b w:val="false"/>
                <w:bCs w:val="false"/>
                <w:sz w:val="19"/>
                <w:szCs w:val="19"/>
              </w:rPr>
              <w:t xml:space="preserve">Each name confirmed by the Executive Sponsor/Governance Board.</w:t>
            </w:r>
          </w:p>
        </w:tc>
      </w:tr>
      <w:tr>
        <w:tc>
          <w:tcPr>
            <w:tcW w:type="dxa" w:w="500"/>
            <w:vAlign w:val="center"/>
          </w:tcPr>
          <w:p>
            <w:r>
              <w:rPr>
                <w:b w:val="false"/>
                <w:bCs w:val="false"/>
                <w:sz w:val="19"/>
                <w:szCs w:val="19"/>
              </w:rPr>
              <w:t xml:space="preserve">2</w:t>
            </w:r>
          </w:p>
        </w:tc>
        <w:tc>
          <w:tcPr>
            <w:tcW w:type="dxa" w:w="3400"/>
            <w:vAlign w:val="center"/>
          </w:tcPr>
          <w:p>
            <w:r>
              <w:rPr>
                <w:b w:val="false"/>
                <w:bCs w:val="false"/>
                <w:sz w:val="19"/>
                <w:szCs w:val="19"/>
              </w:rPr>
              <w:t xml:space="preserve">Names are recorded against every Enterprise Governance Decision (EGD-0001–EGD-0009) and every Work Package (WP-0001–WP-0006).</w:t>
            </w:r>
          </w:p>
        </w:tc>
        <w:tc>
          <w:tcPr>
            <w:tcW w:type="dxa" w:w="1500"/>
            <w:vAlign w:val="center"/>
          </w:tcPr>
          <w:p>
            <w:r>
              <w:rPr>
                <w:b w:val="false"/>
                <w:bCs w:val="false"/>
                <w:sz w:val="19"/>
                <w:szCs w:val="19"/>
              </w:rPr>
              <w:t xml:space="preserve">Governance record</w:t>
            </w:r>
          </w:p>
        </w:tc>
        <w:tc>
          <w:tcPr>
            <w:tcW w:type="dxa" w:w="2200"/>
            <w:vAlign w:val="center"/>
          </w:tcPr>
          <w:p>
            <w:r>
              <w:rPr>
                <w:b w:val="false"/>
                <w:bCs w:val="false"/>
                <w:sz w:val="19"/>
                <w:szCs w:val="19"/>
              </w:rPr>
              <w:t xml:space="preserve">Complete owner-assignment record.</w:t>
            </w:r>
          </w:p>
        </w:tc>
        <w:tc>
          <w:tcPr>
            <w:tcW w:type="dxa" w:w="2200"/>
            <w:vAlign w:val="center"/>
          </w:tcPr>
          <w:p>
            <w:r>
              <w:rPr>
                <w:b w:val="false"/>
                <w:bCs w:val="false"/>
                <w:sz w:val="19"/>
                <w:szCs w:val="19"/>
              </w:rPr>
              <w:t xml:space="preserve">Every EGD and WP entry shows a named owner.</w:t>
            </w:r>
          </w:p>
        </w:tc>
      </w:tr>
      <w:tr>
        <w:tc>
          <w:tcPr>
            <w:tcW w:type="dxa" w:w="500"/>
            <w:vAlign w:val="center"/>
          </w:tcPr>
          <w:p>
            <w:r>
              <w:rPr>
                <w:b w:val="false"/>
                <w:bCs w:val="false"/>
                <w:sz w:val="19"/>
                <w:szCs w:val="19"/>
              </w:rPr>
              <w:t xml:space="preserve">3</w:t>
            </w:r>
          </w:p>
        </w:tc>
        <w:tc>
          <w:tcPr>
            <w:tcW w:type="dxa" w:w="3400"/>
            <w:vAlign w:val="center"/>
          </w:tcPr>
          <w:p>
            <w:r>
              <w:rPr>
                <w:b w:val="false"/>
                <w:bCs w:val="false"/>
                <w:sz w:val="19"/>
                <w:szCs w:val="19"/>
              </w:rPr>
              <w:t xml:space="preserve">KPI-08 is measured and confirmed at 100%.</w:t>
            </w:r>
          </w:p>
        </w:tc>
        <w:tc>
          <w:tcPr>
            <w:tcW w:type="dxa" w:w="1500"/>
            <w:vAlign w:val="center"/>
          </w:tcPr>
          <w:p>
            <w:r>
              <w:rPr>
                <w:b w:val="false"/>
                <w:bCs w:val="false"/>
                <w:sz w:val="19"/>
                <w:szCs w:val="19"/>
              </w:rPr>
              <w:t xml:space="preserve">Governance record</w:t>
            </w:r>
          </w:p>
        </w:tc>
        <w:tc>
          <w:tcPr>
            <w:tcW w:type="dxa" w:w="2200"/>
            <w:vAlign w:val="center"/>
          </w:tcPr>
          <w:p>
            <w:r>
              <w:rPr>
                <w:b w:val="false"/>
                <w:bCs w:val="false"/>
                <w:sz w:val="19"/>
                <w:szCs w:val="19"/>
              </w:rPr>
              <w:t xml:space="preserve">KPI-08 measurement.</w:t>
            </w:r>
          </w:p>
        </w:tc>
        <w:tc>
          <w:tcPr>
            <w:tcW w:type="dxa" w:w="2200"/>
            <w:vAlign w:val="center"/>
          </w:tcPr>
          <w:p>
            <w:r>
              <w:rPr>
                <w:b w:val="false"/>
                <w:bCs w:val="false"/>
                <w:sz w:val="19"/>
                <w:szCs w:val="19"/>
              </w:rPr>
              <w:t xml:space="preserve">Measurement shows 100% assignment.</w:t>
            </w:r>
          </w:p>
        </w:tc>
      </w:tr>
      <w:tr>
        <w:tc>
          <w:tcPr>
            <w:tcW w:type="dxa" w:w="500"/>
            <w:vAlign w:val="center"/>
          </w:tcPr>
          <w:p>
            <w:r>
              <w:rPr>
                <w:b w:val="false"/>
                <w:bCs w:val="false"/>
                <w:sz w:val="19"/>
                <w:szCs w:val="19"/>
              </w:rPr>
              <w:t xml:space="preserve">4</w:t>
            </w:r>
          </w:p>
        </w:tc>
        <w:tc>
          <w:tcPr>
            <w:tcW w:type="dxa" w:w="3400"/>
            <w:vAlign w:val="center"/>
          </w:tcPr>
          <w:p>
            <w:r>
              <w:rPr>
                <w:b w:val="false"/>
                <w:bCs w:val="false"/>
                <w:sz w:val="19"/>
                <w:szCs w:val="19"/>
              </w:rPr>
              <w:t xml:space="preserve">The AP-009 gap — found not by design but by simply trying to fill in a standard field — is closed.</w:t>
            </w:r>
          </w:p>
        </w:tc>
        <w:tc>
          <w:tcPr>
            <w:tcW w:type="dxa" w:w="1500"/>
            <w:vAlign w:val="center"/>
          </w:tcPr>
          <w:p>
            <w:r>
              <w:rPr>
                <w:b w:val="false"/>
                <w:bCs w:val="false"/>
                <w:sz w:val="19"/>
                <w:szCs w:val="19"/>
              </w:rPr>
              <w:t xml:space="preserve">Governance record</w:t>
            </w:r>
          </w:p>
        </w:tc>
        <w:tc>
          <w:tcPr>
            <w:tcW w:type="dxa" w:w="2200"/>
            <w:vAlign w:val="center"/>
          </w:tcPr>
          <w:p>
            <w:r>
              <w:rPr>
                <w:b w:val="false"/>
                <w:bCs w:val="false"/>
                <w:sz w:val="19"/>
                <w:szCs w:val="19"/>
              </w:rPr>
              <w:t xml:space="preserve">AP-009 closure record.</w:t>
            </w:r>
          </w:p>
        </w:tc>
        <w:tc>
          <w:tcPr>
            <w:tcW w:type="dxa" w:w="2200"/>
            <w:vAlign w:val="center"/>
          </w:tcPr>
          <w:p>
            <w:r>
              <w:rPr>
                <w:b w:val="false"/>
                <w:bCs w:val="false"/>
                <w:sz w:val="19"/>
                <w:szCs w:val="19"/>
              </w:rPr>
              <w:t xml:space="preserve">AP-009 status moves from Gap (0%) to Satisfied.</w:t>
            </w:r>
          </w:p>
        </w:tc>
      </w:tr>
    </w:tbl>
    <w:p>
      <w:pPr>
        <w:spacing w:after="120"/>
      </w:pPr>
    </w:p>
    <w:p>
      <w:pPr>
        <w:pStyle w:val="Heading3"/>
        <w:spacing w:after="100" w:before="220"/>
      </w:pPr>
      <w:r>
        <w:t xml:space="preserve">D. Repository Changes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9E2F3" w:val="clear"/>
            <w:vAlign w:val="center"/>
          </w:tcPr>
          <w:p>
            <w:r>
              <w:rPr>
                <w:b/>
                <w:bCs/>
                <w:sz w:val="19"/>
                <w:szCs w:val="19"/>
              </w:rPr>
              <w:t xml:space="preserve">Repository</w:t>
            </w:r>
          </w:p>
        </w:tc>
        <w:tc>
          <w:tcPr>
            <w:tcW w:type="dxa" w:w="7200"/>
            <w:shd w:fill="D9E2F3" w:val="clear"/>
            <w:vAlign w:val="center"/>
          </w:tcPr>
          <w:p>
            <w:r>
              <w:rPr>
                <w:b/>
                <w:bCs/>
                <w:sz w:val="19"/>
                <w:szCs w:val="19"/>
              </w:rPr>
              <w:t xml:space="preserve">Implementation Change</w:t>
            </w:r>
          </w:p>
        </w:tc>
      </w:tr>
      <w:tr>
        <w:tc>
          <w:tcPr>
            <w:tcW w:type="dxa" w:w="2400"/>
            <w:vAlign w:val="center"/>
          </w:tcPr>
          <w:p>
            <w:r>
              <w:rPr>
                <w:b w:val="false"/>
                <w:bCs w:val="false"/>
                <w:sz w:val="19"/>
                <w:szCs w:val="19"/>
              </w:rPr>
              <w:t xml:space="preserve">Documentation Repository</w:t>
            </w:r>
          </w:p>
        </w:tc>
        <w:tc>
          <w:tcPr>
            <w:tcW w:type="dxa" w:w="7200"/>
            <w:vAlign w:val="center"/>
          </w:tcPr>
          <w:p>
            <w:r>
              <w:rPr>
                <w:b w:val="false"/>
                <w:bCs w:val="false"/>
                <w:sz w:val="19"/>
                <w:szCs w:val="19"/>
              </w:rPr>
              <w:t xml:space="preserve">No Approved Repository Change — the named-owner record is a governance artifact, not a documentation-repository deliverable in the Section 3 sense (Section 2, WP-0006.G).</w:t>
            </w:r>
          </w:p>
        </w:tc>
      </w:tr>
      <w:tr>
        <w:tc>
          <w:tcPr>
            <w:tcW w:type="dxa" w:w="2400"/>
            <w:vAlign w:val="center"/>
          </w:tcPr>
          <w:p>
            <w:r>
              <w:rPr>
                <w:b w:val="false"/>
                <w:bCs w:val="false"/>
                <w:sz w:val="19"/>
                <w:szCs w:val="19"/>
              </w:rPr>
              <w:t xml:space="preserve">Database Repository</w:t>
            </w:r>
          </w:p>
        </w:tc>
        <w:tc>
          <w:tcPr>
            <w:tcW w:type="dxa" w:w="7200"/>
            <w:vAlign w:val="center"/>
          </w:tcPr>
          <w:p>
            <w:r>
              <w:rPr>
                <w:b w:val="false"/>
                <w:bCs w:val="false"/>
                <w:sz w:val="19"/>
                <w:szCs w:val="19"/>
              </w:rPr>
              <w:t xml:space="preserve">No Approved Repository Change — this Work Package is organizational, not technical (Section 2, WP-0006.D, G).</w:t>
            </w:r>
          </w:p>
        </w:tc>
      </w:tr>
      <w:tr>
        <w:tc>
          <w:tcPr>
            <w:tcW w:type="dxa" w:w="2400"/>
            <w:vAlign w:val="center"/>
          </w:tcPr>
          <w:p>
            <w:r>
              <w:rPr>
                <w:b w:val="false"/>
                <w:bCs w:val="false"/>
                <w:sz w:val="19"/>
                <w:szCs w:val="19"/>
              </w:rPr>
              <w:t xml:space="preserve">Test Repository</w:t>
            </w:r>
          </w:p>
        </w:tc>
        <w:tc>
          <w:tcPr>
            <w:tcW w:type="dxa" w:w="7200"/>
            <w:vAlign w:val="center"/>
          </w:tcPr>
          <w:p>
            <w:r>
              <w:rPr>
                <w:b w:val="false"/>
                <w:bCs w:val="false"/>
                <w:sz w:val="19"/>
                <w:szCs w:val="19"/>
              </w:rPr>
              <w:t xml:space="preserve">No Approved Repository Change — Testing Scope is Not Applicable to this Work Package (Section 2, WP-0006.D).</w:t>
            </w:r>
          </w:p>
        </w:tc>
      </w:tr>
    </w:tbl>
    <w:p>
      <w:pPr>
        <w:spacing w:after="120"/>
      </w:pPr>
    </w:p>
    <w:p>
      <w:pPr>
        <w:pStyle w:val="Heading3"/>
        <w:spacing w:after="100" w:before="220"/>
      </w:pPr>
      <w:r>
        <w:t xml:space="preserve">E. Verification Activities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Engineering Verification</w:t>
            </w:r>
          </w:p>
        </w:tc>
        <w:tc>
          <w:tcPr>
            <w:tcW w:type="dxa" w:w="7000"/>
            <w:vAlign w:val="center"/>
          </w:tcPr>
          <w:p>
            <w:r>
              <w:rPr>
                <w:b w:val="false"/>
                <w:bCs w:val="false"/>
                <w:sz w:val="19"/>
                <w:szCs w:val="19"/>
              </w:rPr>
              <w:t xml:space="preserve">Not Applicable — organizational action, not an engineering one.</w:t>
            </w:r>
          </w:p>
        </w:tc>
      </w:tr>
      <w:tr>
        <w:tc>
          <w:tcPr>
            <w:tcW w:type="dxa" w:w="2600"/>
            <w:shd w:fill="D9E2F3" w:val="clear"/>
            <w:vAlign w:val="center"/>
          </w:tcPr>
          <w:p>
            <w:r>
              <w:rPr>
                <w:b/>
                <w:bCs/>
                <w:sz w:val="19"/>
                <w:szCs w:val="19"/>
              </w:rPr>
              <w:t xml:space="preserve">Repository Verification</w:t>
            </w:r>
          </w:p>
        </w:tc>
        <w:tc>
          <w:tcPr>
            <w:tcW w:type="dxa" w:w="7000"/>
            <w:vAlign w:val="center"/>
          </w:tcPr>
          <w:p>
            <w:r>
              <w:rPr>
                <w:b w:val="false"/>
                <w:bCs w:val="false"/>
                <w:sz w:val="19"/>
                <w:szCs w:val="19"/>
              </w:rPr>
              <w:t xml:space="preserve">Not Applicable.</w:t>
            </w:r>
          </w:p>
        </w:tc>
      </w:tr>
      <w:tr>
        <w:tc>
          <w:tcPr>
            <w:tcW w:type="dxa" w:w="2600"/>
            <w:shd w:fill="D9E2F3" w:val="clear"/>
            <w:vAlign w:val="center"/>
          </w:tcPr>
          <w:p>
            <w:r>
              <w:rPr>
                <w:b/>
                <w:bCs/>
                <w:sz w:val="19"/>
                <w:szCs w:val="19"/>
              </w:rPr>
              <w:t xml:space="preserve">Governance Verification</w:t>
            </w:r>
          </w:p>
        </w:tc>
        <w:tc>
          <w:tcPr>
            <w:tcW w:type="dxa" w:w="7000"/>
            <w:vAlign w:val="center"/>
          </w:tcPr>
          <w:p>
            <w:r>
              <w:rPr>
                <w:b w:val="false"/>
                <w:bCs w:val="false"/>
                <w:sz w:val="19"/>
                <w:szCs w:val="19"/>
              </w:rPr>
              <w:t xml:space="preserve">KPI-08 measurement confirming 100% assignment across all nine EGDs and all six Work Packages (Section 4 §8).</w:t>
            </w:r>
          </w:p>
        </w:tc>
      </w:tr>
      <w:tr>
        <w:tc>
          <w:tcPr>
            <w:tcW w:type="dxa" w:w="2600"/>
            <w:shd w:fill="D9E2F3" w:val="clear"/>
            <w:vAlign w:val="center"/>
          </w:tcPr>
          <w:p>
            <w:r>
              <w:rPr>
                <w:b/>
                <w:bCs/>
                <w:sz w:val="19"/>
                <w:szCs w:val="19"/>
              </w:rPr>
              <w:t xml:space="preserve">Documentation Verification</w:t>
            </w:r>
          </w:p>
        </w:tc>
        <w:tc>
          <w:tcPr>
            <w:tcW w:type="dxa" w:w="7000"/>
            <w:vAlign w:val="center"/>
          </w:tcPr>
          <w:p>
            <w:r>
              <w:rPr>
                <w:b w:val="false"/>
                <w:bCs w:val="false"/>
                <w:sz w:val="19"/>
                <w:szCs w:val="19"/>
              </w:rPr>
              <w:t xml:space="preserve">Named-owner record reviewed for completeness across EGD-0001–EGD-0009 and WP-0001–WP-0006.</w:t>
            </w:r>
          </w:p>
        </w:tc>
      </w:tr>
      <w:tr>
        <w:tc>
          <w:tcPr>
            <w:tcW w:type="dxa" w:w="2600"/>
            <w:shd w:fill="D9E2F3" w:val="clear"/>
            <w:vAlign w:val="center"/>
          </w:tcPr>
          <w:p>
            <w:r>
              <w:rPr>
                <w:b/>
                <w:bCs/>
                <w:sz w:val="19"/>
                <w:szCs w:val="19"/>
              </w:rPr>
              <w:t xml:space="preserve">Completion Evidence</w:t>
            </w:r>
          </w:p>
        </w:tc>
        <w:tc>
          <w:tcPr>
            <w:tcW w:type="dxa" w:w="7000"/>
            <w:vAlign w:val="center"/>
          </w:tcPr>
          <w:p>
            <w:r>
              <w:rPr>
                <w:b w:val="false"/>
                <w:bCs w:val="false"/>
                <w:sz w:val="19"/>
                <w:szCs w:val="19"/>
              </w:rPr>
              <w:t xml:space="preserve">KPI-08 measurement record; named-owner record; AP-009 closure record.</w:t>
            </w:r>
          </w:p>
        </w:tc>
      </w:tr>
    </w:tbl>
    <w:p>
      <w:pPr>
        <w:spacing w:after="120"/>
      </w:pPr>
    </w:p>
    <w:p>
      <w:pPr>
        <w:pStyle w:val="Heading3"/>
        <w:spacing w:after="100" w:before="220"/>
      </w:pPr>
      <w:r>
        <w:t xml:space="preserve">F. Rollback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E2F3" w:val="clear"/>
            <w:vAlign w:val="center"/>
          </w:tcPr>
          <w:p>
            <w:r>
              <w:rPr>
                <w:b/>
                <w:bCs/>
                <w:sz w:val="19"/>
                <w:szCs w:val="19"/>
              </w:rPr>
              <w:t xml:space="preserve">Rollback Trigger</w:t>
            </w:r>
          </w:p>
        </w:tc>
        <w:tc>
          <w:tcPr>
            <w:tcW w:type="dxa" w:w="7000"/>
            <w:vAlign w:val="center"/>
          </w:tcPr>
          <w:p>
            <w:r>
              <w:rPr>
                <w:b w:val="false"/>
                <w:bCs w:val="false"/>
                <w:sz w:val="19"/>
                <w:szCs w:val="19"/>
              </w:rPr>
              <w:t xml:space="preserve">Not Applicable — reassigning a different individual to a role is a subsequent governance decision, not a technical rollback event.</w:t>
            </w:r>
          </w:p>
        </w:tc>
      </w:tr>
      <w:tr>
        <w:tc>
          <w:tcPr>
            <w:tcW w:type="dxa" w:w="2600"/>
            <w:shd w:fill="D9E2F3" w:val="clear"/>
            <w:vAlign w:val="center"/>
          </w:tcPr>
          <w:p>
            <w:r>
              <w:rPr>
                <w:b/>
                <w:bCs/>
                <w:sz w:val="19"/>
                <w:szCs w:val="19"/>
              </w:rPr>
              <w:t xml:space="preserve">Rollback Approach</w:t>
            </w:r>
          </w:p>
        </w:tc>
        <w:tc>
          <w:tcPr>
            <w:tcW w:type="dxa" w:w="7000"/>
            <w:vAlign w:val="center"/>
          </w:tcPr>
          <w:p>
            <w:r>
              <w:rPr>
                <w:b w:val="false"/>
                <w:bCs w:val="false"/>
                <w:sz w:val="19"/>
                <w:szCs w:val="19"/>
              </w:rPr>
              <w:t xml:space="preserve">Any change to a named owner is handled as a new governance action under the existing change-approval process (AP-003; Section 1 §5), not as a rollback.</w:t>
            </w:r>
          </w:p>
        </w:tc>
      </w:tr>
      <w:tr>
        <w:tc>
          <w:tcPr>
            <w:tcW w:type="dxa" w:w="2600"/>
            <w:shd w:fill="D9E2F3" w:val="clear"/>
            <w:vAlign w:val="center"/>
          </w:tcPr>
          <w:p>
            <w:r>
              <w:rPr>
                <w:b/>
                <w:bCs/>
                <w:sz w:val="19"/>
                <w:szCs w:val="19"/>
              </w:rPr>
              <w:t xml:space="preserve">Repository Restoration</w:t>
            </w:r>
          </w:p>
        </w:tc>
        <w:tc>
          <w:tcPr>
            <w:tcW w:type="dxa" w:w="7000"/>
            <w:vAlign w:val="center"/>
          </w:tcPr>
          <w:p>
            <w:r>
              <w:rPr>
                <w:b w:val="false"/>
                <w:bCs w:val="false"/>
                <w:sz w:val="19"/>
                <w:szCs w:val="19"/>
              </w:rPr>
              <w:t xml:space="preserve">Not Applicable — no repository artifact exists to restore.</w:t>
            </w:r>
          </w:p>
        </w:tc>
      </w:tr>
      <w:tr>
        <w:tc>
          <w:tcPr>
            <w:tcW w:type="dxa" w:w="2600"/>
            <w:shd w:fill="D9E2F3" w:val="clear"/>
            <w:vAlign w:val="center"/>
          </w:tcPr>
          <w:p>
            <w:r>
              <w:rPr>
                <w:b/>
                <w:bCs/>
                <w:sz w:val="19"/>
                <w:szCs w:val="19"/>
              </w:rPr>
              <w:t xml:space="preserve">Documentation Restoration</w:t>
            </w:r>
          </w:p>
        </w:tc>
        <w:tc>
          <w:tcPr>
            <w:tcW w:type="dxa" w:w="7000"/>
            <w:vAlign w:val="center"/>
          </w:tcPr>
          <w:p>
            <w:r>
              <w:rPr>
                <w:b w:val="false"/>
                <w:bCs w:val="false"/>
                <w:sz w:val="19"/>
                <w:szCs w:val="19"/>
              </w:rPr>
              <w:t xml:space="preserve">Not Applicable.</w:t>
            </w:r>
          </w:p>
        </w:tc>
      </w:tr>
      <w:tr>
        <w:tc>
          <w:tcPr>
            <w:tcW w:type="dxa" w:w="2600"/>
            <w:shd w:fill="D9E2F3" w:val="clear"/>
            <w:vAlign w:val="center"/>
          </w:tcPr>
          <w:p>
            <w:r>
              <w:rPr>
                <w:b/>
                <w:bCs/>
                <w:sz w:val="19"/>
                <w:szCs w:val="19"/>
              </w:rPr>
              <w:t xml:space="preserve">Governance Restoration</w:t>
            </w:r>
          </w:p>
        </w:tc>
        <w:tc>
          <w:tcPr>
            <w:tcW w:type="dxa" w:w="7000"/>
            <w:vAlign w:val="center"/>
          </w:tcPr>
          <w:p>
            <w:r>
              <w:rPr>
                <w:b w:val="false"/>
                <w:bCs w:val="false"/>
                <w:sz w:val="19"/>
                <w:szCs w:val="19"/>
              </w:rPr>
              <w:t xml:space="preserve">A reassignment is recorded as a new dated entry in the owner-assignment record; the prior name is retained for audit history, not erased.</w:t>
            </w:r>
          </w:p>
        </w:tc>
      </w:tr>
    </w:tbl>
    <w:p>
      <w:pPr>
        <w:spacing w:after="120"/>
      </w:pPr>
    </w:p>
    <w:p>
      <w:pPr>
        <w:pStyle w:val="Heading3"/>
        <w:spacing w:after="100" w:before="220"/>
      </w:pPr>
      <w:r>
        <w:t xml:space="preserve">G. Completion Evidence</w:t>
      </w:r>
    </w:p>
    <w:p>
      <w:pPr>
        <w:pStyle w:val="ListParagraph"/>
        <w:numPr>
          <w:ilvl w:val="0"/>
          <w:numId w:val="1"/>
        </w:numPr>
        <w:spacing w:after="80"/>
      </w:pPr>
      <w:r>
        <w:t xml:space="preserve">Named-owner record across all nine EGD entries and all six Work Packages.</w:t>
      </w:r>
    </w:p>
    <w:p>
      <w:pPr>
        <w:pStyle w:val="ListParagraph"/>
        <w:numPr>
          <w:ilvl w:val="0"/>
          <w:numId w:val="1"/>
        </w:numPr>
        <w:spacing w:after="80"/>
      </w:pPr>
      <w:r>
        <w:t xml:space="preserve">KPI-08 measurement confirming 100% assignment.</w:t>
      </w:r>
    </w:p>
    <w:p>
      <w:pPr>
        <w:pStyle w:val="ListParagraph"/>
        <w:numPr>
          <w:ilvl w:val="0"/>
          <w:numId w:val="1"/>
        </w:numPr>
        <w:spacing w:after="80"/>
      </w:pPr>
      <w:r>
        <w:t xml:space="preserve">AP-009 closure record.</w:t>
      </w:r>
    </w:p>
    <w:p>
      <w:pPr>
        <w:spacing w:after="120"/>
      </w:pPr>
    </w:p>
    <w:p>
      <w:pPr>
        <w:pStyle w:val="Heading3"/>
        <w:spacing w:after="100" w:before="220"/>
      </w:pPr>
      <w:r>
        <w:t xml:space="preserve">H. Completion Conditions</w:t>
      </w:r>
    </w:p>
    <w:p>
      <w:pPr>
        <w:pStyle w:val="ListParagraph"/>
        <w:numPr>
          <w:ilvl w:val="0"/>
          <w:numId w:val="1"/>
        </w:numPr>
        <w:spacing w:after="80"/>
      </w:pPr>
      <w:r>
        <w:t xml:space="preserve">KPI-08 Ownership Assignment % = 100% (Section 2, WP-0006.J).</w:t>
      </w:r>
    </w:p>
    <w:p>
      <w:pPr>
        <w:pStyle w:val="ListParagraph"/>
        <w:numPr>
          <w:ilvl w:val="0"/>
          <w:numId w:val="1"/>
        </w:numPr>
        <w:spacing w:after="80"/>
      </w:pPr>
      <w:r>
        <w:t xml:space="preserve">Zero unassigned owner fields remain across EGD-0001–EGD-0009 and WP-0001–WP-0006 (Section 2, WP-0006.J).</w:t>
      </w:r>
    </w:p>
    <w:p>
      <w:pPr>
        <w:pStyle w:val="ListParagraph"/>
        <w:numPr>
          <w:ilvl w:val="0"/>
          <w:numId w:val="1"/>
        </w:numPr>
        <w:spacing w:after="80"/>
      </w:pPr>
      <w:r>
        <w:t xml:space="preserve">This Work Package carries no Certification Level of its own — it is an organizational precondition, not itself certified (Section 4 §8).</w:t>
      </w:r>
    </w:p>
    <w:p>
      <w:r>
        <w:br w:type="page"/>
      </w:r>
    </w:p>
    <w:p>
      <w:pPr>
        <w:pStyle w:val="Heading1"/>
        <w:spacing w:after="160" w:before="360"/>
      </w:pPr>
      <w:r>
        <w:t xml:space="preserve">4. Cross-Work Package Implementation Sequence</w:t>
      </w:r>
    </w:p>
    <w:p>
      <w:pPr>
        <w:pStyle w:val="Heading3"/>
        <w:spacing w:after="100" w:before="220"/>
      </w:pPr>
      <w:r>
        <w:t xml:space="preserve">Wave Sequencing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3500"/>
      </w:tblGrid>
      <w:tr>
        <w:tc>
          <w:tcPr>
            <w:tcW w:type="dxa" w:w="1300"/>
            <w:shd w:fill="D9E2F3" w:val="clear"/>
            <w:vAlign w:val="center"/>
          </w:tcPr>
          <w:p>
            <w:r>
              <w:rPr>
                <w:b/>
                <w:bCs/>
                <w:sz w:val="19"/>
                <w:szCs w:val="19"/>
              </w:rPr>
              <w:t xml:space="preserve">Wave</w:t>
            </w:r>
          </w:p>
        </w:tc>
        <w:tc>
          <w:tcPr>
            <w:tcW w:type="dxa" w:w="2400"/>
            <w:shd w:fill="D9E2F3" w:val="clear"/>
            <w:vAlign w:val="center"/>
          </w:tcPr>
          <w:p>
            <w:r>
              <w:rPr>
                <w:b/>
                <w:bCs/>
                <w:sz w:val="19"/>
                <w:szCs w:val="19"/>
              </w:rPr>
              <w:t xml:space="preserve">Theme</w:t>
            </w:r>
          </w:p>
        </w:tc>
        <w:tc>
          <w:tcPr>
            <w:tcW w:type="dxa" w:w="2400"/>
            <w:shd w:fill="D9E2F3" w:val="clear"/>
            <w:vAlign w:val="center"/>
          </w:tcPr>
          <w:p>
            <w:r>
              <w:rPr>
                <w:b/>
                <w:bCs/>
                <w:sz w:val="19"/>
                <w:szCs w:val="19"/>
              </w:rPr>
              <w:t xml:space="preserve">Work Packages</w:t>
            </w:r>
          </w:p>
        </w:tc>
        <w:tc>
          <w:tcPr>
            <w:tcW w:type="dxa" w:w="3500"/>
            <w:shd w:fill="D9E2F3" w:val="clear"/>
            <w:vAlign w:val="center"/>
          </w:tcPr>
          <w:p>
            <w:r>
              <w:rPr>
                <w:b/>
                <w:bCs/>
                <w:sz w:val="19"/>
                <w:szCs w:val="19"/>
              </w:rPr>
              <w:t xml:space="preserve">Dependency Basis</w:t>
            </w:r>
          </w:p>
        </w:tc>
      </w:tr>
      <w:tr>
        <w:tc>
          <w:tcPr>
            <w:tcW w:type="dxa" w:w="1300"/>
            <w:vAlign w:val="center"/>
          </w:tcPr>
          <w:p>
            <w:r>
              <w:rPr>
                <w:b w:val="false"/>
                <w:bCs w:val="false"/>
                <w:sz w:val="19"/>
                <w:szCs w:val="19"/>
              </w:rPr>
              <w:t xml:space="preserve">Wave 1</w:t>
            </w:r>
          </w:p>
        </w:tc>
        <w:tc>
          <w:tcPr>
            <w:tcW w:type="dxa" w:w="2400"/>
            <w:vAlign w:val="center"/>
          </w:tcPr>
          <w:p>
            <w:r>
              <w:rPr>
                <w:b w:val="false"/>
                <w:bCs w:val="false"/>
                <w:sz w:val="19"/>
                <w:szCs w:val="19"/>
              </w:rPr>
              <w:t xml:space="preserve">Critical Foundation</w:t>
            </w:r>
          </w:p>
        </w:tc>
        <w:tc>
          <w:tcPr>
            <w:tcW w:type="dxa" w:w="2400"/>
            <w:vAlign w:val="center"/>
          </w:tcPr>
          <w:p>
            <w:r>
              <w:rPr>
                <w:b w:val="false"/>
                <w:bCs w:val="false"/>
                <w:sz w:val="19"/>
                <w:szCs w:val="19"/>
              </w:rPr>
              <w:t xml:space="preserve">WP-0006, WP-0002</w:t>
            </w:r>
          </w:p>
        </w:tc>
        <w:tc>
          <w:tcPr>
            <w:tcW w:type="dxa" w:w="3500"/>
            <w:vAlign w:val="center"/>
          </w:tcPr>
          <w:p>
            <w:r>
              <w:rPr>
                <w:b w:val="false"/>
                <w:bCs w:val="false"/>
                <w:sz w:val="19"/>
                <w:szCs w:val="19"/>
              </w:rPr>
              <w:t xml:space="preserve">No dependency on each other; both startable immediately (Phase B §7).</w:t>
            </w:r>
          </w:p>
        </w:tc>
      </w:tr>
      <w:tr>
        <w:tc>
          <w:tcPr>
            <w:tcW w:type="dxa" w:w="1300"/>
            <w:vAlign w:val="center"/>
          </w:tcPr>
          <w:p>
            <w:r>
              <w:rPr>
                <w:b w:val="false"/>
                <w:bCs w:val="false"/>
                <w:sz w:val="19"/>
                <w:szCs w:val="19"/>
              </w:rPr>
              <w:t xml:space="preserve">Wave 2</w:t>
            </w:r>
          </w:p>
        </w:tc>
        <w:tc>
          <w:tcPr>
            <w:tcW w:type="dxa" w:w="2400"/>
            <w:vAlign w:val="center"/>
          </w:tcPr>
          <w:p>
            <w:r>
              <w:rPr>
                <w:b w:val="false"/>
                <w:bCs w:val="false"/>
                <w:sz w:val="19"/>
                <w:szCs w:val="19"/>
              </w:rPr>
              <w:t xml:space="preserve">Platform Stabilization</w:t>
            </w:r>
          </w:p>
        </w:tc>
        <w:tc>
          <w:tcPr>
            <w:tcW w:type="dxa" w:w="2400"/>
            <w:vAlign w:val="center"/>
          </w:tcPr>
          <w:p>
            <w:r>
              <w:rPr>
                <w:b w:val="false"/>
                <w:bCs w:val="false"/>
                <w:sz w:val="19"/>
                <w:szCs w:val="19"/>
              </w:rPr>
              <w:t xml:space="preserve">WP-0001, WP-0004, WP-0005</w:t>
            </w:r>
          </w:p>
        </w:tc>
        <w:tc>
          <w:tcPr>
            <w:tcW w:type="dxa" w:w="3500"/>
            <w:vAlign w:val="center"/>
          </w:tcPr>
          <w:p>
            <w:r>
              <w:rPr>
                <w:b w:val="false"/>
                <w:bCs w:val="false"/>
                <w:sz w:val="19"/>
                <w:szCs w:val="19"/>
              </w:rPr>
              <w:t xml:space="preserve">Each benefits from, but is not blocked by, its respective Wave 1 predecessor.</w:t>
            </w:r>
          </w:p>
        </w:tc>
      </w:tr>
      <w:tr>
        <w:tc>
          <w:tcPr>
            <w:tcW w:type="dxa" w:w="1300"/>
            <w:vAlign w:val="center"/>
          </w:tcPr>
          <w:p>
            <w:r>
              <w:rPr>
                <w:b w:val="false"/>
                <w:bCs w:val="false"/>
                <w:sz w:val="19"/>
                <w:szCs w:val="19"/>
              </w:rPr>
              <w:t xml:space="preserve">Wave 3</w:t>
            </w:r>
          </w:p>
        </w:tc>
        <w:tc>
          <w:tcPr>
            <w:tcW w:type="dxa" w:w="2400"/>
            <w:vAlign w:val="center"/>
          </w:tcPr>
          <w:p>
            <w:r>
              <w:rPr>
                <w:b w:val="false"/>
                <w:bCs w:val="false"/>
                <w:sz w:val="19"/>
                <w:szCs w:val="19"/>
              </w:rPr>
              <w:t xml:space="preserve">Trigger-Gated Assessment</w:t>
            </w:r>
          </w:p>
        </w:tc>
        <w:tc>
          <w:tcPr>
            <w:tcW w:type="dxa" w:w="2400"/>
            <w:vAlign w:val="center"/>
          </w:tcPr>
          <w:p>
            <w:r>
              <w:rPr>
                <w:b w:val="false"/>
                <w:bCs w:val="false"/>
                <w:sz w:val="19"/>
                <w:szCs w:val="19"/>
              </w:rPr>
              <w:t xml:space="preserve">WP-0003</w:t>
            </w:r>
          </w:p>
        </w:tc>
        <w:tc>
          <w:tcPr>
            <w:tcW w:type="dxa" w:w="3500"/>
            <w:vAlign w:val="center"/>
          </w:tcPr>
          <w:p>
            <w:r>
              <w:rPr>
                <w:b w:val="false"/>
                <w:bCs w:val="false"/>
                <w:sz w:val="19"/>
                <w:szCs w:val="19"/>
              </w:rPr>
              <w:t xml:space="preserve">Begins only once the EGD-0004 threshold (10M rows, latency degradation, or 10-downstream-system scale) is met.</w:t>
            </w:r>
          </w:p>
        </w:tc>
      </w:tr>
      <w:tr>
        <w:tc>
          <w:tcPr>
            <w:tcW w:type="dxa" w:w="1300"/>
            <w:vAlign w:val="center"/>
          </w:tcPr>
          <w:p>
            <w:r>
              <w:rPr>
                <w:b w:val="false"/>
                <w:bCs w:val="false"/>
                <w:sz w:val="19"/>
                <w:szCs w:val="19"/>
              </w:rPr>
              <w:t xml:space="preserve">Wave 4 (Reserved)</w:t>
            </w:r>
          </w:p>
        </w:tc>
        <w:tc>
          <w:tcPr>
            <w:tcW w:type="dxa" w:w="2400"/>
            <w:vAlign w:val="center"/>
          </w:tcPr>
          <w:p>
            <w:r>
              <w:rPr>
                <w:b w:val="false"/>
                <w:bCs w:val="false"/>
                <w:sz w:val="19"/>
                <w:szCs w:val="19"/>
              </w:rPr>
              <w:t xml:space="preserve">Business/AI Intelligence</w:t>
            </w:r>
          </w:p>
        </w:tc>
        <w:tc>
          <w:tcPr>
            <w:tcW w:type="dxa" w:w="2400"/>
            <w:vAlign w:val="center"/>
          </w:tcPr>
          <w:p>
            <w:r>
              <w:rPr>
                <w:b w:val="false"/>
                <w:bCs w:val="false"/>
                <w:sz w:val="19"/>
                <w:szCs w:val="19"/>
              </w:rPr>
              <w:t xml:space="preserve">None assigned</w:t>
            </w:r>
          </w:p>
        </w:tc>
        <w:tc>
          <w:tcPr>
            <w:tcW w:type="dxa" w:w="3500"/>
            <w:vAlign w:val="center"/>
          </w:tcPr>
          <w:p>
            <w:r>
              <w:rPr>
                <w:b w:val="false"/>
                <w:bCs w:val="false"/>
                <w:sz w:val="19"/>
                <w:szCs w:val="19"/>
              </w:rPr>
              <w:t xml:space="preserve">No AR/EGD exists in this domain.</w:t>
            </w:r>
          </w:p>
        </w:tc>
      </w:tr>
      <w:tr>
        <w:tc>
          <w:tcPr>
            <w:tcW w:type="dxa" w:w="1300"/>
            <w:vAlign w:val="center"/>
          </w:tcPr>
          <w:p>
            <w:r>
              <w:rPr>
                <w:b w:val="false"/>
                <w:bCs w:val="false"/>
                <w:sz w:val="19"/>
                <w:szCs w:val="19"/>
              </w:rPr>
              <w:t xml:space="preserve">Wave 5 (Reserved)</w:t>
            </w:r>
          </w:p>
        </w:tc>
        <w:tc>
          <w:tcPr>
            <w:tcW w:type="dxa" w:w="2400"/>
            <w:vAlign w:val="center"/>
          </w:tcPr>
          <w:p>
            <w:r>
              <w:rPr>
                <w:b w:val="false"/>
                <w:bCs w:val="false"/>
                <w:sz w:val="19"/>
                <w:szCs w:val="19"/>
              </w:rPr>
              <w:t xml:space="preserve">Enterprise Optimization</w:t>
            </w:r>
          </w:p>
        </w:tc>
        <w:tc>
          <w:tcPr>
            <w:tcW w:type="dxa" w:w="2400"/>
            <w:vAlign w:val="center"/>
          </w:tcPr>
          <w:p>
            <w:r>
              <w:rPr>
                <w:b w:val="false"/>
                <w:bCs w:val="false"/>
                <w:sz w:val="19"/>
                <w:szCs w:val="19"/>
              </w:rPr>
              <w:t xml:space="preserve">None assigned</w:t>
            </w:r>
          </w:p>
        </w:tc>
        <w:tc>
          <w:tcPr>
            <w:tcW w:type="dxa" w:w="3500"/>
            <w:vAlign w:val="center"/>
          </w:tcPr>
          <w:p>
            <w:r>
              <w:rPr>
                <w:b w:val="false"/>
                <w:bCs w:val="false"/>
                <w:sz w:val="19"/>
                <w:szCs w:val="19"/>
              </w:rPr>
              <w:t xml:space="preserve">Not Evidenced in Current Baseline.</w:t>
            </w:r>
          </w:p>
        </w:tc>
      </w:tr>
    </w:tbl>
    <w:p>
      <w:pPr>
        <w:spacing w:after="120"/>
      </w:pPr>
    </w:p>
    <w:p>
      <w:pPr>
        <w:pStyle w:val="Heading3"/>
        <w:spacing w:after="100" w:before="220"/>
      </w:pPr>
      <w:r>
        <w:t xml:space="preserve">Critical Path</w:t>
      </w:r>
    </w:p>
    <w:p>
      <w:pPr>
        <w:spacing w:after="140"/>
      </w:pPr>
      <w:r>
        <w:rPr>
          <w:b w:val="false"/>
          <w:bCs w:val="false"/>
          <w:i w:val="false"/>
          <w:iCs w:val="false"/>
        </w:rPr>
        <w:t xml:space="preserve">WP-0006 (owner assignment, days) → WP-0002 (RLS verification, 1–2 days, parallel) → WP-0001 (documentation revision, 1 session, under the newly-assigned owner) → WP-0004 / WP-0005 (parallel, low effort) → Production Ready milestone. WP-0003 sits outside this critical path entirely, gated on an external trigger rather than on any item within it (Phase B §7; Section 2 §4).</w:t>
      </w:r>
    </w:p>
    <w:p>
      <w:pPr>
        <w:pStyle w:val="Heading3"/>
        <w:spacing w:after="100" w:before="220"/>
      </w:pPr>
      <w:r>
        <w:t xml:space="preserve">Parallel Implementation Opportunities</w:t>
      </w:r>
    </w:p>
    <w:p>
      <w:pPr>
        <w:pStyle w:val="ListParagraph"/>
        <w:numPr>
          <w:ilvl w:val="0"/>
          <w:numId w:val="1"/>
        </w:numPr>
        <w:spacing w:after="80"/>
      </w:pPr>
      <w:r>
        <w:t xml:space="preserve">WP-0002 and WP-0006 (Wave 1) — no dependency on each other; both startable immediately.</w:t>
      </w:r>
    </w:p>
    <w:p>
      <w:pPr>
        <w:pStyle w:val="ListParagraph"/>
        <w:numPr>
          <w:ilvl w:val="0"/>
          <w:numId w:val="1"/>
        </w:numPr>
        <w:spacing w:after="80"/>
      </w:pPr>
      <w:r>
        <w:t xml:space="preserve">WP-0001, WP-0004, and WP-0005 (Wave 2) — each benefits from, but is not blocked by, its respective Wave 1 predecessor; all three can proceed in parallel once Wave 1 completes.</w:t>
      </w:r>
    </w:p>
    <w:p>
      <w:pPr>
        <w:pStyle w:val="Heading3"/>
        <w:spacing w:after="100" w:before="220"/>
      </w:pPr>
      <w:r>
        <w:t xml:space="preserve">Trigger-Gated Activities</w:t>
      </w:r>
    </w:p>
    <w:p>
      <w:pPr>
        <w:spacing w:after="140"/>
      </w:pPr>
      <w:r>
        <w:rPr>
          <w:b w:val="false"/>
          <w:bCs w:val="false"/>
          <w:i w:val="false"/>
          <w:iCs w:val="false"/>
        </w:rPr>
        <w:t xml:space="preserve">WP-0003 alone is trigger-gated: its substantive partitioning activity (Activities 4–7 in Section 3 above) begins only once EGD-0004's threshold is met. Until then, only Activities 1–3 (quarterly monitoring) are active.</w:t>
      </w:r>
    </w:p>
    <w:p>
      <w:pPr>
        <w:pStyle w:val="Heading3"/>
        <w:spacing w:after="100" w:before="220"/>
      </w:pPr>
      <w:r>
        <w:t xml:space="preserve">Governance Dependencies</w:t>
      </w:r>
    </w:p>
    <w:p>
      <w:pPr>
        <w:spacing w:after="140"/>
      </w:pPr>
      <w:r>
        <w:rPr>
          <w:b w:val="false"/>
          <w:bCs w:val="false"/>
          <w:i w:val="false"/>
          <w:iCs w:val="false"/>
        </w:rPr>
        <w:t xml:space="preserve">Every Work Package's governing EGD is already dispositioned in Phase A.3 §4 — none requires new governance to begin implementation. WP-0006 is the sole precondition for governance decisions to carry accountable, rather than aspirational, ownership during execution.</w:t>
      </w:r>
    </w:p>
    <w:p>
      <w:pPr>
        <w:pStyle w:val="Heading3"/>
        <w:spacing w:after="100" w:before="220"/>
      </w:pPr>
      <w:r>
        <w:t xml:space="preserve">Verification Dependencies</w:t>
      </w:r>
    </w:p>
    <w:p>
      <w:pPr>
        <w:spacing w:after="140"/>
      </w:pPr>
      <w:r>
        <w:rPr>
          <w:b w:val="false"/>
          <w:bCs w:val="false"/>
          <w:i w:val="false"/>
          <w:iCs w:val="false"/>
        </w:rPr>
        <w:t xml:space="preserve">WP-0002's written, query-evidenced verification method is the adopted template that WP-0004 and WP-0005 explicitly reuse rather than re-design (Section 1 §7; Section 4 §9).</w:t>
      </w:r>
    </w:p>
    <w:p>
      <w:r>
        <w:br w:type="page"/>
      </w:r>
    </w:p>
    <w:p>
      <w:pPr>
        <w:pStyle w:val="Heading1"/>
        <w:spacing w:after="160" w:before="360"/>
      </w:pPr>
      <w:r>
        <w:t xml:space="preserve">5. Enterprise Implementation Roadmap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3900"/>
      </w:tblGrid>
      <w:tr>
        <w:tc>
          <w:tcPr>
            <w:tcW w:type="dxa" w:w="1000"/>
            <w:shd w:fill="D9E2F3" w:val="clear"/>
            <w:vAlign w:val="center"/>
          </w:tcPr>
          <w:p>
            <w:r>
              <w:rPr>
                <w:b/>
                <w:bCs/>
                <w:sz w:val="19"/>
                <w:szCs w:val="19"/>
              </w:rPr>
              <w:t xml:space="preserve">Wave</w:t>
            </w:r>
          </w:p>
        </w:tc>
        <w:tc>
          <w:tcPr>
            <w:tcW w:type="dxa" w:w="2600"/>
            <w:shd w:fill="D9E2F3" w:val="clear"/>
            <w:vAlign w:val="center"/>
          </w:tcPr>
          <w:p>
            <w:r>
              <w:rPr>
                <w:b/>
                <w:bCs/>
                <w:sz w:val="19"/>
                <w:szCs w:val="19"/>
              </w:rPr>
              <w:t xml:space="preserve">Classification</w:t>
            </w:r>
          </w:p>
        </w:tc>
        <w:tc>
          <w:tcPr>
            <w:tcW w:type="dxa" w:w="1800"/>
            <w:shd w:fill="D9E2F3" w:val="clear"/>
            <w:vAlign w:val="center"/>
          </w:tcPr>
          <w:p>
            <w:r>
              <w:rPr>
                <w:b/>
                <w:bCs/>
                <w:sz w:val="19"/>
                <w:szCs w:val="19"/>
              </w:rPr>
              <w:t xml:space="preserve">Work Packages</w:t>
            </w:r>
          </w:p>
        </w:tc>
        <w:tc>
          <w:tcPr>
            <w:tcW w:type="dxa" w:w="3900"/>
            <w:shd w:fill="D9E2F3" w:val="clear"/>
            <w:vAlign w:val="center"/>
          </w:tcPr>
          <w:p>
            <w:r>
              <w:rPr>
                <w:b/>
                <w:bCs/>
                <w:sz w:val="19"/>
                <w:szCs w:val="19"/>
              </w:rPr>
              <w:t xml:space="preserve">Implementation Activities Summary</w:t>
            </w:r>
          </w:p>
        </w:tc>
      </w:tr>
      <w:tr>
        <w:tc>
          <w:tcPr>
            <w:tcW w:type="dxa" w:w="1000"/>
            <w:vAlign w:val="center"/>
          </w:tcPr>
          <w:p>
            <w:r>
              <w:rPr>
                <w:b w:val="false"/>
                <w:bCs w:val="false"/>
                <w:sz w:val="19"/>
                <w:szCs w:val="19"/>
              </w:rPr>
              <w:t xml:space="preserve">Wave 1</w:t>
            </w:r>
          </w:p>
        </w:tc>
        <w:tc>
          <w:tcPr>
            <w:tcW w:type="dxa" w:w="2600"/>
            <w:vAlign w:val="center"/>
          </w:tcPr>
          <w:p>
            <w:r>
              <w:rPr>
                <w:b w:val="false"/>
                <w:bCs w:val="false"/>
                <w:sz w:val="19"/>
                <w:szCs w:val="19"/>
              </w:rPr>
              <w:t xml:space="preserve">Immediate Implementation</w:t>
            </w:r>
          </w:p>
        </w:tc>
        <w:tc>
          <w:tcPr>
            <w:tcW w:type="dxa" w:w="1800"/>
            <w:vAlign w:val="center"/>
          </w:tcPr>
          <w:p>
            <w:r>
              <w:rPr>
                <w:b w:val="false"/>
                <w:bCs w:val="false"/>
                <w:sz w:val="19"/>
                <w:szCs w:val="19"/>
              </w:rPr>
              <w:t xml:space="preserve">WP-0006, WP-0002</w:t>
            </w:r>
          </w:p>
        </w:tc>
        <w:tc>
          <w:tcPr>
            <w:tcW w:type="dxa" w:w="3900"/>
            <w:vAlign w:val="center"/>
          </w:tcPr>
          <w:p>
            <w:r>
              <w:rPr>
                <w:b w:val="false"/>
                <w:bCs w:val="false"/>
                <w:sz w:val="19"/>
                <w:szCs w:val="19"/>
              </w:rPr>
              <w:t xml:space="preserve">Executive Sponsor/Governance Board names five accountable owners; Security/Platform Engineer verifies RLS coverage across all student-owned tables. Both startable today with zero blocking dependency.</w:t>
            </w:r>
          </w:p>
        </w:tc>
      </w:tr>
      <w:tr>
        <w:tc>
          <w:tcPr>
            <w:tcW w:type="dxa" w:w="1000"/>
            <w:vAlign w:val="center"/>
          </w:tcPr>
          <w:p>
            <w:r>
              <w:rPr>
                <w:b w:val="false"/>
                <w:bCs w:val="false"/>
                <w:sz w:val="19"/>
                <w:szCs w:val="19"/>
              </w:rPr>
              <w:t xml:space="preserve">Wave 2</w:t>
            </w:r>
          </w:p>
        </w:tc>
        <w:tc>
          <w:tcPr>
            <w:tcW w:type="dxa" w:w="2600"/>
            <w:vAlign w:val="center"/>
          </w:tcPr>
          <w:p>
            <w:r>
              <w:rPr>
                <w:b w:val="false"/>
                <w:bCs w:val="false"/>
                <w:sz w:val="19"/>
                <w:szCs w:val="19"/>
              </w:rPr>
              <w:t xml:space="preserve">Immediate Implementation (non-blocking predecessors)</w:t>
            </w:r>
          </w:p>
        </w:tc>
        <w:tc>
          <w:tcPr>
            <w:tcW w:type="dxa" w:w="1800"/>
            <w:vAlign w:val="center"/>
          </w:tcPr>
          <w:p>
            <w:r>
              <w:rPr>
                <w:b w:val="false"/>
                <w:bCs w:val="false"/>
                <w:sz w:val="19"/>
                <w:szCs w:val="19"/>
              </w:rPr>
              <w:t xml:space="preserve">WP-0001, WP-0004, WP-0005</w:t>
            </w:r>
          </w:p>
        </w:tc>
        <w:tc>
          <w:tcPr>
            <w:tcW w:type="dxa" w:w="3900"/>
            <w:vAlign w:val="center"/>
          </w:tcPr>
          <w:p>
            <w:r>
              <w:rPr>
                <w:b w:val="false"/>
                <w:bCs w:val="false"/>
                <w:sz w:val="19"/>
                <w:szCs w:val="19"/>
              </w:rPr>
              <w:t xml:space="preserve">Enterprise Architecture Owner revises the EEP-01 Phase A document; Data Governance Owner documents the taxonomy pattern and establishes the per-release check; Security/Platform Engineer performs the column-level access review. Each benefits from, but does not require, its respective Wave 1 output.</w:t>
            </w:r>
          </w:p>
        </w:tc>
      </w:tr>
      <w:tr>
        <w:tc>
          <w:tcPr>
            <w:tcW w:type="dxa" w:w="1000"/>
            <w:vAlign w:val="center"/>
          </w:tcPr>
          <w:p>
            <w:r>
              <w:rPr>
                <w:b w:val="false"/>
                <w:bCs w:val="false"/>
                <w:sz w:val="19"/>
                <w:szCs w:val="19"/>
              </w:rPr>
              <w:t xml:space="preserve">Wave 3</w:t>
            </w:r>
          </w:p>
        </w:tc>
        <w:tc>
          <w:tcPr>
            <w:tcW w:type="dxa" w:w="2600"/>
            <w:vAlign w:val="center"/>
          </w:tcPr>
          <w:p>
            <w:r>
              <w:rPr>
                <w:b w:val="false"/>
                <w:bCs w:val="false"/>
                <w:sz w:val="19"/>
                <w:szCs w:val="19"/>
              </w:rPr>
              <w:t xml:space="preserve">Conditional Implementation</w:t>
            </w:r>
          </w:p>
        </w:tc>
        <w:tc>
          <w:tcPr>
            <w:tcW w:type="dxa" w:w="1800"/>
            <w:vAlign w:val="center"/>
          </w:tcPr>
          <w:p>
            <w:r>
              <w:rPr>
                <w:b w:val="false"/>
                <w:bCs w:val="false"/>
                <w:sz w:val="19"/>
                <w:szCs w:val="19"/>
              </w:rPr>
              <w:t xml:space="preserve">WP-0003</w:t>
            </w:r>
          </w:p>
        </w:tc>
        <w:tc>
          <w:tcPr>
            <w:tcW w:type="dxa" w:w="3900"/>
            <w:vAlign w:val="center"/>
          </w:tcPr>
          <w:p>
            <w:r>
              <w:rPr>
                <w:b w:val="false"/>
                <w:bCs w:val="false"/>
                <w:sz w:val="19"/>
                <w:szCs w:val="19"/>
              </w:rPr>
              <w:t xml:space="preserve">Quarterly monitoring is immediate and ongoing; the substantive partitioning assessment and any migration remain conditional on the EGD-0004 trigger firing.</w:t>
            </w:r>
          </w:p>
        </w:tc>
      </w:tr>
      <w:tr>
        <w:tc>
          <w:tcPr>
            <w:tcW w:type="dxa" w:w="1000"/>
            <w:vAlign w:val="center"/>
          </w:tcPr>
          <w:p>
            <w:r>
              <w:rPr>
                <w:b w:val="false"/>
                <w:bCs w:val="false"/>
                <w:sz w:val="19"/>
                <w:szCs w:val="19"/>
              </w:rPr>
              <w:t xml:space="preserve">Waves 4–5</w:t>
            </w:r>
          </w:p>
        </w:tc>
        <w:tc>
          <w:tcPr>
            <w:tcW w:type="dxa" w:w="2600"/>
            <w:vAlign w:val="center"/>
          </w:tcPr>
          <w:p>
            <w:r>
              <w:rPr>
                <w:b w:val="false"/>
                <w:bCs w:val="false"/>
                <w:sz w:val="19"/>
                <w:szCs w:val="19"/>
              </w:rPr>
              <w:t xml:space="preserve">Future Realization (Reserved)</w:t>
            </w:r>
          </w:p>
        </w:tc>
        <w:tc>
          <w:tcPr>
            <w:tcW w:type="dxa" w:w="1800"/>
            <w:vAlign w:val="center"/>
          </w:tcPr>
          <w:p>
            <w:r>
              <w:rPr>
                <w:b w:val="false"/>
                <w:bCs w:val="false"/>
                <w:sz w:val="19"/>
                <w:szCs w:val="19"/>
              </w:rPr>
              <w:t xml:space="preserve">None assigned</w:t>
            </w:r>
          </w:p>
        </w:tc>
        <w:tc>
          <w:tcPr>
            <w:tcW w:type="dxa" w:w="3900"/>
            <w:vAlign w:val="center"/>
          </w:tcPr>
          <w:p>
            <w:r>
              <w:rPr>
                <w:b w:val="false"/>
                <w:bCs w:val="false"/>
                <w:sz w:val="19"/>
                <w:szCs w:val="19"/>
              </w:rPr>
              <w:t xml:space="preserve">RESERVED FOR FUTURE REALIZATION PHASES — no approved Work Package exists; no implementation activity is scheduled.</w:t>
            </w:r>
          </w:p>
        </w:tc>
      </w:tr>
    </w:tbl>
    <w:p>
      <w:pPr>
        <w:spacing w:after="120"/>
      </w:pPr>
    </w:p>
    <w:p>
      <w:pPr>
        <w:spacing w:after="140"/>
      </w:pPr>
      <w:r>
        <w:rPr>
          <w:b w:val="false"/>
          <w:bCs w:val="false"/>
          <w:i w:val="false"/>
          <w:iCs w:val="false"/>
        </w:rPr>
        <w:t xml:space="preserve">Immediate implementation covers Waves 1 and 2 in full — all five technically-scoped Work Packages (WP-0001, WP-0002, WP-0004, WP-0005, WP-0006) are startable now, with only WP-0006 representing the single outstanding readiness condition (KPI-08 Ownership Assignment % = 0%). Conditional implementation is limited to WP-0003's substantive partitioning activity, gated on the EGD-0004 trigger. Future realization is limited to Portfolios 3–7 and Waves 4–5, for which no approved Work Package, engineering design, or implementation activity exists in the current baseline.</w:t>
      </w:r>
    </w:p>
    <w:p>
      <w:r>
        <w:br w:type="page"/>
      </w:r>
    </w:p>
    <w:p>
      <w:pPr>
        <w:pStyle w:val="Heading1"/>
        <w:spacing w:after="160" w:before="360"/>
      </w:pPr>
      <w:r>
        <w:t xml:space="preserve">6. Implementation Governance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9E2F3" w:val="clear"/>
            <w:vAlign w:val="center"/>
          </w:tcPr>
          <w:p>
            <w:r>
              <w:rPr>
                <w:b/>
                <w:bCs/>
                <w:sz w:val="19"/>
                <w:szCs w:val="19"/>
              </w:rPr>
              <w:t xml:space="preserve">Governance Element</w:t>
            </w:r>
          </w:p>
        </w:tc>
        <w:tc>
          <w:tcPr>
            <w:tcW w:type="dxa" w:w="6800"/>
            <w:shd w:fill="D9E2F3" w:val="clear"/>
            <w:vAlign w:val="center"/>
          </w:tcPr>
          <w:p>
            <w:r>
              <w:rPr>
                <w:b/>
                <w:bCs/>
                <w:sz w:val="19"/>
                <w:szCs w:val="19"/>
              </w:rPr>
              <w:t xml:space="preserve">Application to Implementation</w:t>
            </w:r>
          </w:p>
        </w:tc>
      </w:tr>
      <w:tr>
        <w:tc>
          <w:tcPr>
            <w:tcW w:type="dxa" w:w="2400"/>
            <w:vAlign w:val="center"/>
          </w:tcPr>
          <w:p>
            <w:r>
              <w:rPr>
                <w:b w:val="false"/>
                <w:bCs w:val="false"/>
                <w:sz w:val="19"/>
                <w:szCs w:val="19"/>
              </w:rPr>
              <w:t xml:space="preserve">Governance checkpoints</w:t>
            </w:r>
          </w:p>
        </w:tc>
        <w:tc>
          <w:tcPr>
            <w:tcW w:type="dxa" w:w="6800"/>
            <w:vAlign w:val="center"/>
          </w:tcPr>
          <w:p>
            <w:r>
              <w:rPr>
                <w:b w:val="false"/>
                <w:bCs w:val="false"/>
                <w:sz w:val="19"/>
                <w:szCs w:val="19"/>
              </w:rPr>
              <w:t xml:space="preserve">Architecture review checkpoint at the close of each wave and milestone, ad hoc on any EGD trigger firing (e.g., EGD-0004 for WP-0003) (Section 1 §5).</w:t>
            </w:r>
          </w:p>
        </w:tc>
      </w:tr>
      <w:tr>
        <w:tc>
          <w:tcPr>
            <w:tcW w:type="dxa" w:w="2400"/>
            <w:vAlign w:val="center"/>
          </w:tcPr>
          <w:p>
            <w:r>
              <w:rPr>
                <w:b w:val="false"/>
                <w:bCs w:val="false"/>
                <w:sz w:val="19"/>
                <w:szCs w:val="19"/>
              </w:rPr>
              <w:t xml:space="preserve">Engineering reviews</w:t>
            </w:r>
          </w:p>
        </w:tc>
        <w:tc>
          <w:tcPr>
            <w:tcW w:type="dxa" w:w="6800"/>
            <w:vAlign w:val="center"/>
          </w:tcPr>
          <w:p>
            <w:r>
              <w:rPr>
                <w:b w:val="false"/>
                <w:bCs w:val="false"/>
                <w:sz w:val="19"/>
                <w:szCs w:val="19"/>
              </w:rPr>
              <w:t xml:space="preserve">Enterprise Architecture Owner reviews WP-0001's revised document; Data Governance Owner reviews WP-0004's pattern documentation and check design; Platform Engineering Lead reviews WP-0003's assessment; Security/Platform Engineer reviews WP-0002 and WP-0005's verification evidence — each per its named Responsible Owner (Section 2 §2.E).</w:t>
            </w:r>
          </w:p>
        </w:tc>
      </w:tr>
      <w:tr>
        <w:tc>
          <w:tcPr>
            <w:tcW w:type="dxa" w:w="2400"/>
            <w:vAlign w:val="center"/>
          </w:tcPr>
          <w:p>
            <w:r>
              <w:rPr>
                <w:b w:val="false"/>
                <w:bCs w:val="false"/>
                <w:sz w:val="19"/>
                <w:szCs w:val="19"/>
              </w:rPr>
              <w:t xml:space="preserve">Architecture reviews</w:t>
            </w:r>
          </w:p>
        </w:tc>
        <w:tc>
          <w:tcPr>
            <w:tcW w:type="dxa" w:w="6800"/>
            <w:vAlign w:val="center"/>
          </w:tcPr>
          <w:p>
            <w:r>
              <w:rPr>
                <w:b w:val="false"/>
                <w:bCs w:val="false"/>
                <w:sz w:val="19"/>
                <w:szCs w:val="19"/>
              </w:rPr>
              <w:t xml:space="preserve">Quarterly portfolio governance cadence, aligned to the existing trigger-review cadence for deferred EGDs (KPI-05, KPI-10) (Section 1 §5).</w:t>
            </w:r>
          </w:p>
        </w:tc>
      </w:tr>
      <w:tr>
        <w:tc>
          <w:tcPr>
            <w:tcW w:type="dxa" w:w="2400"/>
            <w:vAlign w:val="center"/>
          </w:tcPr>
          <w:p>
            <w:r>
              <w:rPr>
                <w:b w:val="false"/>
                <w:bCs w:val="false"/>
                <w:sz w:val="19"/>
                <w:szCs w:val="19"/>
              </w:rPr>
              <w:t xml:space="preserve">Repository verification</w:t>
            </w:r>
          </w:p>
        </w:tc>
        <w:tc>
          <w:tcPr>
            <w:tcW w:type="dxa" w:w="6800"/>
            <w:vAlign w:val="center"/>
          </w:tcPr>
          <w:p>
            <w:r>
              <w:rPr>
                <w:b w:val="false"/>
                <w:bCs w:val="false"/>
                <w:sz w:val="19"/>
                <w:szCs w:val="19"/>
              </w:rPr>
              <w:t xml:space="preserve">Every implementation activity's repository interaction is verified against exactly the Documentation, Database, and Test categories Section 3 evidenced (Section 4 §6).</w:t>
            </w:r>
          </w:p>
        </w:tc>
      </w:tr>
      <w:tr>
        <w:tc>
          <w:tcPr>
            <w:tcW w:type="dxa" w:w="2400"/>
            <w:vAlign w:val="center"/>
          </w:tcPr>
          <w:p>
            <w:r>
              <w:rPr>
                <w:b w:val="false"/>
                <w:bCs w:val="false"/>
                <w:sz w:val="19"/>
                <w:szCs w:val="19"/>
              </w:rPr>
              <w:t xml:space="preserve">Executive approvals</w:t>
            </w:r>
          </w:p>
        </w:tc>
        <w:tc>
          <w:tcPr>
            <w:tcW w:type="dxa" w:w="6800"/>
            <w:vAlign w:val="center"/>
          </w:tcPr>
          <w:p>
            <w:r>
              <w:rPr>
                <w:b w:val="false"/>
                <w:bCs w:val="false"/>
                <w:sz w:val="19"/>
                <w:szCs w:val="19"/>
              </w:rPr>
              <w:t xml:space="preserve">Any change to an AR, EGD, or Work Package scope requires a new or amended EGD entry (AP-003); no baseline change proceeds without this approval.</w:t>
            </w:r>
          </w:p>
        </w:tc>
      </w:tr>
      <w:tr>
        <w:tc>
          <w:tcPr>
            <w:tcW w:type="dxa" w:w="2400"/>
            <w:vAlign w:val="center"/>
          </w:tcPr>
          <w:p>
            <w:r>
              <w:rPr>
                <w:b w:val="false"/>
                <w:bCs w:val="false"/>
                <w:sz w:val="19"/>
                <w:szCs w:val="19"/>
              </w:rPr>
              <w:t xml:space="preserve">Completion approvals</w:t>
            </w:r>
          </w:p>
        </w:tc>
        <w:tc>
          <w:tcPr>
            <w:tcW w:type="dxa" w:w="6800"/>
            <w:vAlign w:val="center"/>
          </w:tcPr>
          <w:p>
            <w:r>
              <w:rPr>
                <w:b w:val="false"/>
                <w:bCs w:val="false"/>
                <w:sz w:val="19"/>
                <w:szCs w:val="19"/>
              </w:rPr>
              <w:t xml:space="preserve">Each milestone's exit criteria (Phase B §6) function as the quality gate — no milestone is marked complete without its stated success measure met (Section 1 §5).</w:t>
            </w:r>
          </w:p>
        </w:tc>
      </w:tr>
    </w:tbl>
    <w:p>
      <w:pPr>
        <w:spacing w:after="120"/>
      </w:pPr>
    </w:p>
    <w:p>
      <w:pPr>
        <w:spacing w:after="140"/>
      </w:pPr>
      <w:r>
        <w:rPr>
          <w:b w:val="false"/>
          <w:bCs w:val="false"/>
          <w:i w:val="false"/>
          <w:iCs w:val="false"/>
        </w:rPr>
        <w:t xml:space="preserve">No new governance process is introduced by this blueprint. Escalation of unresolved blocking risks (currently: unassigned ownership) continues to route to the Executive Sponsor / Governance Board, not to individual Work Package owners who cannot resolve it themselves (Section 1 §5).</w:t>
      </w:r>
    </w:p>
    <w:p>
      <w:r>
        <w:br w:type="page"/>
      </w:r>
    </w:p>
    <w:p>
      <w:pPr>
        <w:pStyle w:val="Heading1"/>
        <w:spacing w:after="160" w:before="360"/>
      </w:pPr>
      <w:r>
        <w:t xml:space="preserve">7. Implementation Readiness Assessment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9E2F3" w:val="clear"/>
            <w:vAlign w:val="center"/>
          </w:tcPr>
          <w:p>
            <w:r>
              <w:rPr>
                <w:b/>
                <w:bCs/>
                <w:sz w:val="19"/>
                <w:szCs w:val="19"/>
              </w:rPr>
              <w:t xml:space="preserve">Dimension</w:t>
            </w:r>
          </w:p>
        </w:tc>
        <w:tc>
          <w:tcPr>
            <w:tcW w:type="dxa" w:w="6800"/>
            <w:shd w:fill="D9E2F3" w:val="clear"/>
            <w:vAlign w:val="center"/>
          </w:tcPr>
          <w:p>
            <w:r>
              <w:rPr>
                <w:b/>
                <w:bCs/>
                <w:sz w:val="19"/>
                <w:szCs w:val="19"/>
              </w:rPr>
              <w:t xml:space="preserve">Assessment</w:t>
            </w:r>
          </w:p>
        </w:tc>
      </w:tr>
      <w:tr>
        <w:tc>
          <w:tcPr>
            <w:tcW w:type="dxa" w:w="2400"/>
            <w:vAlign w:val="center"/>
          </w:tcPr>
          <w:p>
            <w:r>
              <w:rPr>
                <w:b w:val="false"/>
                <w:bCs w:val="false"/>
                <w:sz w:val="19"/>
                <w:szCs w:val="19"/>
              </w:rPr>
              <w:t xml:space="preserve">Work Package Readiness</w:t>
            </w:r>
          </w:p>
        </w:tc>
        <w:tc>
          <w:tcPr>
            <w:tcW w:type="dxa" w:w="6800"/>
            <w:vAlign w:val="center"/>
          </w:tcPr>
          <w:p>
            <w:r>
              <w:rPr>
                <w:b w:val="false"/>
                <w:bCs w:val="false"/>
                <w:sz w:val="19"/>
                <w:szCs w:val="19"/>
              </w:rPr>
              <w:t xml:space="preserve">Wave 1 (WP-0002, WP-0006) is implementation-ready today with zero blocking dependency. Wave 2 (WP-0001, WP-0004, WP-0005) is ready to follow. Wave 3 (WP-0003) is implementation-ready only at the quarterly-monitoring level; its substantive activity remains correctly dormant pending the EGD-0004 trigger.</w:t>
            </w:r>
          </w:p>
        </w:tc>
      </w:tr>
      <w:tr>
        <w:tc>
          <w:tcPr>
            <w:tcW w:type="dxa" w:w="2400"/>
            <w:vAlign w:val="center"/>
          </w:tcPr>
          <w:p>
            <w:r>
              <w:rPr>
                <w:b w:val="false"/>
                <w:bCs w:val="false"/>
                <w:sz w:val="19"/>
                <w:szCs w:val="19"/>
              </w:rPr>
              <w:t xml:space="preserve">Repository Readiness</w:t>
            </w:r>
          </w:p>
        </w:tc>
        <w:tc>
          <w:tcPr>
            <w:tcW w:type="dxa" w:w="6800"/>
            <w:vAlign w:val="center"/>
          </w:tcPr>
          <w:p>
            <w:r>
              <w:rPr>
                <w:b w:val="false"/>
                <w:bCs w:val="false"/>
                <w:sz w:val="19"/>
                <w:szCs w:val="19"/>
              </w:rPr>
              <w:t xml:space="preserve">Sound independently of Phase A conformance — no integrity or engineering-quality blocker was found in Phase A.1 §15 or restated in Section 3 §7 / Section 4 §7.</w:t>
            </w:r>
          </w:p>
        </w:tc>
      </w:tr>
      <w:tr>
        <w:tc>
          <w:tcPr>
            <w:tcW w:type="dxa" w:w="2400"/>
            <w:vAlign w:val="center"/>
          </w:tcPr>
          <w:p>
            <w:r>
              <w:rPr>
                <w:b w:val="false"/>
                <w:bCs w:val="false"/>
                <w:sz w:val="19"/>
                <w:szCs w:val="19"/>
              </w:rPr>
              <w:t xml:space="preserve">Engineering Readiness</w:t>
            </w:r>
          </w:p>
        </w:tc>
        <w:tc>
          <w:tcPr>
            <w:tcW w:type="dxa" w:w="6800"/>
            <w:vAlign w:val="center"/>
          </w:tcPr>
          <w:p>
            <w:r>
              <w:rPr>
                <w:b w:val="false"/>
                <w:bCs w:val="false"/>
                <w:sz w:val="19"/>
                <w:szCs w:val="19"/>
              </w:rPr>
              <w:t xml:space="preserve">Complete for all six Work Packages at the level their own scope supports — full operative implementation detail for WP-0001, WP-0002, WP-0004, WP-0005, and WP-0006; monitoring-level detail only for WP-0003, whose substantive design remains correctly dormant pending its trigger (AP-008).</w:t>
            </w:r>
          </w:p>
        </w:tc>
      </w:tr>
      <w:tr>
        <w:tc>
          <w:tcPr>
            <w:tcW w:type="dxa" w:w="2400"/>
            <w:vAlign w:val="center"/>
          </w:tcPr>
          <w:p>
            <w:r>
              <w:rPr>
                <w:b w:val="false"/>
                <w:bCs w:val="false"/>
                <w:sz w:val="19"/>
                <w:szCs w:val="19"/>
              </w:rPr>
              <w:t xml:space="preserve">Documentation Readiness</w:t>
            </w:r>
          </w:p>
        </w:tc>
        <w:tc>
          <w:tcPr>
            <w:tcW w:type="dxa" w:w="6800"/>
            <w:vAlign w:val="center"/>
          </w:tcPr>
          <w:p>
            <w:r>
              <w:rPr>
                <w:b w:val="false"/>
                <w:bCs w:val="false"/>
                <w:sz w:val="19"/>
                <w:szCs w:val="19"/>
              </w:rPr>
              <w:t xml:space="preserve">Not yet started — WP-0001 and WP-0004 are the primary documentation deliverables in this blueprint; KPI-02 Documentation Accuracy % remains at its 30/100 baseline pending their execution.</w:t>
            </w:r>
          </w:p>
        </w:tc>
      </w:tr>
      <w:tr>
        <w:tc>
          <w:tcPr>
            <w:tcW w:type="dxa" w:w="2400"/>
            <w:vAlign w:val="center"/>
          </w:tcPr>
          <w:p>
            <w:r>
              <w:rPr>
                <w:b w:val="false"/>
                <w:bCs w:val="false"/>
                <w:sz w:val="19"/>
                <w:szCs w:val="19"/>
              </w:rPr>
              <w:t xml:space="preserve">Verification Readiness</w:t>
            </w:r>
          </w:p>
        </w:tc>
        <w:tc>
          <w:tcPr>
            <w:tcW w:type="dxa" w:w="6800"/>
            <w:vAlign w:val="center"/>
          </w:tcPr>
          <w:p>
            <w:r>
              <w:rPr>
                <w:b w:val="false"/>
                <w:bCs w:val="false"/>
                <w:sz w:val="19"/>
                <w:szCs w:val="19"/>
              </w:rPr>
              <w:t xml:space="preserve">WP-0002's written, query-evidenced verification method is fully defined and immediately executable; it is the adopted implementation template for WP-0004 and WP-0005 as well (Section 1 §7).</w:t>
            </w:r>
          </w:p>
        </w:tc>
      </w:tr>
      <w:tr>
        <w:tc>
          <w:tcPr>
            <w:tcW w:type="dxa" w:w="2400"/>
            <w:vAlign w:val="center"/>
          </w:tcPr>
          <w:p>
            <w:r>
              <w:rPr>
                <w:b w:val="false"/>
                <w:bCs w:val="false"/>
                <w:sz w:val="19"/>
                <w:szCs w:val="19"/>
              </w:rPr>
              <w:t xml:space="preserve">Governance Readiness</w:t>
            </w:r>
          </w:p>
        </w:tc>
        <w:tc>
          <w:tcPr>
            <w:tcW w:type="dxa" w:w="6800"/>
            <w:vAlign w:val="center"/>
          </w:tcPr>
          <w:p>
            <w:r>
              <w:rPr>
                <w:b w:val="false"/>
                <w:bCs w:val="false"/>
                <w:sz w:val="19"/>
                <w:szCs w:val="19"/>
              </w:rPr>
              <w:t xml:space="preserve">Complete for the three active portfolios (1, 2, 8) — every implementation activity traces to an already-dispositioned EGD. Not Applicable for Portfolios 3–7, which carry no approved scope.</w:t>
            </w:r>
          </w:p>
        </w:tc>
      </w:tr>
      <w:tr>
        <w:tc>
          <w:tcPr>
            <w:tcW w:type="dxa" w:w="2400"/>
            <w:vAlign w:val="center"/>
          </w:tcPr>
          <w:p>
            <w:r>
              <w:rPr>
                <w:b w:val="false"/>
                <w:bCs w:val="false"/>
                <w:sz w:val="19"/>
                <w:szCs w:val="19"/>
              </w:rPr>
              <w:t xml:space="preserve">Overall Implementation Readiness</w:t>
            </w:r>
          </w:p>
        </w:tc>
        <w:tc>
          <w:tcPr>
            <w:tcW w:type="dxa" w:w="6800"/>
            <w:vAlign w:val="center"/>
          </w:tcPr>
          <w:p>
            <w:r>
              <w:rPr>
                <w:b w:val="false"/>
                <w:bCs w:val="false"/>
                <w:sz w:val="19"/>
                <w:szCs w:val="19"/>
              </w:rPr>
              <w:t xml:space="preserve">READY WITH CONDITIONS — unchanged from every prior ERP-01 phase's own assessment. Wave 1's two implementation blueprints (WP-0002, WP-0006) are executable today. The single condition, carried forward unchanged, is that Resource Readiness (KPI-08 Ownership Assignment %) is not yet met; this blueprint should be treated as immediately startable, not yet fully executable, until WP-0006 closes that gap.</w:t>
            </w:r>
          </w:p>
        </w:tc>
      </w:tr>
    </w:tbl>
    <w:p>
      <w:pPr>
        <w:spacing w:after="120"/>
      </w:pPr>
    </w:p>
    <w:p>
      <w:pPr>
        <w:spacing w:after="200" w:before="100"/>
      </w:pPr>
      <w:r>
        <w:rPr>
          <w:i/>
          <w:iCs/>
        </w:rPr>
        <w:t xml:space="preserve">No new readiness dimension is introduced beyond those already scored in Phase A.3 §15, Phase B §14, Section 2 §5, and Section 4 §7 — this table applies those same dimensions at implementation-blueprint granularity.</w:t>
      </w:r>
    </w:p>
    <w:p>
      <w:r>
        <w:br w:type="page"/>
      </w:r>
    </w:p>
    <w:p>
      <w:pPr>
        <w:pStyle w:val="Heading1"/>
        <w:spacing w:after="160" w:before="360"/>
      </w:pPr>
      <w:r>
        <w:t xml:space="preserve">8. Implementation Traceability Matrix</w:t>
      </w:r>
    </w:p>
    <w:p>
      <w:pPr>
        <w:spacing w:after="140"/>
      </w:pPr>
      <w:r>
        <w:rPr>
          <w:b w:val="false"/>
          <w:bCs w:val="false"/>
          <w:i w:val="false"/>
          <w:iCs w:val="false"/>
        </w:rPr>
        <w:t xml:space="preserve">No identifier is recreated; every AR, EGD, WP, and Certification Level below is reused unchanged from Phase A.3 §7, extended by Phase B §8, Section 1 §11, Section 3 §8, and Section 4 §8, now terminating in this document's Implementation Activities (§3) and Completion Evidence (§3.G) rather than stopping at the engineering-design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900"/>
        <w:gridCol w:w="1000"/>
        <w:gridCol w:w="900"/>
        <w:gridCol w:w="1300"/>
        <w:gridCol w:w="1300"/>
        <w:gridCol w:w="1300"/>
        <w:gridCol w:w="800"/>
      </w:tblGrid>
      <w:tr>
        <w:tc>
          <w:tcPr>
            <w:tcW w:type="dxa" w:w="700"/>
            <w:shd w:fill="D9E2F3" w:val="clear"/>
            <w:vAlign w:val="center"/>
          </w:tcPr>
          <w:p>
            <w:r>
              <w:rPr>
                <w:b/>
                <w:bCs/>
                <w:sz w:val="19"/>
                <w:szCs w:val="19"/>
              </w:rPr>
              <w:t xml:space="preserve">WP</w:t>
            </w:r>
          </w:p>
        </w:tc>
        <w:tc>
          <w:tcPr>
            <w:tcW w:type="dxa" w:w="800"/>
            <w:shd w:fill="D9E2F3" w:val="clear"/>
            <w:vAlign w:val="center"/>
          </w:tcPr>
          <w:p>
            <w:r>
              <w:rPr>
                <w:b/>
                <w:bCs/>
                <w:sz w:val="19"/>
                <w:szCs w:val="19"/>
              </w:rPr>
              <w:t xml:space="preserve">AR</w:t>
            </w:r>
          </w:p>
        </w:tc>
        <w:tc>
          <w:tcPr>
            <w:tcW w:type="dxa" w:w="900"/>
            <w:shd w:fill="D9E2F3" w:val="clear"/>
            <w:vAlign w:val="center"/>
          </w:tcPr>
          <w:p>
            <w:r>
              <w:rPr>
                <w:b/>
                <w:bCs/>
                <w:sz w:val="19"/>
                <w:szCs w:val="19"/>
              </w:rPr>
              <w:t xml:space="preserve">EGD</w:t>
            </w:r>
          </w:p>
        </w:tc>
        <w:tc>
          <w:tcPr>
            <w:tcW w:type="dxa" w:w="1000"/>
            <w:shd w:fill="D9E2F3" w:val="clear"/>
            <w:vAlign w:val="center"/>
          </w:tcPr>
          <w:p>
            <w:r>
              <w:rPr>
                <w:b/>
                <w:bCs/>
                <w:sz w:val="19"/>
                <w:szCs w:val="19"/>
              </w:rPr>
              <w:t xml:space="preserve">Repository</w:t>
            </w:r>
          </w:p>
        </w:tc>
        <w:tc>
          <w:tcPr>
            <w:tcW w:type="dxa" w:w="900"/>
            <w:shd w:fill="D9E2F3" w:val="clear"/>
            <w:vAlign w:val="center"/>
          </w:tcPr>
          <w:p>
            <w:r>
              <w:rPr>
                <w:b/>
                <w:bCs/>
                <w:sz w:val="19"/>
                <w:szCs w:val="19"/>
              </w:rPr>
              <w:t xml:space="preserve">Impl. Activity Ref.</w:t>
            </w:r>
          </w:p>
        </w:tc>
        <w:tc>
          <w:tcPr>
            <w:tcW w:type="dxa" w:w="1300"/>
            <w:shd w:fill="D9E2F3" w:val="clear"/>
            <w:vAlign w:val="center"/>
          </w:tcPr>
          <w:p>
            <w:r>
              <w:rPr>
                <w:b/>
                <w:bCs/>
                <w:sz w:val="19"/>
                <w:szCs w:val="19"/>
              </w:rPr>
              <w:t xml:space="preserve">Verification Method</w:t>
            </w:r>
          </w:p>
        </w:tc>
        <w:tc>
          <w:tcPr>
            <w:tcW w:type="dxa" w:w="1300"/>
            <w:shd w:fill="D9E2F3" w:val="clear"/>
            <w:vAlign w:val="center"/>
          </w:tcPr>
          <w:p>
            <w:r>
              <w:rPr>
                <w:b/>
                <w:bCs/>
                <w:sz w:val="19"/>
                <w:szCs w:val="19"/>
              </w:rPr>
              <w:t xml:space="preserve">Completion Evidence</w:t>
            </w:r>
          </w:p>
        </w:tc>
        <w:tc>
          <w:tcPr>
            <w:tcW w:type="dxa" w:w="1300"/>
            <w:shd w:fill="D9E2F3" w:val="clear"/>
            <w:vAlign w:val="center"/>
          </w:tcPr>
          <w:p>
            <w:r>
              <w:rPr>
                <w:b/>
                <w:bCs/>
                <w:sz w:val="19"/>
                <w:szCs w:val="19"/>
              </w:rPr>
              <w:t xml:space="preserve">Acceptance Criteria</w:t>
            </w:r>
          </w:p>
        </w:tc>
        <w:tc>
          <w:tcPr>
            <w:tcW w:type="dxa" w:w="800"/>
            <w:shd w:fill="D9E2F3" w:val="clear"/>
            <w:vAlign w:val="center"/>
          </w:tcPr>
          <w:p>
            <w:r>
              <w:rPr>
                <w:b/>
                <w:bCs/>
                <w:sz w:val="19"/>
                <w:szCs w:val="19"/>
              </w:rPr>
              <w:t xml:space="preserve">Cert. Level</w:t>
            </w:r>
          </w:p>
        </w:tc>
      </w:tr>
      <w:tr>
        <w:tc>
          <w:tcPr>
            <w:tcW w:type="dxa" w:w="700"/>
            <w:vAlign w:val="center"/>
          </w:tcPr>
          <w:p>
            <w:r>
              <w:rPr>
                <w:b w:val="false"/>
                <w:bCs w:val="false"/>
                <w:sz w:val="19"/>
                <w:szCs w:val="19"/>
              </w:rPr>
              <w:t xml:space="preserve">WP-0001</w:t>
            </w:r>
          </w:p>
        </w:tc>
        <w:tc>
          <w:tcPr>
            <w:tcW w:type="dxa" w:w="800"/>
            <w:vAlign w:val="center"/>
          </w:tcPr>
          <w:p>
            <w:r>
              <w:rPr>
                <w:b w:val="false"/>
                <w:bCs w:val="false"/>
                <w:sz w:val="19"/>
                <w:szCs w:val="19"/>
              </w:rPr>
              <w:t xml:space="preserve">AR-0002</w:t>
            </w:r>
          </w:p>
        </w:tc>
        <w:tc>
          <w:tcPr>
            <w:tcW w:type="dxa" w:w="900"/>
            <w:vAlign w:val="center"/>
          </w:tcPr>
          <w:p>
            <w:r>
              <w:rPr>
                <w:b w:val="false"/>
                <w:bCs w:val="false"/>
                <w:sz w:val="19"/>
                <w:szCs w:val="19"/>
              </w:rPr>
              <w:t xml:space="preserve">EGD-0002</w:t>
            </w:r>
          </w:p>
        </w:tc>
        <w:tc>
          <w:tcPr>
            <w:tcW w:type="dxa" w:w="1000"/>
            <w:vAlign w:val="center"/>
          </w:tcPr>
          <w:p>
            <w:r>
              <w:rPr>
                <w:b w:val="false"/>
                <w:bCs w:val="false"/>
                <w:sz w:val="19"/>
                <w:szCs w:val="19"/>
              </w:rPr>
              <w:t xml:space="preserve">Documentation</w:t>
            </w:r>
          </w:p>
        </w:tc>
        <w:tc>
          <w:tcPr>
            <w:tcW w:type="dxa" w:w="900"/>
            <w:vAlign w:val="center"/>
          </w:tcPr>
          <w:p>
            <w:r>
              <w:rPr>
                <w:b w:val="false"/>
                <w:bCs w:val="false"/>
                <w:sz w:val="19"/>
                <w:szCs w:val="19"/>
              </w:rPr>
              <w:t xml:space="preserve">§3, WP-0001</w:t>
            </w:r>
          </w:p>
        </w:tc>
        <w:tc>
          <w:tcPr>
            <w:tcW w:type="dxa" w:w="1300"/>
            <w:vAlign w:val="center"/>
          </w:tcPr>
          <w:p>
            <w:r>
              <w:rPr>
                <w:b w:val="false"/>
                <w:bCs w:val="false"/>
                <w:sz w:val="19"/>
                <w:szCs w:val="19"/>
              </w:rPr>
              <w:t xml:space="preserve">Table inventory diff, zero discrepancies</w:t>
            </w:r>
          </w:p>
        </w:tc>
        <w:tc>
          <w:tcPr>
            <w:tcW w:type="dxa" w:w="1300"/>
            <w:vAlign w:val="center"/>
          </w:tcPr>
          <w:p>
            <w:r>
              <w:rPr>
                <w:b w:val="false"/>
                <w:bCs w:val="false"/>
                <w:sz w:val="19"/>
                <w:szCs w:val="19"/>
              </w:rPr>
              <w:t xml:space="preserve">Zero-discrepancy diff; published document; ER-0002 and VAR-02 closure</w:t>
            </w:r>
          </w:p>
        </w:tc>
        <w:tc>
          <w:tcPr>
            <w:tcW w:type="dxa" w:w="1300"/>
            <w:vAlign w:val="center"/>
          </w:tcPr>
          <w:p>
            <w:r>
              <w:rPr>
                <w:b w:val="false"/>
                <w:bCs w:val="false"/>
                <w:sz w:val="19"/>
                <w:szCs w:val="19"/>
              </w:rPr>
              <w:t xml:space="preserve">KPI-02 = 100; AR-0002 traceability advances</w:t>
            </w:r>
          </w:p>
        </w:tc>
        <w:tc>
          <w:tcPr>
            <w:tcW w:type="dxa" w:w="800"/>
            <w:vAlign w:val="center"/>
          </w:tcPr>
          <w:p>
            <w:r>
              <w:rPr>
                <w:b w:val="false"/>
                <w:bCs w:val="false"/>
                <w:sz w:val="19"/>
                <w:szCs w:val="19"/>
              </w:rPr>
              <w:t xml:space="preserve">L4 (pending)</w:t>
            </w:r>
          </w:p>
        </w:tc>
      </w:tr>
      <w:tr>
        <w:tc>
          <w:tcPr>
            <w:tcW w:type="dxa" w:w="700"/>
            <w:vAlign w:val="center"/>
          </w:tcPr>
          <w:p>
            <w:r>
              <w:rPr>
                <w:b w:val="false"/>
                <w:bCs w:val="false"/>
                <w:sz w:val="19"/>
                <w:szCs w:val="19"/>
              </w:rPr>
              <w:t xml:space="preserve">WP-0002</w:t>
            </w:r>
          </w:p>
        </w:tc>
        <w:tc>
          <w:tcPr>
            <w:tcW w:type="dxa" w:w="800"/>
            <w:vAlign w:val="center"/>
          </w:tcPr>
          <w:p>
            <w:r>
              <w:rPr>
                <w:b w:val="false"/>
                <w:bCs w:val="false"/>
                <w:sz w:val="19"/>
                <w:szCs w:val="19"/>
              </w:rPr>
              <w:t xml:space="preserve">AR-0007</w:t>
            </w:r>
          </w:p>
        </w:tc>
        <w:tc>
          <w:tcPr>
            <w:tcW w:type="dxa" w:w="900"/>
            <w:vAlign w:val="center"/>
          </w:tcPr>
          <w:p>
            <w:r>
              <w:rPr>
                <w:b w:val="false"/>
                <w:bCs w:val="false"/>
                <w:sz w:val="19"/>
                <w:szCs w:val="19"/>
              </w:rPr>
              <w:t xml:space="preserve">EGD-0007</w:t>
            </w:r>
          </w:p>
        </w:tc>
        <w:tc>
          <w:tcPr>
            <w:tcW w:type="dxa" w:w="1000"/>
            <w:vAlign w:val="center"/>
          </w:tcPr>
          <w:p>
            <w:r>
              <w:rPr>
                <w:b w:val="false"/>
                <w:bCs w:val="false"/>
                <w:sz w:val="19"/>
                <w:szCs w:val="19"/>
              </w:rPr>
              <w:t xml:space="preserve">Database + Test</w:t>
            </w:r>
          </w:p>
        </w:tc>
        <w:tc>
          <w:tcPr>
            <w:tcW w:type="dxa" w:w="900"/>
            <w:vAlign w:val="center"/>
          </w:tcPr>
          <w:p>
            <w:r>
              <w:rPr>
                <w:b w:val="false"/>
                <w:bCs w:val="false"/>
                <w:sz w:val="19"/>
                <w:szCs w:val="19"/>
              </w:rPr>
              <w:t xml:space="preserve">§3, WP-0002</w:t>
            </w:r>
          </w:p>
        </w:tc>
        <w:tc>
          <w:tcPr>
            <w:tcW w:type="dxa" w:w="1300"/>
            <w:vAlign w:val="center"/>
          </w:tcPr>
          <w:p>
            <w:r>
              <w:rPr>
                <w:b w:val="false"/>
                <w:bCs w:val="false"/>
                <w:sz w:val="19"/>
                <w:szCs w:val="19"/>
              </w:rPr>
              <w:t xml:space="preserve">Query-based verification with written evidence</w:t>
            </w:r>
          </w:p>
        </w:tc>
        <w:tc>
          <w:tcPr>
            <w:tcW w:type="dxa" w:w="1300"/>
            <w:vAlign w:val="center"/>
          </w:tcPr>
          <w:p>
            <w:r>
              <w:rPr>
                <w:b w:val="false"/>
                <w:bCs w:val="false"/>
                <w:sz w:val="19"/>
                <w:szCs w:val="19"/>
              </w:rPr>
              <w:t xml:space="preserve">Per-table ledger; published RLS document; verification evidence</w:t>
            </w:r>
          </w:p>
        </w:tc>
        <w:tc>
          <w:tcPr>
            <w:tcW w:type="dxa" w:w="1300"/>
            <w:vAlign w:val="center"/>
          </w:tcPr>
          <w:p>
            <w:r>
              <w:rPr>
                <w:b w:val="false"/>
                <w:bCs w:val="false"/>
                <w:sz w:val="19"/>
                <w:szCs w:val="19"/>
              </w:rPr>
              <w:t xml:space="preserve">KPI-06 = 100% confirmed; KPI-09 Critical class → 0</w:t>
            </w:r>
          </w:p>
        </w:tc>
        <w:tc>
          <w:tcPr>
            <w:tcW w:type="dxa" w:w="800"/>
            <w:vAlign w:val="center"/>
          </w:tcPr>
          <w:p>
            <w:r>
              <w:rPr>
                <w:b w:val="false"/>
                <w:bCs w:val="false"/>
                <w:sz w:val="19"/>
                <w:szCs w:val="19"/>
              </w:rPr>
              <w:t xml:space="preserve">L4 (pending)</w:t>
            </w:r>
          </w:p>
        </w:tc>
      </w:tr>
      <w:tr>
        <w:tc>
          <w:tcPr>
            <w:tcW w:type="dxa" w:w="700"/>
            <w:vAlign w:val="center"/>
          </w:tcPr>
          <w:p>
            <w:r>
              <w:rPr>
                <w:b w:val="false"/>
                <w:bCs w:val="false"/>
                <w:sz w:val="19"/>
                <w:szCs w:val="19"/>
              </w:rPr>
              <w:t xml:space="preserve">WP-0003</w:t>
            </w:r>
          </w:p>
        </w:tc>
        <w:tc>
          <w:tcPr>
            <w:tcW w:type="dxa" w:w="800"/>
            <w:vAlign w:val="center"/>
          </w:tcPr>
          <w:p>
            <w:r>
              <w:rPr>
                <w:b w:val="false"/>
                <w:bCs w:val="false"/>
                <w:sz w:val="19"/>
                <w:szCs w:val="19"/>
              </w:rPr>
              <w:t xml:space="preserve">AR-0004</w:t>
            </w:r>
          </w:p>
        </w:tc>
        <w:tc>
          <w:tcPr>
            <w:tcW w:type="dxa" w:w="900"/>
            <w:vAlign w:val="center"/>
          </w:tcPr>
          <w:p>
            <w:r>
              <w:rPr>
                <w:b w:val="false"/>
                <w:bCs w:val="false"/>
                <w:sz w:val="19"/>
                <w:szCs w:val="19"/>
              </w:rPr>
              <w:t xml:space="preserve">EGD-0004 (conditional)</w:t>
            </w:r>
          </w:p>
        </w:tc>
        <w:tc>
          <w:tcPr>
            <w:tcW w:type="dxa" w:w="1000"/>
            <w:vAlign w:val="center"/>
          </w:tcPr>
          <w:p>
            <w:r>
              <w:rPr>
                <w:b w:val="false"/>
                <w:bCs w:val="false"/>
                <w:sz w:val="19"/>
                <w:szCs w:val="19"/>
              </w:rPr>
              <w:t xml:space="preserve">Database</w:t>
            </w:r>
          </w:p>
        </w:tc>
        <w:tc>
          <w:tcPr>
            <w:tcW w:type="dxa" w:w="900"/>
            <w:vAlign w:val="center"/>
          </w:tcPr>
          <w:p>
            <w:r>
              <w:rPr>
                <w:b w:val="false"/>
                <w:bCs w:val="false"/>
                <w:sz w:val="19"/>
                <w:szCs w:val="19"/>
              </w:rPr>
              <w:t xml:space="preserve">§3, WP-0003</w:t>
            </w:r>
          </w:p>
        </w:tc>
        <w:tc>
          <w:tcPr>
            <w:tcW w:type="dxa" w:w="1300"/>
            <w:vAlign w:val="center"/>
          </w:tcPr>
          <w:p>
            <w:r>
              <w:rPr>
                <w:b w:val="false"/>
                <w:bCs w:val="false"/>
                <w:sz w:val="19"/>
                <w:szCs w:val="19"/>
              </w:rPr>
              <w:t xml:space="preserve">Quarterly row-count/latency check against trigger</w:t>
            </w:r>
          </w:p>
        </w:tc>
        <w:tc>
          <w:tcPr>
            <w:tcW w:type="dxa" w:w="1300"/>
            <w:vAlign w:val="center"/>
          </w:tcPr>
          <w:p>
            <w:r>
              <w:rPr>
                <w:b w:val="false"/>
                <w:bCs w:val="false"/>
                <w:sz w:val="19"/>
                <w:szCs w:val="19"/>
              </w:rPr>
              <w:t xml:space="preserve">Current quarterly evidence; assessment report; migration + rollback verification (if triggered)</w:t>
            </w:r>
          </w:p>
        </w:tc>
        <w:tc>
          <w:tcPr>
            <w:tcW w:type="dxa" w:w="1300"/>
            <w:vAlign w:val="center"/>
          </w:tcPr>
          <w:p>
            <w:r>
              <w:rPr>
                <w:b w:val="false"/>
                <w:bCs w:val="false"/>
                <w:sz w:val="19"/>
                <w:szCs w:val="19"/>
              </w:rPr>
              <w:t xml:space="preserve">Quarterly monitoring current; migration (if triggered) meets AR-0010 with zero rollback failures</w:t>
            </w:r>
          </w:p>
        </w:tc>
        <w:tc>
          <w:tcPr>
            <w:tcW w:type="dxa" w:w="800"/>
            <w:vAlign w:val="center"/>
          </w:tcPr>
          <w:p>
            <w:r>
              <w:rPr>
                <w:b w:val="false"/>
                <w:bCs w:val="false"/>
                <w:sz w:val="19"/>
                <w:szCs w:val="19"/>
              </w:rPr>
              <w:t xml:space="preserve">L3 (standing); L4 if triggered and verified</w:t>
            </w:r>
          </w:p>
        </w:tc>
      </w:tr>
      <w:tr>
        <w:tc>
          <w:tcPr>
            <w:tcW w:type="dxa" w:w="700"/>
            <w:vAlign w:val="center"/>
          </w:tcPr>
          <w:p>
            <w:r>
              <w:rPr>
                <w:b w:val="false"/>
                <w:bCs w:val="false"/>
                <w:sz w:val="19"/>
                <w:szCs w:val="19"/>
              </w:rPr>
              <w:t xml:space="preserve">WP-0004</w:t>
            </w:r>
          </w:p>
        </w:tc>
        <w:tc>
          <w:tcPr>
            <w:tcW w:type="dxa" w:w="800"/>
            <w:vAlign w:val="center"/>
          </w:tcPr>
          <w:p>
            <w:r>
              <w:rPr>
                <w:b w:val="false"/>
                <w:bCs w:val="false"/>
                <w:sz w:val="19"/>
                <w:szCs w:val="19"/>
              </w:rPr>
              <w:t xml:space="preserve">AR-0003</w:t>
            </w:r>
          </w:p>
        </w:tc>
        <w:tc>
          <w:tcPr>
            <w:tcW w:type="dxa" w:w="900"/>
            <w:vAlign w:val="center"/>
          </w:tcPr>
          <w:p>
            <w:r>
              <w:rPr>
                <w:b w:val="false"/>
                <w:bCs w:val="false"/>
                <w:sz w:val="19"/>
                <w:szCs w:val="19"/>
              </w:rPr>
              <w:t xml:space="preserve">EGD-0003</w:t>
            </w:r>
          </w:p>
        </w:tc>
        <w:tc>
          <w:tcPr>
            <w:tcW w:type="dxa" w:w="1000"/>
            <w:vAlign w:val="center"/>
          </w:tcPr>
          <w:p>
            <w:r>
              <w:rPr>
                <w:b w:val="false"/>
                <w:bCs w:val="false"/>
                <w:sz w:val="19"/>
                <w:szCs w:val="19"/>
              </w:rPr>
              <w:t xml:space="preserve">Documentation + Test</w:t>
            </w:r>
          </w:p>
        </w:tc>
        <w:tc>
          <w:tcPr>
            <w:tcW w:type="dxa" w:w="900"/>
            <w:vAlign w:val="center"/>
          </w:tcPr>
          <w:p>
            <w:r>
              <w:rPr>
                <w:b w:val="false"/>
                <w:bCs w:val="false"/>
                <w:sz w:val="19"/>
                <w:szCs w:val="19"/>
              </w:rPr>
              <w:t xml:space="preserve">§3, WP-0004</w:t>
            </w:r>
          </w:p>
        </w:tc>
        <w:tc>
          <w:tcPr>
            <w:tcW w:type="dxa" w:w="1300"/>
            <w:vAlign w:val="center"/>
          </w:tcPr>
          <w:p>
            <w:r>
              <w:rPr>
                <w:b w:val="false"/>
                <w:bCs w:val="false"/>
                <w:sz w:val="19"/>
                <w:szCs w:val="19"/>
              </w:rPr>
              <w:t xml:space="preserve">Per-release automated denormalization check</w:t>
            </w:r>
          </w:p>
        </w:tc>
        <w:tc>
          <w:tcPr>
            <w:tcW w:type="dxa" w:w="1300"/>
            <w:vAlign w:val="center"/>
          </w:tcPr>
          <w:p>
            <w:r>
              <w:rPr>
                <w:b w:val="false"/>
                <w:bCs w:val="false"/>
                <w:sz w:val="19"/>
                <w:szCs w:val="19"/>
              </w:rPr>
              <w:t xml:space="preserve">Published pattern documentation; operating check; VAR-03 log</w:t>
            </w:r>
          </w:p>
        </w:tc>
        <w:tc>
          <w:tcPr>
            <w:tcW w:type="dxa" w:w="1300"/>
            <w:vAlign w:val="center"/>
          </w:tcPr>
          <w:p>
            <w:r>
              <w:rPr>
                <w:b w:val="false"/>
                <w:bCs w:val="false"/>
                <w:sz w:val="19"/>
                <w:szCs w:val="19"/>
              </w:rPr>
              <w:t xml:space="preserve">Zero violations in check's operating history; KPI-04 stable or declining</w:t>
            </w:r>
          </w:p>
        </w:tc>
        <w:tc>
          <w:tcPr>
            <w:tcW w:type="dxa" w:w="800"/>
            <w:vAlign w:val="center"/>
          </w:tcPr>
          <w:p>
            <w:r>
              <w:rPr>
                <w:b w:val="false"/>
                <w:bCs w:val="false"/>
                <w:sz w:val="19"/>
                <w:szCs w:val="19"/>
              </w:rPr>
              <w:t xml:space="preserve">L4 (pending)</w:t>
            </w:r>
          </w:p>
        </w:tc>
      </w:tr>
      <w:tr>
        <w:tc>
          <w:tcPr>
            <w:tcW w:type="dxa" w:w="700"/>
            <w:vAlign w:val="center"/>
          </w:tcPr>
          <w:p>
            <w:r>
              <w:rPr>
                <w:b w:val="false"/>
                <w:bCs w:val="false"/>
                <w:sz w:val="19"/>
                <w:szCs w:val="19"/>
              </w:rPr>
              <w:t xml:space="preserve">WP-0005</w:t>
            </w:r>
          </w:p>
        </w:tc>
        <w:tc>
          <w:tcPr>
            <w:tcW w:type="dxa" w:w="800"/>
            <w:vAlign w:val="center"/>
          </w:tcPr>
          <w:p>
            <w:r>
              <w:rPr>
                <w:b w:val="false"/>
                <w:bCs w:val="false"/>
                <w:sz w:val="19"/>
                <w:szCs w:val="19"/>
              </w:rPr>
              <w:t xml:space="preserve">AR-0007 (extension)</w:t>
            </w:r>
          </w:p>
        </w:tc>
        <w:tc>
          <w:tcPr>
            <w:tcW w:type="dxa" w:w="900"/>
            <w:vAlign w:val="center"/>
          </w:tcPr>
          <w:p>
            <w:r>
              <w:rPr>
                <w:b w:val="false"/>
                <w:bCs w:val="false"/>
                <w:sz w:val="19"/>
                <w:szCs w:val="19"/>
              </w:rPr>
              <w:t xml:space="preserve">EGD-0007</w:t>
            </w:r>
          </w:p>
        </w:tc>
        <w:tc>
          <w:tcPr>
            <w:tcW w:type="dxa" w:w="1000"/>
            <w:vAlign w:val="center"/>
          </w:tcPr>
          <w:p>
            <w:r>
              <w:rPr>
                <w:b w:val="false"/>
                <w:bCs w:val="false"/>
                <w:sz w:val="19"/>
                <w:szCs w:val="19"/>
              </w:rPr>
              <w:t xml:space="preserve">Database + Test</w:t>
            </w:r>
          </w:p>
        </w:tc>
        <w:tc>
          <w:tcPr>
            <w:tcW w:type="dxa" w:w="900"/>
            <w:vAlign w:val="center"/>
          </w:tcPr>
          <w:p>
            <w:r>
              <w:rPr>
                <w:b w:val="false"/>
                <w:bCs w:val="false"/>
                <w:sz w:val="19"/>
                <w:szCs w:val="19"/>
              </w:rPr>
              <w:t xml:space="preserve">§3, WP-0005</w:t>
            </w:r>
          </w:p>
        </w:tc>
        <w:tc>
          <w:tcPr>
            <w:tcW w:type="dxa" w:w="1300"/>
            <w:vAlign w:val="center"/>
          </w:tcPr>
          <w:p>
            <w:r>
              <w:rPr>
                <w:b w:val="false"/>
                <w:bCs w:val="false"/>
                <w:sz w:val="19"/>
                <w:szCs w:val="19"/>
              </w:rPr>
              <w:t xml:space="preserve">Review findings, WP-0002 template</w:t>
            </w:r>
          </w:p>
        </w:tc>
        <w:tc>
          <w:tcPr>
            <w:tcW w:type="dxa" w:w="1300"/>
            <w:vAlign w:val="center"/>
          </w:tcPr>
          <w:p>
            <w:r>
              <w:rPr>
                <w:b w:val="false"/>
                <w:bCs w:val="false"/>
                <w:sz w:val="19"/>
                <w:szCs w:val="19"/>
              </w:rPr>
              <w:t xml:space="preserve">Per-column decision ledger; published review report; verification evidence</w:t>
            </w:r>
          </w:p>
        </w:tc>
        <w:tc>
          <w:tcPr>
            <w:tcW w:type="dxa" w:w="1300"/>
            <w:vAlign w:val="center"/>
          </w:tcPr>
          <w:p>
            <w:r>
              <w:rPr>
                <w:b w:val="false"/>
                <w:bCs w:val="false"/>
                <w:sz w:val="19"/>
                <w:szCs w:val="19"/>
              </w:rPr>
              <w:t xml:space="preserve">Documented decision for every reviewed column; zero unreviewed columns</w:t>
            </w:r>
          </w:p>
        </w:tc>
        <w:tc>
          <w:tcPr>
            <w:tcW w:type="dxa" w:w="800"/>
            <w:vAlign w:val="center"/>
          </w:tcPr>
          <w:p>
            <w:r>
              <w:rPr>
                <w:b w:val="false"/>
                <w:bCs w:val="false"/>
                <w:sz w:val="19"/>
                <w:szCs w:val="19"/>
              </w:rPr>
              <w:t xml:space="preserve">L4 (pending, extension of AR-0007)</w:t>
            </w:r>
          </w:p>
        </w:tc>
      </w:tr>
      <w:tr>
        <w:tc>
          <w:tcPr>
            <w:tcW w:type="dxa" w:w="700"/>
            <w:vAlign w:val="center"/>
          </w:tcPr>
          <w:p>
            <w:r>
              <w:rPr>
                <w:b w:val="false"/>
                <w:bCs w:val="false"/>
                <w:sz w:val="19"/>
                <w:szCs w:val="19"/>
              </w:rPr>
              <w:t xml:space="preserve">WP-0006</w:t>
            </w:r>
          </w:p>
        </w:tc>
        <w:tc>
          <w:tcPr>
            <w:tcW w:type="dxa" w:w="800"/>
            <w:vAlign w:val="center"/>
          </w:tcPr>
          <w:p>
            <w:r>
              <w:rPr>
                <w:b w:val="false"/>
                <w:bCs w:val="false"/>
                <w:sz w:val="19"/>
                <w:szCs w:val="19"/>
              </w:rPr>
              <w:t xml:space="preserve">AP-009 (all)</w:t>
            </w:r>
          </w:p>
        </w:tc>
        <w:tc>
          <w:tcPr>
            <w:tcW w:type="dxa" w:w="900"/>
            <w:vAlign w:val="center"/>
          </w:tcPr>
          <w:p>
            <w:r>
              <w:rPr>
                <w:b w:val="false"/>
                <w:bCs w:val="false"/>
                <w:sz w:val="19"/>
                <w:szCs w:val="19"/>
              </w:rPr>
              <w:t xml:space="preserve">All EGD-0001–0009</w:t>
            </w:r>
          </w:p>
        </w:tc>
        <w:tc>
          <w:tcPr>
            <w:tcW w:type="dxa" w:w="1000"/>
            <w:vAlign w:val="center"/>
          </w:tcPr>
          <w:p>
            <w:r>
              <w:rPr>
                <w:b w:val="false"/>
                <w:bCs w:val="false"/>
                <w:sz w:val="19"/>
                <w:szCs w:val="19"/>
              </w:rPr>
              <w:t xml:space="preserve">Governance record only</w:t>
            </w:r>
          </w:p>
        </w:tc>
        <w:tc>
          <w:tcPr>
            <w:tcW w:type="dxa" w:w="900"/>
            <w:vAlign w:val="center"/>
          </w:tcPr>
          <w:p>
            <w:r>
              <w:rPr>
                <w:b w:val="false"/>
                <w:bCs w:val="false"/>
                <w:sz w:val="19"/>
                <w:szCs w:val="19"/>
              </w:rPr>
              <w:t xml:space="preserve">§3, WP-0006</w:t>
            </w:r>
          </w:p>
        </w:tc>
        <w:tc>
          <w:tcPr>
            <w:tcW w:type="dxa" w:w="1300"/>
            <w:vAlign w:val="center"/>
          </w:tcPr>
          <w:p>
            <w:r>
              <w:rPr>
                <w:b w:val="false"/>
                <w:bCs w:val="false"/>
                <w:sz w:val="19"/>
                <w:szCs w:val="19"/>
              </w:rPr>
              <w:t xml:space="preserve">KPI-08 measurement</w:t>
            </w:r>
          </w:p>
        </w:tc>
        <w:tc>
          <w:tcPr>
            <w:tcW w:type="dxa" w:w="1300"/>
            <w:vAlign w:val="center"/>
          </w:tcPr>
          <w:p>
            <w:r>
              <w:rPr>
                <w:b w:val="false"/>
                <w:bCs w:val="false"/>
                <w:sz w:val="19"/>
                <w:szCs w:val="19"/>
              </w:rPr>
              <w:t xml:space="preserve">Named-owner record; KPI-08 measurement; AP-009 closure record</w:t>
            </w:r>
          </w:p>
        </w:tc>
        <w:tc>
          <w:tcPr>
            <w:tcW w:type="dxa" w:w="1300"/>
            <w:vAlign w:val="center"/>
          </w:tcPr>
          <w:p>
            <w:r>
              <w:rPr>
                <w:b w:val="false"/>
                <w:bCs w:val="false"/>
                <w:sz w:val="19"/>
                <w:szCs w:val="19"/>
              </w:rPr>
              <w:t xml:space="preserve">KPI-08 = 100%; zero unassigned owner fields</w:t>
            </w:r>
          </w:p>
        </w:tc>
        <w:tc>
          <w:tcPr>
            <w:tcW w:type="dxa" w:w="800"/>
            <w:vAlign w:val="center"/>
          </w:tcPr>
          <w:p>
            <w:r>
              <w:rPr>
                <w:b w:val="false"/>
                <w:bCs w:val="false"/>
                <w:sz w:val="19"/>
                <w:szCs w:val="19"/>
              </w:rPr>
              <w:t xml:space="preserve">Not Applicable — organizational precondition, not itself certified</w:t>
            </w:r>
          </w:p>
        </w:tc>
      </w:tr>
    </w:tbl>
    <w:p>
      <w:r>
        <w:br w:type="page"/>
      </w:r>
    </w:p>
    <w:p>
      <w:pPr>
        <w:pStyle w:val="Heading1"/>
        <w:spacing w:after="160" w:before="360"/>
      </w:pPr>
      <w:r>
        <w:t xml:space="preserve">9. Executive Summary</w:t>
      </w:r>
    </w:p>
    <w:p>
      <w:pPr>
        <w:spacing w:after="140"/>
      </w:pPr>
      <w:r>
        <w:rPr>
          <w:b w:val="false"/>
          <w:bCs w:val="false"/>
          <w:i w:val="false"/>
          <w:iCs w:val="false"/>
        </w:rPr>
        <w:t xml:space="preserve">This Implementation Blueprint completes ERP-01 Phase C's decomposition of the approved realization baseline: Section 1 established how the six approved Work Packages should be executed; Section 2 established what each one is, in complete engineering-profile form; Section 3 established where each one's impact lands across the repository landscape; Section 4 established how each one is engineered; this document establishes how each one is implemented — step-by-step activities, repository changes, verification activities, rollback strategy, and completion evidence — for WP-0001 through WP-0006, and for no Work Package or Portfolio beyond them.</w:t>
      </w:r>
    </w:p>
    <w:p>
      <w:pPr>
        <w:spacing w:after="140"/>
      </w:pPr>
      <w:r>
        <w:rPr>
          <w:b w:val="false"/>
          <w:bCs w:val="false"/>
          <w:i w:val="false"/>
          <w:iCs w:val="false"/>
        </w:rPr>
        <w:t xml:space="preserve">Implementation maturity is complete for all six Work Packages at the level their own scope supports: full operative implementation detail for WP-0001, WP-0002, WP-0004, WP-0005, and WP-0006; monitoring-level detail only for WP-0003, whose substantive implementation remains correctly dormant pending its trigger (AP-008).</w:t>
      </w:r>
    </w:p>
    <w:p>
      <w:pPr>
        <w:spacing w:after="140"/>
      </w:pPr>
      <w:r>
        <w:rPr>
          <w:b w:val="false"/>
          <w:bCs w:val="false"/>
          <w:i w:val="false"/>
          <w:iCs w:val="false"/>
        </w:rPr>
        <w:t xml:space="preserve">Execution readiness: Wave 1 (WP-0002, WP-0006) is executable today with zero blocking dependency. Wave 2 (WP-0001, WP-0004, WP-0005) is ready to follow. Wave 3 (WP-0003) is monitoring-ready, with substantive execution conditional on the EGD-0004 trigger.</w:t>
      </w:r>
    </w:p>
    <w:p>
      <w:pPr>
        <w:spacing w:after="140"/>
      </w:pPr>
      <w:r>
        <w:rPr>
          <w:b w:val="false"/>
          <w:bCs w:val="false"/>
          <w:i w:val="false"/>
          <w:iCs w:val="false"/>
        </w:rPr>
        <w:t xml:space="preserve">Repository readiness is exact — every implementation activity above decomposes only the three repository categories Section 3 and Section 4 found approved impact in (Documentation, Database, Test); no activity in this blueprint asserts backend, frontend, integration, AI, or infrastructure implementation work the approved repositories do not evidence.</w:t>
      </w:r>
    </w:p>
    <w:p>
      <w:pPr>
        <w:spacing w:after="140"/>
      </w:pPr>
      <w:r>
        <w:rPr>
          <w:b w:val="false"/>
          <w:bCs w:val="false"/>
          <w:i w:val="false"/>
          <w:iCs w:val="false"/>
        </w:rPr>
        <w:t xml:space="preserve">Verification readiness is highest for WP-0002, whose method is fully defined and immediately executable, and which this document — like Section 1 and Section 4 before it — treats as the standing template WP-0004 and WP-0005 explicitly reuse rather than re-implement independently.</w:t>
      </w:r>
    </w:p>
    <w:p>
      <w:pPr>
        <w:spacing w:after="140"/>
      </w:pPr>
      <w:r>
        <w:rPr>
          <w:b w:val="false"/>
          <w:bCs w:val="false"/>
          <w:i w:val="false"/>
          <w:iCs w:val="false"/>
        </w:rPr>
        <w:t xml:space="preserve">Governance readiness is complete: no implementation activity in this blueprint requires new governance, and every activity remains contingent on WP-0006 for accountable, rather than aspirational, ownership — the same single readiness gap every prior ERP-01 phase has identified.</w:t>
      </w:r>
    </w:p>
    <w:p>
      <w:pPr>
        <w:spacing w:after="140"/>
      </w:pPr>
      <w:r>
        <w:rPr>
          <w:b w:val="false"/>
          <w:bCs w:val="false"/>
          <w:i w:val="false"/>
          <w:iCs w:val="false"/>
        </w:rPr>
        <w:t xml:space="preserve">Overall implementation readiness: READY WITH CONDITIONS. Wave 1's two implementation blueprints (WP-0002, WP-0006) are executable today with zero blocking dependency. This Implementation Blueprint converts the Engineering Design Specification (Section 4) into an executable engineering delivery plan while preserving architecture integrity, governance integrity, repository traceability, and evidence-based implementation — introducing no Architecture Requirement, Enterprise Governance Decision, Enterprise Resolution, Variance, Work Package, Portfolio, Wave, Milestone, or KPI identifier beyond those Phase A.3 already established.</w:t>
      </w:r>
    </w:p>
    <w:p>
      <w:pPr>
        <w:spacing w:after="120"/>
      </w:pPr>
    </w:p>
    <w:p>
      <w:pPr>
        <w:spacing w:after="200" w:before="100"/>
      </w:pPr>
      <w:r>
        <w:rPr>
          <w:i/>
          <w:iCs/>
        </w:rPr>
        <w:t xml:space="preserve">This Implementation Blueprint is the authoritative Enterprise Implementation Blueprint Repository for ERP-01 Phase C. It asserts no implementation authority beyond what Phase A.1–A.3, Phase B, and Phase C Sections 1–4 already establish, and marks every dimension those repositories do not evidence as Not Evidenced in Current Baseline or Reserved for Future Realization Phases rather than fabricating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2026-07-09T05:49:53.511Z</dcterms:created>
  <dcterms:modified xsi:type="dcterms:W3CDTF">2026-07-09T05:49:53.527Z</dcterms:modified>
</cp:coreProperties>
</file>

<file path=docProps/custom.xml><?xml version="1.0" encoding="utf-8"?>
<Properties xmlns="http://schemas.openxmlformats.org/officeDocument/2006/custom-properties" xmlns:vt="http://schemas.openxmlformats.org/officeDocument/2006/docPropsVTypes"/>
</file>