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0"/>
        <w:jc w:val="center"/>
      </w:pPr>
      <w:r>
        <w:t xml:space="preserve">ERP-01 — Phase C</w:t>
      </w:r>
    </w:p>
    <w:p>
      <w:pPr>
        <w:pStyle w:val="Heading1"/>
        <w:spacing w:after="400"/>
        <w:jc w:val="center"/>
      </w:pPr>
      <w:r>
        <w:t xml:space="preserve">Section 6 — Architecture Conformance Plan</w:t>
      </w:r>
    </w:p>
    <w:p>
      <w:pPr>
        <w:spacing w:after="80"/>
        <w:jc w:val="center"/>
      </w:pPr>
      <w:r>
        <w:t xml:space="preserve">HireRise Career Intelligence Platform</w:t>
      </w:r>
      <w:r>
        <w:rPr>
          <w:i/>
          <w:iCs/>
          <w:sz w:val="26"/>
          <w:szCs w:val="26"/>
        </w:rPr>
        <w:t xml:space="preserve">HireRise Career Intelligence Platform</w:t>
      </w:r>
    </w:p>
    <w:p>
      <w:pPr>
        <w:spacing w:after="80"/>
        <w:jc w:val="center"/>
      </w:pPr>
      <w:r>
        <w:rPr>
          <w:sz w:val="22"/>
          <w:szCs w:val="22"/>
        </w:rPr>
        <w:t xml:space="preserve">Enterprise Work Package Architecture &amp; Execution Planning</w:t>
      </w:r>
    </w:p>
    <w:p>
      <w:pPr>
        <w:spacing w:after="800"/>
        <w:jc w:val="center"/>
      </w:pPr>
      <w:r>
        <w:rPr>
          <w:i/>
          <w:iCs/>
          <w:sz w:val="22"/>
          <w:szCs w:val="22"/>
        </w:rPr>
        <w:t xml:space="preserve">Authoritative Enterprise Architecture Conformance Plan Repository</w:t>
      </w:r>
    </w:p>
    <w:p>
      <w:r>
        <w:br w:type="page"/>
      </w:r>
    </w:p>
    <w:p>
      <w:pPr>
        <w:pStyle w:val="Heading1"/>
        <w:spacing w:after="160" w:before="360"/>
      </w:pPr>
      <w:r>
        <w:t xml:space="preserve">Approved Enterprise Baseline</w:t>
      </w:r>
    </w:p>
    <w:p>
      <w:pPr>
        <w:spacing w:after="140"/>
      </w:pPr>
      <w:r>
        <w:t xml:space="preserve">This document is Section 6 of ERP-01 Phase C. It does not redefine architecture, recreate governance, perform new architecture assessment, or reinterpret prior disposition decisions. It establishes how conformance to the already-approved enterprise architecture baseline is verified, measured, governed, and evidenced throughout implementation of Work Packages WP-0001–WP-0006.</w:t>
      </w:r>
    </w:p>
    <w:p>
      <w:pPr>
        <w:spacing w:after="140"/>
      </w:pPr>
      <w:r>
        <w:t xml:space="preserve">The following repositories constitute the authoritative implementation baseline for this document:</w:t>
      </w:r>
    </w:p>
    <w:p>
      <w:pPr>
        <w:pStyle w:val="ListParagraph"/>
        <w:numPr>
          <w:ilvl w:val="0"/>
          <w:numId w:val="1"/>
        </w:numPr>
        <w:spacing w:after="80"/>
      </w:pPr>
      <w:r>
        <w:t xml:space="preserve">ERP-01 Phase A.1 — Enterprise Physical Data Model Realization Assessment</w:t>
      </w:r>
    </w:p>
    <w:p>
      <w:pPr>
        <w:pStyle w:val="ListParagraph"/>
        <w:numPr>
          <w:ilvl w:val="0"/>
          <w:numId w:val="1"/>
        </w:numPr>
        <w:spacing w:after="80"/>
      </w:pPr>
      <w:r>
        <w:t xml:space="preserve">ERP-01 Phase A.2 — Enterprise Architecture Governance &amp; Disposition Assessment</w:t>
      </w:r>
    </w:p>
    <w:p>
      <w:pPr>
        <w:pStyle w:val="ListParagraph"/>
        <w:numPr>
          <w:ilvl w:val="0"/>
          <w:numId w:val="1"/>
        </w:numPr>
        <w:spacing w:after="80"/>
      </w:pPr>
      <w:r>
        <w:t xml:space="preserve">ERP-01 Phase A.3 — Enterprise Architecture Baseline &amp; Resolution Repository</w:t>
      </w:r>
    </w:p>
    <w:p>
      <w:pPr>
        <w:pStyle w:val="ListParagraph"/>
        <w:numPr>
          <w:ilvl w:val="0"/>
          <w:numId w:val="1"/>
        </w:numPr>
        <w:spacing w:after="80"/>
      </w:pPr>
      <w:r>
        <w:t xml:space="preserve">ERP-01 Phase B — Enterprise Architecture Realization Roadmap &amp; Portfolio Plan</w:t>
      </w:r>
    </w:p>
    <w:p>
      <w:pPr>
        <w:pStyle w:val="ListParagraph"/>
        <w:numPr>
          <w:ilvl w:val="0"/>
          <w:numId w:val="1"/>
        </w:numPr>
        <w:spacing w:after="80"/>
      </w:pPr>
      <w:r>
        <w:t xml:space="preserve">ERP-01 Phase C — Section 1 — Enterprise Work Package Execution Strategy</w:t>
      </w:r>
    </w:p>
    <w:p>
      <w:pPr>
        <w:pStyle w:val="ListParagraph"/>
        <w:numPr>
          <w:ilvl w:val="0"/>
          <w:numId w:val="1"/>
        </w:numPr>
        <w:spacing w:after="80"/>
      </w:pPr>
      <w:r>
        <w:t xml:space="preserve">ERP-01 Phase C — Section 2 — Enterprise Work Package Engineering Catalog</w:t>
      </w:r>
    </w:p>
    <w:p>
      <w:pPr>
        <w:pStyle w:val="ListParagraph"/>
        <w:numPr>
          <w:ilvl w:val="0"/>
          <w:numId w:val="1"/>
        </w:numPr>
        <w:spacing w:after="80"/>
      </w:pPr>
      <w:r>
        <w:t xml:space="preserve">ERP-01 Phase C — Section 3 — Repository Impact Assessment</w:t>
      </w:r>
    </w:p>
    <w:p>
      <w:pPr>
        <w:pStyle w:val="ListParagraph"/>
        <w:numPr>
          <w:ilvl w:val="0"/>
          <w:numId w:val="1"/>
        </w:numPr>
        <w:spacing w:after="80"/>
      </w:pPr>
      <w:r>
        <w:t xml:space="preserve">ERP-01 Phase C — Section 4 — Engineering Design Specification</w:t>
      </w:r>
    </w:p>
    <w:p>
      <w:pPr>
        <w:pStyle w:val="ListParagraph"/>
        <w:numPr>
          <w:ilvl w:val="0"/>
          <w:numId w:val="1"/>
        </w:numPr>
        <w:spacing w:after="80"/>
      </w:pPr>
      <w:r>
        <w:t xml:space="preserve">ERP-01 Phase C — Section 5 — Implementation Blueprint</w:t>
      </w:r>
    </w:p>
    <w:p>
      <w:pPr>
        <w:spacing w:after="160" w:before="100"/>
      </w:pPr>
      <w:r>
        <w:rPr>
          <w:b/>
          <w:bCs/>
          <w:i/>
          <w:iCs/>
        </w:rPr>
        <w:t xml:space="preserve">Evidence-First Principle: </w:t>
      </w:r>
      <w:r>
        <w:rPr>
          <w:i/>
          <w:iCs/>
        </w:rPr>
        <w:t xml:space="preserve">No Architecture Requirement, Enterprise Governance Decision, Work Package, governance body, review authority, repository, implementation activity, or conformance process is invented in this document. Where conformance activity is not evidenced within the approved repositories, this document states "Not Evidenced in Current Baseline." Where a future governance capability is anticipated but not yet approved, this document states "Reserved for Future Realization Phases."</w:t>
      </w:r>
    </w:p>
    <w:p>
      <w:pPr>
        <w:pStyle w:val="Heading1"/>
        <w:spacing w:after="160" w:before="360"/>
      </w:pPr>
      <w:r>
        <w:t xml:space="preserve">1. Executive Overview</w:t>
      </w:r>
    </w:p>
    <w:p>
      <w:pPr>
        <w:spacing w:after="140"/>
      </w:pPr>
      <w:r>
        <w:t xml:space="preserve">Purpose. This Architecture Conformance Plan defines how engineering execution of WP-0001–WP-0006 is verified against the approved enterprise architecture baseline (Phase A.1–A.3, extended by Phase B) throughout implementation. Sections 1–5 defined how execution should proceed, what each Work Package is, where its impact lands, how it is engineered, and how it is implemented. This section defines the distinct, final question: how conformance to all of that is confirmed, measured, and, where necessary, escalated.</w:t>
      </w:r>
    </w:p>
    <w:p>
      <w:pPr>
        <w:spacing w:after="140"/>
      </w:pPr>
      <w:r>
        <w:t xml:space="preserve">Relationship with Sections 1–5. This document introduces no new Work Package, Architecture Requirement (AR-0001–AR-0010), Enterprise Governance Decision (EGD-0001–EGD-0009), Enterprise Resolution (ER-0001–ER-0010), Variance (VAR-01–VAR-04), or KPI. It reuses the identifiers, portfolios, waves, and certification levels established in Phase A.3 §7, extended by Phase B §8, Section 1 §11, Section 3 §8, Section 4 §8, and Section 5 §8, and terminates the traceability chain those sections built at the point of conformance verification and certification — the one link the chain has not yet closed.</w:t>
      </w:r>
    </w:p>
    <w:p>
      <w:pPr>
        <w:spacing w:after="140"/>
      </w:pPr>
      <w:r>
        <w:t xml:space="preserve">Conformance objectives.</w:t>
      </w:r>
    </w:p>
    <w:p>
      <w:pPr>
        <w:pStyle w:val="ListParagraph"/>
        <w:numPr>
          <w:ilvl w:val="0"/>
          <w:numId w:val="1"/>
        </w:numPr>
        <w:spacing w:after="80"/>
      </w:pPr>
      <w:r>
        <w:t xml:space="preserve">Confirm that each Work Package's implementation (Section 5) matches its engineering design (Section 4), its repository impact (Section 3), and its originating Architecture Requirement / Enterprise Governance Decision pair (Phase A.3).</w:t>
      </w:r>
    </w:p>
    <w:p>
      <w:pPr>
        <w:pStyle w:val="ListParagraph"/>
        <w:numPr>
          <w:ilvl w:val="0"/>
          <w:numId w:val="1"/>
        </w:numPr>
        <w:spacing w:after="80"/>
      </w:pPr>
      <w:r>
        <w:t xml:space="preserve">Confirm that governance checkpoints required by AP-003 (governance-first delivery) and AP-006 (every gap requires explicit disposition) are honored before, during, and after implementation.</w:t>
      </w:r>
    </w:p>
    <w:p>
      <w:pPr>
        <w:pStyle w:val="ListParagraph"/>
        <w:numPr>
          <w:ilvl w:val="0"/>
          <w:numId w:val="1"/>
        </w:numPr>
        <w:spacing w:after="80"/>
      </w:pPr>
      <w:r>
        <w:t xml:space="preserve">Confirm that the traceability chain — Architecture Requirement → Enterprise Governance Decision → Repository → Engineering Design → Implementation Activity → Verification Evidence → Acceptance Criteria → Certification Level — remains intact and auditable for every in-scope Work Package.</w:t>
      </w:r>
    </w:p>
    <w:p>
      <w:pPr>
        <w:spacing w:after="140"/>
      </w:pPr>
      <w:r>
        <w:t xml:space="preserve">Architecture governance objectives. Preserve the integrity of the approved baseline against unauthorized drift (AP-001, AP-003); ensure every certification-level movement (Phase A.3 §11) is evidence-backed rather than asserted; and ensure non-conformance, where it occurs, is captured as a new or amended Enterprise Governance Decision or Variance rather than silently absorbed (AP-003, AP-007).</w:t>
      </w:r>
    </w:p>
    <w:p>
      <w:pPr>
        <w:spacing w:after="140"/>
      </w:pPr>
      <w:r>
        <w:t xml:space="preserve">Scope. Architecture conformance guidance in this document is developed only for the approved realization scope: WP-0001, WP-0002, WP-0003, WP-0004, WP-0005, and WP-0006, within Portfolios 1 (Enterprise Data Platform), 2 (Enterprise Security), and 8 (Governance &amp; Quality), across Waves 1–3, exactly as scoped in Section 1 §"Scope." No conformance activity is defined for Portfolios 3–7 (Enterprise AI, Business Capabilities, Knowledge Platform, Integration Platform, and others the Phase C master template anticipates) or for Waves 4–5.</w:t>
      </w:r>
    </w:p>
    <w:p>
      <w:pPr>
        <w:spacing w:after="160" w:before="100"/>
      </w:pPr>
      <w:r>
        <w:rPr>
          <w:b/>
          <w:bCs/>
          <w:i/>
          <w:iCs/>
        </w:rPr>
        <w:t xml:space="preserve">Reserved for Future Realization Phases: </w:t>
      </w:r>
      <w:r>
        <w:rPr>
          <w:i/>
          <w:iCs/>
        </w:rPr>
        <w:t xml:space="preserve">Conformance guidance for Portfolios 3–7 and Waves 4–5, consistent with Section 1's own scope declaration.</w:t>
      </w:r>
    </w:p>
    <w:p>
      <w:pPr>
        <w:spacing w:after="140"/>
      </w:pPr>
      <w:r>
        <w:t xml:space="preserve">Evidence limitations. Certain conformance capabilities the ERP-01 Phase C master template anticipates — a named Architecture Review Board distinct from the Governance Board, a formal certification ceremony, or an automated conformance-scanning tool — are not evidenced anywhere in the approved baseline. These are marked Not Evidenced in Current Baseline at each point they would otherwise be assumed, rather than fabricated for narrative completeness.</w:t>
      </w:r>
    </w:p>
    <w:p>
      <w:pPr>
        <w:spacing w:after="140"/>
      </w:pPr>
      <w:r>
        <w:t xml:space="preserve">Guiding principles. This plan inherits, without modification, the nine permanent engineering principles (AP-001–AP-009) established in Phase A.3 §2 and already applied consistently across Sections 1–5. No new principle is introduced.</w:t>
      </w:r>
    </w:p>
    <w:p>
      <w:pPr>
        <w:pStyle w:val="Heading1"/>
        <w:spacing w:after="160" w:before="360"/>
      </w:pPr>
      <w:r>
        <w:t xml:space="preserve">2. Enterprise Architecture Conformance Principles</w:t>
      </w:r>
    </w:p>
    <w:p>
      <w:pPr>
        <w:spacing w:after="140"/>
      </w:pPr>
      <w:r>
        <w:t xml:space="preserve">The following principles govern conformance activity in this document. Each maps to a permanent principle already approved in Phase A.3 §2 and consistently applied in Section 1 §2; none is newly introduced here.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600"/>
      </w:tblGrid>
      <w:tr>
        <w:trPr>
          <w:tblHeader/>
        </w:trPr>
        <w:tc>
          <w:tcPr>
            <w:tcW w:type="dxa" w:w="2600"/>
            <w:shd w:fill="D9D9D9" w:val="clear"/>
            <w:tcMar>
              <w:top w:type="dxa" w:w="80"/>
              <w:left w:type="dxa" w:w="100"/>
              <w:bottom w:type="dxa" w:w="80"/>
              <w:right w:type="dxa" w:w="100"/>
            </w:tcMar>
          </w:tcPr>
          <w:p>
            <w:pPr>
              <w:jc w:val="left"/>
            </w:pPr>
            <w:r>
              <w:rPr>
                <w:b/>
                <w:bCs/>
              </w:rPr>
              <w:t xml:space="preserve">Conformance Principle</w:t>
            </w:r>
          </w:p>
        </w:tc>
        <w:tc>
          <w:tcPr>
            <w:tcW w:type="dxa" w:w="1600"/>
            <w:shd w:fill="D9D9D9" w:val="clear"/>
            <w:tcMar>
              <w:top w:type="dxa" w:w="80"/>
              <w:left w:type="dxa" w:w="100"/>
              <w:bottom w:type="dxa" w:w="80"/>
              <w:right w:type="dxa" w:w="100"/>
            </w:tcMar>
          </w:tcPr>
          <w:p>
            <w:pPr>
              <w:jc w:val="left"/>
            </w:pPr>
            <w:r>
              <w:rPr>
                <w:b/>
                <w:bCs/>
              </w:rPr>
              <w:t xml:space="preserve">Governing Principle</w:t>
            </w:r>
          </w:p>
        </w:tc>
        <w:tc>
          <w:tcPr>
            <w:tcW w:type="dxa" w:w="5600"/>
            <w:shd w:fill="D9D9D9" w:val="clear"/>
            <w:tcMar>
              <w:top w:type="dxa" w:w="80"/>
              <w:left w:type="dxa" w:w="100"/>
              <w:bottom w:type="dxa" w:w="80"/>
              <w:right w:type="dxa" w:w="100"/>
            </w:tcMar>
          </w:tcPr>
          <w:p>
            <w:pPr>
              <w:jc w:val="left"/>
            </w:pPr>
            <w:r>
              <w:rPr>
                <w:b/>
                <w:bCs/>
              </w:rPr>
              <w:t xml:space="preserve">Application in This Plan</w:t>
            </w:r>
          </w:p>
        </w:tc>
      </w:tr>
      <w:tr>
        <w:tc>
          <w:tcPr>
            <w:tcW w:type="dxa" w:w="2600"/>
            <w:tcMar>
              <w:top w:type="dxa" w:w="80"/>
              <w:left w:type="dxa" w:w="100"/>
              <w:bottom w:type="dxa" w:w="80"/>
              <w:right w:type="dxa" w:w="100"/>
            </w:tcMar>
          </w:tcPr>
          <w:p>
            <w:pPr>
              <w:jc w:val="left"/>
            </w:pPr>
            <w:r>
              <w:rPr>
                <w:b w:val="false"/>
                <w:bCs w:val="false"/>
              </w:rPr>
              <w:t xml:space="preserve">Architecture-first verification</w:t>
            </w:r>
          </w:p>
        </w:tc>
        <w:tc>
          <w:tcPr>
            <w:tcW w:type="dxa" w:w="1600"/>
            <w:tcMar>
              <w:top w:type="dxa" w:w="80"/>
              <w:left w:type="dxa" w:w="100"/>
              <w:bottom w:type="dxa" w:w="80"/>
              <w:right w:type="dxa" w:w="100"/>
            </w:tcMar>
          </w:tcPr>
          <w:p>
            <w:pPr>
              <w:jc w:val="left"/>
            </w:pPr>
            <w:r>
              <w:rPr>
                <w:b w:val="false"/>
                <w:bCs w:val="false"/>
              </w:rPr>
              <w:t xml:space="preserve">AP-001</w:t>
            </w:r>
          </w:p>
        </w:tc>
        <w:tc>
          <w:tcPr>
            <w:tcW w:type="dxa" w:w="5600"/>
            <w:tcMar>
              <w:top w:type="dxa" w:w="80"/>
              <w:left w:type="dxa" w:w="100"/>
              <w:bottom w:type="dxa" w:w="80"/>
              <w:right w:type="dxa" w:w="100"/>
            </w:tcMar>
          </w:tcPr>
          <w:p>
            <w:pPr>
              <w:jc w:val="left"/>
            </w:pPr>
            <w:r>
              <w:rPr>
                <w:b w:val="false"/>
                <w:bCs w:val="false"/>
              </w:rPr>
              <w:t xml:space="preserve">Every conformance check tests implementation against the approved architecture baseline as the strategic source of truth; the baseline is corrigible only through a new or amended EGD, never through informal implementation drift.</w:t>
            </w:r>
          </w:p>
        </w:tc>
      </w:tr>
      <w:tr>
        <w:tc>
          <w:tcPr>
            <w:tcW w:type="dxa" w:w="2600"/>
            <w:tcMar>
              <w:top w:type="dxa" w:w="80"/>
              <w:left w:type="dxa" w:w="100"/>
              <w:bottom w:type="dxa" w:w="80"/>
              <w:right w:type="dxa" w:w="100"/>
            </w:tcMar>
          </w:tcPr>
          <w:p>
            <w:pPr>
              <w:jc w:val="left"/>
            </w:pPr>
            <w:r>
              <w:rPr>
                <w:b w:val="false"/>
                <w:bCs w:val="false"/>
              </w:rPr>
              <w:t xml:space="preserve">Evidence-based conformance</w:t>
            </w:r>
          </w:p>
        </w:tc>
        <w:tc>
          <w:tcPr>
            <w:tcW w:type="dxa" w:w="1600"/>
            <w:tcMar>
              <w:top w:type="dxa" w:w="80"/>
              <w:left w:type="dxa" w:w="100"/>
              <w:bottom w:type="dxa" w:w="80"/>
              <w:right w:type="dxa" w:w="100"/>
            </w:tcMar>
          </w:tcPr>
          <w:p>
            <w:pPr>
              <w:jc w:val="left"/>
            </w:pPr>
            <w:r>
              <w:rPr>
                <w:b w:val="false"/>
                <w:bCs w:val="false"/>
              </w:rPr>
              <w:t xml:space="preserve">AP-002 / AP-005</w:t>
            </w:r>
          </w:p>
        </w:tc>
        <w:tc>
          <w:tcPr>
            <w:tcW w:type="dxa" w:w="5600"/>
            <w:tcMar>
              <w:top w:type="dxa" w:w="80"/>
              <w:left w:type="dxa" w:w="100"/>
              <w:bottom w:type="dxa" w:w="80"/>
              <w:right w:type="dxa" w:w="100"/>
            </w:tcMar>
          </w:tcPr>
          <w:p>
            <w:pPr>
              <w:jc w:val="left"/>
            </w:pPr>
            <w:r>
              <w:rPr>
                <w:b w:val="false"/>
                <w:bCs w:val="false"/>
              </w:rPr>
              <w:t xml:space="preserve">No conformance finding is admitted without a repository file/line citation, query result, or published document; every conformance record cites the AR/EGD it verifies.</w:t>
            </w:r>
          </w:p>
        </w:tc>
      </w:tr>
      <w:tr>
        <w:tc>
          <w:tcPr>
            <w:tcW w:type="dxa" w:w="2600"/>
            <w:tcMar>
              <w:top w:type="dxa" w:w="80"/>
              <w:left w:type="dxa" w:w="100"/>
              <w:bottom w:type="dxa" w:w="80"/>
              <w:right w:type="dxa" w:w="100"/>
            </w:tcMar>
          </w:tcPr>
          <w:p>
            <w:pPr>
              <w:jc w:val="left"/>
            </w:pPr>
            <w:r>
              <w:rPr>
                <w:b w:val="false"/>
                <w:bCs w:val="false"/>
              </w:rPr>
              <w:t xml:space="preserve">Continuous conformance</w:t>
            </w:r>
          </w:p>
        </w:tc>
        <w:tc>
          <w:tcPr>
            <w:tcW w:type="dxa" w:w="1600"/>
            <w:tcMar>
              <w:top w:type="dxa" w:w="80"/>
              <w:left w:type="dxa" w:w="100"/>
              <w:bottom w:type="dxa" w:w="80"/>
              <w:right w:type="dxa" w:w="100"/>
            </w:tcMar>
          </w:tcPr>
          <w:p>
            <w:pPr>
              <w:jc w:val="left"/>
            </w:pPr>
            <w:r>
              <w:rPr>
                <w:b w:val="false"/>
                <w:bCs w:val="false"/>
              </w:rPr>
              <w:t xml:space="preserve">Phase B §2 pattern</w:t>
            </w:r>
          </w:p>
        </w:tc>
        <w:tc>
          <w:tcPr>
            <w:tcW w:type="dxa" w:w="5600"/>
            <w:tcMar>
              <w:top w:type="dxa" w:w="80"/>
              <w:left w:type="dxa" w:w="100"/>
              <w:bottom w:type="dxa" w:w="80"/>
              <w:right w:type="dxa" w:w="100"/>
            </w:tcMar>
          </w:tcPr>
          <w:p>
            <w:pPr>
              <w:jc w:val="left"/>
            </w:pPr>
            <w:r>
              <w:rPr>
                <w:b w:val="false"/>
                <w:bCs w:val="false"/>
              </w:rPr>
              <w:t xml:space="preserve">KPI-01 (Architecture Conformance %) and KPI-07 (Governance Decision Traceability %) are re-measured at each milestone, exactly as Sections 1, 4, and 5 already establish — conformance is not a one-time gate.</w:t>
            </w:r>
          </w:p>
        </w:tc>
      </w:tr>
      <w:tr>
        <w:tc>
          <w:tcPr>
            <w:tcW w:type="dxa" w:w="2600"/>
            <w:tcMar>
              <w:top w:type="dxa" w:w="80"/>
              <w:left w:type="dxa" w:w="100"/>
              <w:bottom w:type="dxa" w:w="80"/>
              <w:right w:type="dxa" w:w="100"/>
            </w:tcMar>
          </w:tcPr>
          <w:p>
            <w:pPr>
              <w:jc w:val="left"/>
            </w:pPr>
            <w:r>
              <w:rPr>
                <w:b w:val="false"/>
                <w:bCs w:val="false"/>
              </w:rPr>
              <w:t xml:space="preserve">Repository-aware verification</w:t>
            </w:r>
          </w:p>
        </w:tc>
        <w:tc>
          <w:tcPr>
            <w:tcW w:type="dxa" w:w="1600"/>
            <w:tcMar>
              <w:top w:type="dxa" w:w="80"/>
              <w:left w:type="dxa" w:w="100"/>
              <w:bottom w:type="dxa" w:w="80"/>
              <w:right w:type="dxa" w:w="100"/>
            </w:tcMar>
          </w:tcPr>
          <w:p>
            <w:pPr>
              <w:jc w:val="left"/>
            </w:pPr>
            <w:r>
              <w:rPr>
                <w:b w:val="false"/>
                <w:bCs w:val="false"/>
              </w:rPr>
              <w:t xml:space="preserve">AP-002</w:t>
            </w:r>
          </w:p>
        </w:tc>
        <w:tc>
          <w:tcPr>
            <w:tcW w:type="dxa" w:w="5600"/>
            <w:tcMar>
              <w:top w:type="dxa" w:w="80"/>
              <w:left w:type="dxa" w:w="100"/>
              <w:bottom w:type="dxa" w:w="80"/>
              <w:right w:type="dxa" w:w="100"/>
            </w:tcMar>
          </w:tcPr>
          <w:p>
            <w:pPr>
              <w:jc w:val="left"/>
            </w:pPr>
            <w:r>
              <w:rPr>
                <w:b w:val="false"/>
                <w:bCs w:val="false"/>
              </w:rPr>
              <w:t xml:space="preserve">Conformance verification is scoped strictly to the three repository categories with approved impact — Documentation, Database, and Test (Section 3 §"Repository Impact") — and asserts nothing for Backend, Frontend, Integration, AI, or Infrastructure.</w:t>
            </w:r>
          </w:p>
        </w:tc>
      </w:tr>
      <w:tr>
        <w:tc>
          <w:tcPr>
            <w:tcW w:type="dxa" w:w="2600"/>
            <w:tcMar>
              <w:top w:type="dxa" w:w="80"/>
              <w:left w:type="dxa" w:w="100"/>
              <w:bottom w:type="dxa" w:w="80"/>
              <w:right w:type="dxa" w:w="100"/>
            </w:tcMar>
          </w:tcPr>
          <w:p>
            <w:pPr>
              <w:jc w:val="left"/>
            </w:pPr>
            <w:r>
              <w:rPr>
                <w:b w:val="false"/>
                <w:bCs w:val="false"/>
              </w:rPr>
              <w:t xml:space="preserve">Governance-controlled assessment</w:t>
            </w:r>
          </w:p>
        </w:tc>
        <w:tc>
          <w:tcPr>
            <w:tcW w:type="dxa" w:w="1600"/>
            <w:tcMar>
              <w:top w:type="dxa" w:w="80"/>
              <w:left w:type="dxa" w:w="100"/>
              <w:bottom w:type="dxa" w:w="80"/>
              <w:right w:type="dxa" w:w="100"/>
            </w:tcMar>
          </w:tcPr>
          <w:p>
            <w:pPr>
              <w:jc w:val="left"/>
            </w:pPr>
            <w:r>
              <w:rPr>
                <w:b w:val="false"/>
                <w:bCs w:val="false"/>
              </w:rPr>
              <w:t xml:space="preserve">AP-003 / AP-006</w:t>
            </w:r>
          </w:p>
        </w:tc>
        <w:tc>
          <w:tcPr>
            <w:tcW w:type="dxa" w:w="5600"/>
            <w:tcMar>
              <w:top w:type="dxa" w:w="80"/>
              <w:left w:type="dxa" w:w="100"/>
              <w:bottom w:type="dxa" w:w="80"/>
              <w:right w:type="dxa" w:w="100"/>
            </w:tcMar>
          </w:tcPr>
          <w:p>
            <w:pPr>
              <w:jc w:val="left"/>
            </w:pPr>
            <w:r>
              <w:rPr>
                <w:b w:val="false"/>
                <w:bCs w:val="false"/>
              </w:rPr>
              <w:t xml:space="preserve">Any architecture evolution surfaced during conformance review is routed through a new or amended EGD entry; conformance activity itself creates no architecture change.</w:t>
            </w:r>
          </w:p>
        </w:tc>
      </w:tr>
      <w:tr>
        <w:tc>
          <w:tcPr>
            <w:tcW w:type="dxa" w:w="2600"/>
            <w:tcMar>
              <w:top w:type="dxa" w:w="80"/>
              <w:left w:type="dxa" w:w="100"/>
              <w:bottom w:type="dxa" w:w="80"/>
              <w:right w:type="dxa" w:w="100"/>
            </w:tcMar>
          </w:tcPr>
          <w:p>
            <w:pPr>
              <w:jc w:val="left"/>
            </w:pPr>
            <w:r>
              <w:rPr>
                <w:b w:val="false"/>
                <w:bCs w:val="false"/>
              </w:rPr>
              <w:t xml:space="preserve">Traceability preservation</w:t>
            </w:r>
          </w:p>
        </w:tc>
        <w:tc>
          <w:tcPr>
            <w:tcW w:type="dxa" w:w="1600"/>
            <w:tcMar>
              <w:top w:type="dxa" w:w="80"/>
              <w:left w:type="dxa" w:w="100"/>
              <w:bottom w:type="dxa" w:w="80"/>
              <w:right w:type="dxa" w:w="100"/>
            </w:tcMar>
          </w:tcPr>
          <w:p>
            <w:pPr>
              <w:jc w:val="left"/>
            </w:pPr>
            <w:r>
              <w:rPr>
                <w:b w:val="false"/>
                <w:bCs w:val="false"/>
              </w:rPr>
              <w:t xml:space="preserve">Phase A.3 §7 chain</w:t>
            </w:r>
          </w:p>
        </w:tc>
        <w:tc>
          <w:tcPr>
            <w:tcW w:type="dxa" w:w="5600"/>
            <w:tcMar>
              <w:top w:type="dxa" w:w="80"/>
              <w:left w:type="dxa" w:w="100"/>
              <w:bottom w:type="dxa" w:w="80"/>
              <w:right w:type="dxa" w:w="100"/>
            </w:tcMar>
          </w:tcPr>
          <w:p>
            <w:pPr>
              <w:jc w:val="left"/>
            </w:pPr>
            <w:r>
              <w:rPr>
                <w:b w:val="false"/>
                <w:bCs w:val="false"/>
              </w:rPr>
              <w:t xml:space="preserve">Every conformance record preserves the full chain: AR → EGD → Repository → Engineering Design → Implementation Activity → Verification Evidence → Acceptance Criteria → Certification Level.</w:t>
            </w:r>
          </w:p>
        </w:tc>
      </w:tr>
      <w:tr>
        <w:tc>
          <w:tcPr>
            <w:tcW w:type="dxa" w:w="2600"/>
            <w:tcMar>
              <w:top w:type="dxa" w:w="80"/>
              <w:left w:type="dxa" w:w="100"/>
              <w:bottom w:type="dxa" w:w="80"/>
              <w:right w:type="dxa" w:w="100"/>
            </w:tcMar>
          </w:tcPr>
          <w:p>
            <w:pPr>
              <w:jc w:val="left"/>
            </w:pPr>
            <w:r>
              <w:rPr>
                <w:b w:val="false"/>
                <w:bCs w:val="false"/>
              </w:rPr>
              <w:t xml:space="preserve">Risk-aware verification</w:t>
            </w:r>
          </w:p>
        </w:tc>
        <w:tc>
          <w:tcPr>
            <w:tcW w:type="dxa" w:w="1600"/>
            <w:tcMar>
              <w:top w:type="dxa" w:w="80"/>
              <w:left w:type="dxa" w:w="100"/>
              <w:bottom w:type="dxa" w:w="80"/>
              <w:right w:type="dxa" w:w="100"/>
            </w:tcMar>
          </w:tcPr>
          <w:p>
            <w:pPr>
              <w:jc w:val="left"/>
            </w:pPr>
            <w:r>
              <w:rPr>
                <w:b w:val="false"/>
                <w:bCs w:val="false"/>
              </w:rPr>
              <w:t xml:space="preserve">Phase B §2 (risk-first)</w:t>
            </w:r>
          </w:p>
        </w:tc>
        <w:tc>
          <w:tcPr>
            <w:tcW w:type="dxa" w:w="5600"/>
            <w:tcMar>
              <w:top w:type="dxa" w:w="80"/>
              <w:left w:type="dxa" w:w="100"/>
              <w:bottom w:type="dxa" w:w="80"/>
              <w:right w:type="dxa" w:w="100"/>
            </w:tcMar>
          </w:tcPr>
          <w:p>
            <w:pPr>
              <w:jc w:val="left"/>
            </w:pPr>
            <w:r>
              <w:rPr>
                <w:b w:val="false"/>
                <w:bCs w:val="false"/>
              </w:rPr>
              <w:t xml:space="preserve">Conformance attention is weighted toward WP-0002 (the unverified security gap) and WP-0006 (the blocking governance gap), consistent with their Wave 1 sequencing.</w:t>
            </w:r>
          </w:p>
        </w:tc>
      </w:tr>
      <w:tr>
        <w:tc>
          <w:tcPr>
            <w:tcW w:type="dxa" w:w="2600"/>
            <w:tcMar>
              <w:top w:type="dxa" w:w="80"/>
              <w:left w:type="dxa" w:w="100"/>
              <w:bottom w:type="dxa" w:w="80"/>
              <w:right w:type="dxa" w:w="100"/>
            </w:tcMar>
          </w:tcPr>
          <w:p>
            <w:pPr>
              <w:jc w:val="left"/>
            </w:pPr>
            <w:r>
              <w:rPr>
                <w:b w:val="false"/>
                <w:bCs w:val="false"/>
              </w:rPr>
              <w:t xml:space="preserve">Documentation integrity</w:t>
            </w:r>
          </w:p>
        </w:tc>
        <w:tc>
          <w:tcPr>
            <w:tcW w:type="dxa" w:w="1600"/>
            <w:tcMar>
              <w:top w:type="dxa" w:w="80"/>
              <w:left w:type="dxa" w:w="100"/>
              <w:bottom w:type="dxa" w:w="80"/>
              <w:right w:type="dxa" w:w="100"/>
            </w:tcMar>
          </w:tcPr>
          <w:p>
            <w:pPr>
              <w:jc w:val="left"/>
            </w:pPr>
            <w:r>
              <w:rPr>
                <w:b w:val="false"/>
                <w:bCs w:val="false"/>
              </w:rPr>
              <w:t xml:space="preserve">AP-002</w:t>
            </w:r>
          </w:p>
        </w:tc>
        <w:tc>
          <w:tcPr>
            <w:tcW w:type="dxa" w:w="5600"/>
            <w:tcMar>
              <w:top w:type="dxa" w:w="80"/>
              <w:left w:type="dxa" w:w="100"/>
              <w:bottom w:type="dxa" w:w="80"/>
              <w:right w:type="dxa" w:w="100"/>
            </w:tcMar>
          </w:tcPr>
          <w:p>
            <w:pPr>
              <w:jc w:val="left"/>
            </w:pPr>
            <w:r>
              <w:rPr>
                <w:b w:val="false"/>
                <w:bCs w:val="false"/>
              </w:rPr>
              <w:t xml:space="preserve">Conformance evidence is published (not merely asserted) as documentation artifacts, consistent with the evidentiary standard already set for WP-0001.</w:t>
            </w:r>
          </w:p>
        </w:tc>
      </w:tr>
      <w:tr>
        <w:tc>
          <w:tcPr>
            <w:tcW w:type="dxa" w:w="2600"/>
            <w:tcMar>
              <w:top w:type="dxa" w:w="80"/>
              <w:left w:type="dxa" w:w="100"/>
              <w:bottom w:type="dxa" w:w="80"/>
              <w:right w:type="dxa" w:w="100"/>
            </w:tcMar>
          </w:tcPr>
          <w:p>
            <w:pPr>
              <w:jc w:val="left"/>
            </w:pPr>
            <w:r>
              <w:rPr>
                <w:b w:val="false"/>
                <w:bCs w:val="false"/>
              </w:rPr>
              <w:t xml:space="preserve">Incremental certification</w:t>
            </w:r>
          </w:p>
        </w:tc>
        <w:tc>
          <w:tcPr>
            <w:tcW w:type="dxa" w:w="1600"/>
            <w:tcMar>
              <w:top w:type="dxa" w:w="80"/>
              <w:left w:type="dxa" w:w="100"/>
              <w:bottom w:type="dxa" w:w="80"/>
              <w:right w:type="dxa" w:w="100"/>
            </w:tcMar>
          </w:tcPr>
          <w:p>
            <w:pPr>
              <w:jc w:val="left"/>
            </w:pPr>
            <w:r>
              <w:rPr>
                <w:b w:val="false"/>
                <w:bCs w:val="false"/>
              </w:rPr>
              <w:t xml:space="preserve">Phase A.3 §11 (L1–L4)</w:t>
            </w:r>
          </w:p>
        </w:tc>
        <w:tc>
          <w:tcPr>
            <w:tcW w:type="dxa" w:w="5600"/>
            <w:tcMar>
              <w:top w:type="dxa" w:w="80"/>
              <w:left w:type="dxa" w:w="100"/>
              <w:bottom w:type="dxa" w:w="80"/>
              <w:right w:type="dxa" w:w="100"/>
            </w:tcMar>
          </w:tcPr>
          <w:p>
            <w:pPr>
              <w:jc w:val="left"/>
            </w:pPr>
            <w:r>
              <w:rPr>
                <w:b w:val="false"/>
                <w:bCs w:val="false"/>
              </w:rPr>
              <w:t xml:space="preserve">Certification Level movement is confirmed incrementally per Work Package, not asserted in aggregate; Section 6 §4 records the current and target level for each WP.</w:t>
            </w:r>
          </w:p>
        </w:tc>
      </w:tr>
      <w:tr>
        <w:tc>
          <w:tcPr>
            <w:tcW w:type="dxa" w:w="2600"/>
            <w:tcMar>
              <w:top w:type="dxa" w:w="80"/>
              <w:left w:type="dxa" w:w="100"/>
              <w:bottom w:type="dxa" w:w="80"/>
              <w:right w:type="dxa" w:w="100"/>
            </w:tcMar>
          </w:tcPr>
          <w:p>
            <w:pPr>
              <w:jc w:val="left"/>
            </w:pPr>
            <w:r>
              <w:rPr>
                <w:b w:val="false"/>
                <w:bCs w:val="false"/>
              </w:rPr>
              <w:t xml:space="preserve">Continuous improvement</w:t>
            </w:r>
          </w:p>
        </w:tc>
        <w:tc>
          <w:tcPr>
            <w:tcW w:type="dxa" w:w="1600"/>
            <w:tcMar>
              <w:top w:type="dxa" w:w="80"/>
              <w:left w:type="dxa" w:w="100"/>
              <w:bottom w:type="dxa" w:w="80"/>
              <w:right w:type="dxa" w:w="100"/>
            </w:tcMar>
          </w:tcPr>
          <w:p>
            <w:pPr>
              <w:jc w:val="left"/>
            </w:pPr>
            <w:r>
              <w:rPr>
                <w:b w:val="false"/>
                <w:bCs w:val="false"/>
              </w:rPr>
              <w:t xml:space="preserve">AP-006 / AP-007</w:t>
            </w:r>
          </w:p>
        </w:tc>
        <w:tc>
          <w:tcPr>
            <w:tcW w:type="dxa" w:w="5600"/>
            <w:tcMar>
              <w:top w:type="dxa" w:w="80"/>
              <w:left w:type="dxa" w:w="100"/>
              <w:bottom w:type="dxa" w:w="80"/>
              <w:right w:type="dxa" w:w="100"/>
            </w:tcMar>
          </w:tcPr>
          <w:p>
            <w:pPr>
              <w:jc w:val="left"/>
            </w:pPr>
            <w:r>
              <w:rPr>
                <w:b w:val="false"/>
                <w:bCs w:val="false"/>
              </w:rPr>
              <w:t xml:space="preserve">Every conformance exception becomes a new EGD or VAR entry, feeding the same disposition and variance registers Phase A.2 and A.3 already maintain — not a parallel, undocumented process.</w:t>
            </w:r>
          </w:p>
        </w:tc>
      </w:tr>
    </w:tbl>
    <w:p>
      <w:pPr>
        <w:pStyle w:val="Heading1"/>
        <w:spacing w:after="160" w:before="360"/>
      </w:pPr>
      <w:r>
        <w:t xml:space="preserve">3. Architecture Conformance Framework</w:t>
      </w:r>
    </w:p>
    <w:p>
      <w:pPr>
        <w:spacing w:after="140"/>
      </w:pPr>
      <w:r>
        <w:t xml:space="preserve">The conformance lifecycle below applies uniformly to WP-0001–WP-0006, with stage applicability scaled to each Work Package's own scope — consistent with Section 1 §3's finding that several lifecycle stages are compressed or not applicable for the current, intentionally lightweight Work Package set.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D9D9D9" w:val="clear"/>
            <w:tcMar>
              <w:top w:type="dxa" w:w="80"/>
              <w:left w:type="dxa" w:w="100"/>
              <w:bottom w:type="dxa" w:w="80"/>
              <w:right w:type="dxa" w:w="100"/>
            </w:tcMar>
          </w:tcPr>
          <w:p>
            <w:pPr>
              <w:jc w:val="left"/>
            </w:pPr>
            <w:r>
              <w:rPr>
                <w:b/>
                <w:bCs/>
              </w:rPr>
              <w:t xml:space="preserve">Stage</w:t>
            </w:r>
          </w:p>
        </w:tc>
        <w:tc>
          <w:tcPr>
            <w:tcW w:type="dxa" w:w="7200"/>
            <w:shd w:fill="D9D9D9" w:val="clear"/>
            <w:tcMar>
              <w:top w:type="dxa" w:w="80"/>
              <w:left w:type="dxa" w:w="100"/>
              <w:bottom w:type="dxa" w:w="80"/>
              <w:right w:type="dxa" w:w="100"/>
            </w:tcMar>
          </w:tcPr>
          <w:p>
            <w:pPr>
              <w:jc w:val="left"/>
            </w:pPr>
            <w:r>
              <w:rPr>
                <w:b/>
                <w:bCs/>
              </w:rPr>
              <w:t xml:space="preserve">Objective</w:t>
            </w:r>
          </w:p>
        </w:tc>
      </w:tr>
      <w:tr>
        <w:tc>
          <w:tcPr>
            <w:tcW w:type="dxa" w:w="2600"/>
            <w:tcMar>
              <w:top w:type="dxa" w:w="80"/>
              <w:left w:type="dxa" w:w="100"/>
              <w:bottom w:type="dxa" w:w="80"/>
              <w:right w:type="dxa" w:w="100"/>
            </w:tcMar>
          </w:tcPr>
          <w:p>
            <w:pPr>
              <w:jc w:val="left"/>
            </w:pPr>
            <w:r>
              <w:rPr>
                <w:b w:val="false"/>
                <w:bCs w:val="false"/>
              </w:rPr>
              <w:t xml:space="preserve">Conformance planning</w:t>
            </w:r>
          </w:p>
        </w:tc>
        <w:tc>
          <w:tcPr>
            <w:tcW w:type="dxa" w:w="7200"/>
            <w:tcMar>
              <w:top w:type="dxa" w:w="80"/>
              <w:left w:type="dxa" w:w="100"/>
              <w:bottom w:type="dxa" w:w="80"/>
              <w:right w:type="dxa" w:w="100"/>
            </w:tcMar>
          </w:tcPr>
          <w:p>
            <w:pPr>
              <w:jc w:val="left"/>
            </w:pPr>
            <w:r>
              <w:rPr>
                <w:b w:val="false"/>
                <w:bCs w:val="false"/>
              </w:rPr>
              <w:t xml:space="preserve">Identify, for each Work Package, which AR/EGD pair it executes and which verification method (Section 4/Section 5) will serve as its conformance evidence, before implementation begins.</w:t>
            </w:r>
          </w:p>
        </w:tc>
      </w:tr>
      <w:tr>
        <w:tc>
          <w:tcPr>
            <w:tcW w:type="dxa" w:w="2600"/>
            <w:tcMar>
              <w:top w:type="dxa" w:w="80"/>
              <w:left w:type="dxa" w:w="100"/>
              <w:bottom w:type="dxa" w:w="80"/>
              <w:right w:type="dxa" w:w="100"/>
            </w:tcMar>
          </w:tcPr>
          <w:p>
            <w:pPr>
              <w:jc w:val="left"/>
            </w:pPr>
            <w:r>
              <w:rPr>
                <w:b w:val="false"/>
                <w:bCs w:val="false"/>
              </w:rPr>
              <w:t xml:space="preserve">Conformance preparation</w:t>
            </w:r>
          </w:p>
        </w:tc>
        <w:tc>
          <w:tcPr>
            <w:tcW w:type="dxa" w:w="7200"/>
            <w:tcMar>
              <w:top w:type="dxa" w:w="80"/>
              <w:left w:type="dxa" w:w="100"/>
              <w:bottom w:type="dxa" w:w="80"/>
              <w:right w:type="dxa" w:w="100"/>
            </w:tcMar>
          </w:tcPr>
          <w:p>
            <w:pPr>
              <w:jc w:val="left"/>
            </w:pPr>
            <w:r>
              <w:rPr>
                <w:b w:val="false"/>
                <w:bCs w:val="false"/>
              </w:rPr>
              <w:t xml:space="preserve">Confirm the verification method's preconditions are met — for example, that WP-0002's query-based RLS verification has database access and the four named table groups available before the check runs.</w:t>
            </w:r>
          </w:p>
        </w:tc>
      </w:tr>
      <w:tr>
        <w:tc>
          <w:tcPr>
            <w:tcW w:type="dxa" w:w="2600"/>
            <w:tcMar>
              <w:top w:type="dxa" w:w="80"/>
              <w:left w:type="dxa" w:w="100"/>
              <w:bottom w:type="dxa" w:w="80"/>
              <w:right w:type="dxa" w:w="100"/>
            </w:tcMar>
          </w:tcPr>
          <w:p>
            <w:pPr>
              <w:jc w:val="left"/>
            </w:pPr>
            <w:r>
              <w:rPr>
                <w:b w:val="false"/>
                <w:bCs w:val="false"/>
              </w:rPr>
              <w:t xml:space="preserve">Repository verification</w:t>
            </w:r>
          </w:p>
        </w:tc>
        <w:tc>
          <w:tcPr>
            <w:tcW w:type="dxa" w:w="7200"/>
            <w:tcMar>
              <w:top w:type="dxa" w:w="80"/>
              <w:left w:type="dxa" w:w="100"/>
              <w:bottom w:type="dxa" w:w="80"/>
              <w:right w:type="dxa" w:w="100"/>
            </w:tcMar>
          </w:tcPr>
          <w:p>
            <w:pPr>
              <w:jc w:val="left"/>
            </w:pPr>
            <w:r>
              <w:rPr>
                <w:b w:val="false"/>
                <w:bCs w:val="false"/>
              </w:rPr>
              <w:t xml:space="preserve">Confirm repository evidence exists at the specific location Section 3 identifies, matching the Implementation Activity Reference recorded in Section 5 §8.</w:t>
            </w:r>
          </w:p>
        </w:tc>
      </w:tr>
      <w:tr>
        <w:tc>
          <w:tcPr>
            <w:tcW w:type="dxa" w:w="2600"/>
            <w:tcMar>
              <w:top w:type="dxa" w:w="80"/>
              <w:left w:type="dxa" w:w="100"/>
              <w:bottom w:type="dxa" w:w="80"/>
              <w:right w:type="dxa" w:w="100"/>
            </w:tcMar>
          </w:tcPr>
          <w:p>
            <w:pPr>
              <w:jc w:val="left"/>
            </w:pPr>
            <w:r>
              <w:rPr>
                <w:b w:val="false"/>
                <w:bCs w:val="false"/>
              </w:rPr>
              <w:t xml:space="preserve">Architecture review</w:t>
            </w:r>
          </w:p>
        </w:tc>
        <w:tc>
          <w:tcPr>
            <w:tcW w:type="dxa" w:w="7200"/>
            <w:tcMar>
              <w:top w:type="dxa" w:w="80"/>
              <w:left w:type="dxa" w:w="100"/>
              <w:bottom w:type="dxa" w:w="80"/>
              <w:right w:type="dxa" w:w="100"/>
            </w:tcMar>
          </w:tcPr>
          <w:p>
            <w:pPr>
              <w:jc w:val="left"/>
            </w:pPr>
            <w:r>
              <w:rPr>
                <w:b w:val="false"/>
                <w:bCs w:val="false"/>
              </w:rPr>
              <w:t xml:space="preserve">Confirm the implementation matches the engineering design in Section 4 and does not silently expand scope beyond the Engineering Boundaries each WP profile declares.</w:t>
            </w:r>
          </w:p>
        </w:tc>
      </w:tr>
      <w:tr>
        <w:tc>
          <w:tcPr>
            <w:tcW w:type="dxa" w:w="2600"/>
            <w:tcMar>
              <w:top w:type="dxa" w:w="80"/>
              <w:left w:type="dxa" w:w="100"/>
              <w:bottom w:type="dxa" w:w="80"/>
              <w:right w:type="dxa" w:w="100"/>
            </w:tcMar>
          </w:tcPr>
          <w:p>
            <w:pPr>
              <w:jc w:val="left"/>
            </w:pPr>
            <w:r>
              <w:rPr>
                <w:b w:val="false"/>
                <w:bCs w:val="false"/>
              </w:rPr>
              <w:t xml:space="preserve">Evidence collection</w:t>
            </w:r>
          </w:p>
        </w:tc>
        <w:tc>
          <w:tcPr>
            <w:tcW w:type="dxa" w:w="7200"/>
            <w:tcMar>
              <w:top w:type="dxa" w:w="80"/>
              <w:left w:type="dxa" w:w="100"/>
              <w:bottom w:type="dxa" w:w="80"/>
              <w:right w:type="dxa" w:w="100"/>
            </w:tcMar>
          </w:tcPr>
          <w:p>
            <w:pPr>
              <w:jc w:val="left"/>
            </w:pPr>
            <w:r>
              <w:rPr>
                <w:b w:val="false"/>
                <w:bCs w:val="false"/>
              </w:rPr>
              <w:t xml:space="preserve">Collect the specific Completion Evidence artifact Section 5 §8 names for each Work Package (e.g., zero-discrepancy diff for WP-0001; per-table verification ledger for WP-0002).</w:t>
            </w:r>
          </w:p>
        </w:tc>
      </w:tr>
      <w:tr>
        <w:tc>
          <w:tcPr>
            <w:tcW w:type="dxa" w:w="2600"/>
            <w:tcMar>
              <w:top w:type="dxa" w:w="80"/>
              <w:left w:type="dxa" w:w="100"/>
              <w:bottom w:type="dxa" w:w="80"/>
              <w:right w:type="dxa" w:w="100"/>
            </w:tcMar>
          </w:tcPr>
          <w:p>
            <w:pPr>
              <w:jc w:val="left"/>
            </w:pPr>
            <w:r>
              <w:rPr>
                <w:b w:val="false"/>
                <w:bCs w:val="false"/>
              </w:rPr>
              <w:t xml:space="preserve">Exception identification</w:t>
            </w:r>
          </w:p>
        </w:tc>
        <w:tc>
          <w:tcPr>
            <w:tcW w:type="dxa" w:w="7200"/>
            <w:tcMar>
              <w:top w:type="dxa" w:w="80"/>
              <w:left w:type="dxa" w:w="100"/>
              <w:bottom w:type="dxa" w:w="80"/>
              <w:right w:type="dxa" w:w="100"/>
            </w:tcMar>
          </w:tcPr>
          <w:p>
            <w:pPr>
              <w:jc w:val="left"/>
            </w:pPr>
            <w:r>
              <w:rPr>
                <w:b w:val="false"/>
                <w:bCs w:val="false"/>
              </w:rPr>
              <w:t xml:space="preserve">Identify any deviation between implementation and approved design, engineering boundary, or acceptance criterion.</w:t>
            </w:r>
          </w:p>
        </w:tc>
      </w:tr>
      <w:tr>
        <w:tc>
          <w:tcPr>
            <w:tcW w:type="dxa" w:w="2600"/>
            <w:tcMar>
              <w:top w:type="dxa" w:w="80"/>
              <w:left w:type="dxa" w:w="100"/>
              <w:bottom w:type="dxa" w:w="80"/>
              <w:right w:type="dxa" w:w="100"/>
            </w:tcMar>
          </w:tcPr>
          <w:p>
            <w:pPr>
              <w:jc w:val="left"/>
            </w:pPr>
            <w:r>
              <w:rPr>
                <w:b w:val="false"/>
                <w:bCs w:val="false"/>
              </w:rPr>
              <w:t xml:space="preserve">Corrective action</w:t>
            </w:r>
          </w:p>
        </w:tc>
        <w:tc>
          <w:tcPr>
            <w:tcW w:type="dxa" w:w="7200"/>
            <w:tcMar>
              <w:top w:type="dxa" w:w="80"/>
              <w:left w:type="dxa" w:w="100"/>
              <w:bottom w:type="dxa" w:w="80"/>
              <w:right w:type="dxa" w:w="100"/>
            </w:tcMar>
          </w:tcPr>
          <w:p>
            <w:pPr>
              <w:jc w:val="left"/>
            </w:pPr>
            <w:r>
              <w:rPr>
                <w:b w:val="false"/>
                <w:bCs w:val="false"/>
              </w:rPr>
              <w:t xml:space="preserve">Where a deviation is found, apply a contingency action already pre-approved in Section 4/Section 5 (e.g., WP-0002's contingency-only RLS policy correction) or escalate per Section 8 of this document.</w:t>
            </w:r>
          </w:p>
        </w:tc>
      </w:tr>
      <w:tr>
        <w:tc>
          <w:tcPr>
            <w:tcW w:type="dxa" w:w="2600"/>
            <w:tcMar>
              <w:top w:type="dxa" w:w="80"/>
              <w:left w:type="dxa" w:w="100"/>
              <w:bottom w:type="dxa" w:w="80"/>
              <w:right w:type="dxa" w:w="100"/>
            </w:tcMar>
          </w:tcPr>
          <w:p>
            <w:pPr>
              <w:jc w:val="left"/>
            </w:pPr>
            <w:r>
              <w:rPr>
                <w:b w:val="false"/>
                <w:bCs w:val="false"/>
              </w:rPr>
              <w:t xml:space="preserve">Approval</w:t>
            </w:r>
          </w:p>
        </w:tc>
        <w:tc>
          <w:tcPr>
            <w:tcW w:type="dxa" w:w="7200"/>
            <w:tcMar>
              <w:top w:type="dxa" w:w="80"/>
              <w:left w:type="dxa" w:w="100"/>
              <w:bottom w:type="dxa" w:w="80"/>
              <w:right w:type="dxa" w:w="100"/>
            </w:tcMar>
          </w:tcPr>
          <w:p>
            <w:pPr>
              <w:jc w:val="left"/>
            </w:pPr>
            <w:r>
              <w:rPr>
                <w:b w:val="false"/>
                <w:bCs w:val="false"/>
              </w:rPr>
              <w:t xml:space="preserve">Confirm the Executive Sponsor / Governance Board role (Phase B §9) — Not Evidenced in Current Baseline as a distinct Architecture Review Board — records approval of the conformance finding.</w:t>
            </w:r>
          </w:p>
        </w:tc>
      </w:tr>
      <w:tr>
        <w:tc>
          <w:tcPr>
            <w:tcW w:type="dxa" w:w="2600"/>
            <w:tcMar>
              <w:top w:type="dxa" w:w="80"/>
              <w:left w:type="dxa" w:w="100"/>
              <w:bottom w:type="dxa" w:w="80"/>
              <w:right w:type="dxa" w:w="100"/>
            </w:tcMar>
          </w:tcPr>
          <w:p>
            <w:pPr>
              <w:jc w:val="left"/>
            </w:pPr>
            <w:r>
              <w:rPr>
                <w:b w:val="false"/>
                <w:bCs w:val="false"/>
              </w:rPr>
              <w:t xml:space="preserve">Certification</w:t>
            </w:r>
          </w:p>
        </w:tc>
        <w:tc>
          <w:tcPr>
            <w:tcW w:type="dxa" w:w="7200"/>
            <w:tcMar>
              <w:top w:type="dxa" w:w="80"/>
              <w:left w:type="dxa" w:w="100"/>
              <w:bottom w:type="dxa" w:w="80"/>
              <w:right w:type="dxa" w:w="100"/>
            </w:tcMar>
          </w:tcPr>
          <w:p>
            <w:pPr>
              <w:jc w:val="left"/>
            </w:pPr>
            <w:r>
              <w:rPr>
                <w:b w:val="false"/>
                <w:bCs w:val="false"/>
              </w:rPr>
              <w:t xml:space="preserve">Confirm the Certification Level (Phase A.3 §11: L1–L4) is updated only on evidenced completion, per the specific Acceptance Criteria in Section 5 §8's traceability matrix.</w:t>
            </w:r>
          </w:p>
        </w:tc>
      </w:tr>
      <w:tr>
        <w:tc>
          <w:tcPr>
            <w:tcW w:type="dxa" w:w="2600"/>
            <w:tcMar>
              <w:top w:type="dxa" w:w="80"/>
              <w:left w:type="dxa" w:w="100"/>
              <w:bottom w:type="dxa" w:w="80"/>
              <w:right w:type="dxa" w:w="100"/>
            </w:tcMar>
          </w:tcPr>
          <w:p>
            <w:pPr>
              <w:jc w:val="left"/>
            </w:pPr>
            <w:r>
              <w:rPr>
                <w:b w:val="false"/>
                <w:bCs w:val="false"/>
              </w:rPr>
              <w:t xml:space="preserve">Closure</w:t>
            </w:r>
          </w:p>
        </w:tc>
        <w:tc>
          <w:tcPr>
            <w:tcW w:type="dxa" w:w="7200"/>
            <w:tcMar>
              <w:top w:type="dxa" w:w="80"/>
              <w:left w:type="dxa" w:w="100"/>
              <w:bottom w:type="dxa" w:w="80"/>
              <w:right w:type="dxa" w:w="100"/>
            </w:tcMar>
          </w:tcPr>
          <w:p>
            <w:pPr>
              <w:jc w:val="left"/>
            </w:pPr>
            <w:r>
              <w:rPr>
                <w:b w:val="false"/>
                <w:bCs w:val="false"/>
              </w:rPr>
              <w:t xml:space="preserve">Confirm the KPI movement associated with the Work Package (KPI-01, KPI-02, KPI-06, KPI-07, KPI-08, or KPI-09, as applicable) is measured and recorded, closing the conformance cycle for that Work Package.</w:t>
            </w:r>
          </w:p>
        </w:tc>
      </w:tr>
    </w:tbl>
    <w:p>
      <w:r>
        <w:br w:type="page"/>
      </w:r>
    </w:p>
    <w:p>
      <w:pPr>
        <w:pStyle w:val="Heading1"/>
        <w:spacing w:after="160" w:before="360"/>
      </w:pPr>
      <w:r>
        <w:t xml:space="preserve">4. Work Package Conformance Profiles</w:t>
      </w:r>
    </w:p>
    <w:p>
      <w:pPr>
        <w:spacing w:after="140"/>
      </w:pPr>
      <w:r>
        <w:t xml:space="preserve">Each profile below reuses, without alteration, the identifiers, scope, and evidence already established for the corresponding Work Package in Section 2 (Engineering Catalog), Section 3 (Repository Impact), Section 4 (Engineering Design), and Section 5 (Implementation Blueprint). No new deliverable, dependency, or acceptance criterion is introduced.</w:t>
      </w:r>
    </w:p>
    <w:p>
      <w:pPr>
        <w:pStyle w:val="Heading2"/>
        <w:spacing w:after="140" w:before="280"/>
      </w:pPr>
      <w:r>
        <w:t xml:space="preserve">WP-0001 — Revise EEP-01 Phase A Architecture Document to the Canonical Live-Schema Baseline</w:t>
      </w:r>
    </w:p>
    <w:p>
      <w:pPr>
        <w:spacing w:after="140"/>
      </w:pPr>
      <w:r>
        <w:rPr>
          <w:b/>
          <w:bCs/>
        </w:rPr>
        <w:t xml:space="preserve">Architecture Requirement: </w:t>
      </w:r>
      <w:r>
        <w:t xml:space="preserve">AR-0002 (Naming Governance)</w:t>
      </w:r>
      <w:r>
        <w:rPr>
          <w:b/>
          <w:bCs/>
        </w:rPr>
        <w:t xml:space="preserve">   Enterprise Governance Decision: </w:t>
      </w:r>
      <w:r>
        <w:t xml:space="preserve">EGD-0002 (Supersede)</w:t>
      </w:r>
    </w:p>
    <w:p>
      <w:pPr>
        <w:pStyle w:val="Heading3"/>
        <w:spacing w:after="120" w:before="220"/>
      </w:pPr>
      <w:r>
        <w:t xml:space="preserve">A. Conformance Objective</w:t>
      </w:r>
    </w:p>
    <w:p>
      <w:pPr>
        <w:spacing w:after="140"/>
      </w:pPr>
      <w:r>
        <w:rPr>
          <w:b/>
          <w:bCs/>
        </w:rPr>
        <w:t xml:space="preserve">Purpose: </w:t>
      </w:r>
      <w:r>
        <w:t xml:space="preserve">Produce a revised EEP-01 Phase A document describing the live public-schema student-academic table set as the canonical architecture baseline.</w:t>
      </w:r>
    </w:p>
    <w:p>
      <w:pPr>
        <w:spacing w:after="140"/>
      </w:pPr>
      <w:r>
        <w:rPr>
          <w:b/>
          <w:bCs/>
        </w:rPr>
        <w:t xml:space="preserve">Architecture intent: </w:t>
      </w:r>
      <w:r>
        <w:t xml:space="preserve">Documentation-correction, not architecture redesign — resolves the top-rated risk in the enterprise baseline (a Phase A document describing a schema that was never built).</w:t>
      </w:r>
    </w:p>
    <w:p>
      <w:pPr>
        <w:spacing w:after="140"/>
      </w:pPr>
      <w:r>
        <w:rPr>
          <w:b/>
          <w:bCs/>
        </w:rPr>
        <w:t xml:space="preserve">Expected conformance outcome: </w:t>
      </w:r>
      <w:r>
        <w:t xml:space="preserve">Zero-discrepancy documentation; ER-0002 and VAR-02 formally closed on completion.</w:t>
      </w:r>
    </w:p>
    <w:p>
      <w:pPr>
        <w:pStyle w:val="Heading3"/>
        <w:spacing w:after="120" w:before="220"/>
      </w:pPr>
      <w:r>
        <w:t xml:space="preserve">B. Architecture Requirements Verification</w:t>
      </w:r>
    </w:p>
    <w:p>
      <w:pPr>
        <w:spacing w:after="140"/>
      </w:pPr>
      <w:r>
        <w:rPr>
          <w:b/>
          <w:bCs/>
        </w:rPr>
        <w:t xml:space="preserve">Required verification: </w:t>
      </w:r>
      <w:r>
        <w:t xml:space="preserve">Table inventory diff against the six live table groups (Phase A.3 §1.1): student_education_profiles; student_academic_records; student_academic_subjects; student_activities and related; student_cognitive_responses and related; student_signal_vectors and related.</w:t>
      </w:r>
    </w:p>
    <w:p>
      <w:pPr>
        <w:spacing w:after="140"/>
      </w:pPr>
      <w:r>
        <w:rPr>
          <w:b/>
          <w:bCs/>
        </w:rPr>
        <w:t xml:space="preserve">Required evidence: </w:t>
      </w:r>
      <w:r>
        <w:t xml:space="preserve">Zero-discrepancy diff report; published revised document.</w:t>
      </w:r>
    </w:p>
    <w:p>
      <w:pPr>
        <w:pStyle w:val="Heading3"/>
        <w:spacing w:after="120" w:before="220"/>
      </w:pPr>
      <w:r>
        <w:t xml:space="preserve">C. Governance Verification</w:t>
      </w:r>
    </w:p>
    <w:p>
      <w:pPr>
        <w:spacing w:after="140"/>
      </w:pPr>
      <w:r>
        <w:rPr>
          <w:b/>
          <w:bCs/>
        </w:rPr>
        <w:t xml:space="preserve">Applicable Enterprise Governance Decisions: </w:t>
      </w:r>
      <w:r>
        <w:t xml:space="preserve">EGD-0002 (Supersede) — Accepted, execution = WP-0001.</w:t>
      </w:r>
    </w:p>
    <w:p>
      <w:pPr>
        <w:spacing w:after="140"/>
      </w:pPr>
      <w:r>
        <w:rPr>
          <w:b/>
          <w:bCs/>
        </w:rPr>
        <w:t xml:space="preserve">Governance checkpoints: </w:t>
      </w:r>
      <w:r>
        <w:t xml:space="preserve">Approval of the revised document by the Executive Sponsor / Governance Board role (Phase B §9) — role currently unassigned pending WP-0006.</w:t>
      </w:r>
    </w:p>
    <w:p>
      <w:pPr>
        <w:spacing w:after="140"/>
      </w:pPr>
      <w:r>
        <w:rPr>
          <w:b/>
          <w:bCs/>
        </w:rPr>
        <w:t xml:space="preserve">Required approvals: </w:t>
      </w:r>
      <w:r>
        <w:t xml:space="preserve">Executive Sponsor / Governance Board sign-off on the revised document.</w:t>
      </w:r>
    </w:p>
    <w:p>
      <w:pPr>
        <w:pStyle w:val="Heading3"/>
        <w:spacing w:after="120" w:before="220"/>
      </w:pPr>
      <w:r>
        <w:t xml:space="preserve">D. Repository Conformance</w:t>
      </w:r>
    </w:p>
    <w:p>
      <w:pPr>
        <w:spacing w:after="140"/>
      </w:pPr>
      <w:r>
        <w:rPr>
          <w:b/>
          <w:bCs/>
        </w:rPr>
        <w:t xml:space="preserve">Repository verification: </w:t>
      </w:r>
      <w:r>
        <w:t xml:space="preserve">Documentation repository only (Section 3 §"Repository Impact"); no database or code repository change is required.</w:t>
      </w:r>
    </w:p>
    <w:p>
      <w:pPr>
        <w:spacing w:after="140"/>
      </w:pPr>
      <w:r>
        <w:rPr>
          <w:b/>
          <w:bCs/>
        </w:rPr>
        <w:t xml:space="preserve">Documentation verification: </w:t>
      </w:r>
      <w:r>
        <w:t xml:space="preserve">Table inventory diff, zero discrepancies; published document replaces the superseded EEP-01 Phase A description.</w:t>
      </w:r>
    </w:p>
    <w:p>
      <w:pPr>
        <w:spacing w:after="140"/>
      </w:pPr>
      <w:r>
        <w:rPr>
          <w:b/>
          <w:bCs/>
        </w:rPr>
        <w:t xml:space="preserve">Database verification: </w:t>
      </w:r>
      <w:r>
        <w:t xml:space="preserve">Not Applicable — no migration in scope for WP-0001.</w:t>
      </w:r>
    </w:p>
    <w:p>
      <w:pPr>
        <w:spacing w:after="140"/>
      </w:pPr>
      <w:r>
        <w:rPr>
          <w:b/>
          <w:bCs/>
        </w:rPr>
        <w:t xml:space="preserve">Security verification: </w:t>
      </w:r>
      <w:r>
        <w:t xml:space="preserve">Not Applicable — no security-relevant change in scope for WP-0001.</w:t>
      </w:r>
    </w:p>
    <w:p>
      <w:pPr>
        <w:pStyle w:val="Heading3"/>
        <w:spacing w:after="120" w:before="220"/>
      </w:pPr>
      <w:r>
        <w:t xml:space="preserve">E. Engineering Conformance</w:t>
      </w:r>
    </w:p>
    <w:p>
      <w:pPr>
        <w:spacing w:after="140"/>
      </w:pPr>
      <w:r>
        <w:t xml:space="preserve">Matches Section 4 §WP-0001 Engineering Design (documentation-correction scope, six live table groups) and Section 5 §WP-0001 Implementation Activity.</w:t>
      </w:r>
    </w:p>
    <w:p>
      <w:pPr>
        <w:pStyle w:val="Heading3"/>
        <w:spacing w:after="120" w:before="220"/>
      </w:pPr>
      <w:r>
        <w:t xml:space="preserve">F. Conformance Evidence</w:t>
      </w:r>
    </w:p>
    <w:p>
      <w:pPr>
        <w:pStyle w:val="ListParagraph"/>
        <w:numPr>
          <w:ilvl w:val="0"/>
          <w:numId w:val="1"/>
        </w:numPr>
        <w:spacing w:after="80"/>
      </w:pPr>
      <w:r>
        <w:t xml:space="preserve">Zero-discrepancy table-inventory diff report</w:t>
      </w:r>
    </w:p>
    <w:p>
      <w:pPr>
        <w:pStyle w:val="ListParagraph"/>
        <w:numPr>
          <w:ilvl w:val="0"/>
          <w:numId w:val="1"/>
        </w:numPr>
        <w:spacing w:after="80"/>
      </w:pPr>
      <w:r>
        <w:t xml:space="preserve">Published revised EEP-01 Phase A document</w:t>
      </w:r>
    </w:p>
    <w:p>
      <w:pPr>
        <w:pStyle w:val="ListParagraph"/>
        <w:numPr>
          <w:ilvl w:val="0"/>
          <w:numId w:val="1"/>
        </w:numPr>
        <w:spacing w:after="80"/>
      </w:pPr>
      <w:r>
        <w:t xml:space="preserve">ER-0002 closure record</w:t>
      </w:r>
    </w:p>
    <w:p>
      <w:pPr>
        <w:pStyle w:val="ListParagraph"/>
        <w:numPr>
          <w:ilvl w:val="0"/>
          <w:numId w:val="1"/>
        </w:numPr>
        <w:spacing w:after="80"/>
      </w:pPr>
      <w:r>
        <w:t xml:space="preserve">VAR-02 one-time review record</w:t>
      </w:r>
    </w:p>
    <w:p>
      <w:pPr>
        <w:pStyle w:val="ListParagraph"/>
        <w:numPr>
          <w:ilvl w:val="0"/>
          <w:numId w:val="1"/>
        </w:numPr>
        <w:spacing w:after="80"/>
      </w:pPr>
      <w:r>
        <w:t xml:space="preserve">KPI-02 (Documentation Accuracy %) measurement = 100</w:t>
      </w:r>
    </w:p>
    <w:p>
      <w:pPr>
        <w:pStyle w:val="Heading3"/>
        <w:spacing w:after="120" w:before="220"/>
      </w:pPr>
      <w:r>
        <w:t xml:space="preserve">G. Conformance Exceptions</w:t>
      </w:r>
    </w:p>
    <w:p>
      <w:pPr>
        <w:spacing w:after="140"/>
      </w:pPr>
      <w:r>
        <w:t xml:space="preserve">Any discrepancy the diff surfaces beyond the six documented live table groups is Not Evidenced in Current Baseline as a pre-approved contingency — it would require a new or amended EGD entry per AP-003, not an ad hoc document correction.</w:t>
      </w:r>
    </w:p>
    <w:p>
      <w:pPr>
        <w:pStyle w:val="Heading3"/>
        <w:spacing w:after="120" w:before="220"/>
      </w:pPr>
      <w:r>
        <w:t xml:space="preserve">H. Completion Criteria</w:t>
      </w:r>
    </w:p>
    <w:p>
      <w:pPr>
        <w:spacing w:after="140"/>
      </w:pPr>
      <w:r>
        <w:t xml:space="preserve">KPI-02 Documentation Accuracy % = 100; AR-0002 traceability advances; Certification Level moves toward L4 (currently L4 pending).</w:t>
      </w:r>
    </w:p>
    <w:p>
      <w:pPr>
        <w:pBdr>
          <w:bottom w:val="single" w:color="999999" w:sz="6" w:space="1"/>
        </w:pBdr>
        <w:spacing w:after="200"/>
      </w:pPr>
    </w:p>
    <w:p>
      <w:pPr>
        <w:pStyle w:val="Heading2"/>
        <w:spacing w:after="140" w:before="280"/>
      </w:pPr>
      <w:r>
        <w:t xml:space="preserve">WP-0002 — Verify Row-Level Security Coverage on Student-Owned Tables</w:t>
      </w:r>
    </w:p>
    <w:p>
      <w:pPr>
        <w:spacing w:after="140"/>
      </w:pPr>
      <w:r>
        <w:rPr>
          <w:b/>
          <w:bCs/>
        </w:rPr>
        <w:t xml:space="preserve">Architecture Requirement: </w:t>
      </w:r>
      <w:r>
        <w:t xml:space="preserve">AR-0007 (baseline)</w:t>
      </w:r>
      <w:r>
        <w:rPr>
          <w:b/>
          <w:bCs/>
        </w:rPr>
        <w:t xml:space="preserve">   Enterprise Governance Decision: </w:t>
      </w:r>
      <w:r>
        <w:t xml:space="preserve">EGD-0007 (Realize)</w:t>
      </w:r>
    </w:p>
    <w:p>
      <w:pPr>
        <w:pStyle w:val="Heading3"/>
        <w:spacing w:after="120" w:before="220"/>
      </w:pPr>
      <w:r>
        <w:t xml:space="preserve">A. Conformance Objective</w:t>
      </w:r>
    </w:p>
    <w:p>
      <w:pPr>
        <w:spacing w:after="140"/>
      </w:pPr>
      <w:r>
        <w:rPr>
          <w:b/>
          <w:bCs/>
        </w:rPr>
        <w:t xml:space="preserve">Purpose: </w:t>
      </w:r>
      <w:r>
        <w:t xml:space="preserve">Produce written, query-evidenced confirmation of RLS ownership-check coverage on student_activities, student_cognitive_responses, student_signal_vectors, and related tables.</w:t>
      </w:r>
    </w:p>
    <w:p>
      <w:pPr>
        <w:spacing w:after="140"/>
      </w:pPr>
      <w:r>
        <w:rPr>
          <w:b/>
          <w:bCs/>
        </w:rPr>
        <w:t xml:space="preserve">Architecture intent: </w:t>
      </w:r>
      <w:r>
        <w:t xml:space="preserve">Close an open unknown, not design new security architecture — extends the ownership-check pattern already confirmed working on student_academic_records/student_academic_subjects (Phase A.1 §8).</w:t>
      </w:r>
    </w:p>
    <w:p>
      <w:pPr>
        <w:spacing w:after="140"/>
      </w:pPr>
      <w:r>
        <w:rPr>
          <w:b/>
          <w:bCs/>
        </w:rPr>
        <w:t xml:space="preserve">Expected conformance outcome: </w:t>
      </w:r>
      <w:r>
        <w:t xml:space="preserve">Per-table RLS coverage ledger; KPI-06 (RLS Coverage %) = 100% confirmed; KPI-09 Critical technical-debt class reduces from 1 to 0.</w:t>
      </w:r>
    </w:p>
    <w:p>
      <w:pPr>
        <w:pStyle w:val="Heading3"/>
        <w:spacing w:after="120" w:before="220"/>
      </w:pPr>
      <w:r>
        <w:t xml:space="preserve">B. Architecture Requirements Verification</w:t>
      </w:r>
    </w:p>
    <w:p>
      <w:pPr>
        <w:spacing w:after="140"/>
      </w:pPr>
      <w:r>
        <w:rPr>
          <w:b/>
          <w:bCs/>
        </w:rPr>
        <w:t xml:space="preserve">Required verification: </w:t>
      </w:r>
      <w:r>
        <w:t xml:space="preserve">Policy-presence and policy-function checks against each of the four in-scope table groups.</w:t>
      </w:r>
    </w:p>
    <w:p>
      <w:pPr>
        <w:spacing w:after="140"/>
      </w:pPr>
      <w:r>
        <w:rPr>
          <w:b/>
          <w:bCs/>
        </w:rPr>
        <w:t xml:space="preserve">Required evidence: </w:t>
      </w:r>
      <w:r>
        <w:t xml:space="preserve">Query-based verification with written evidence; per-table verification ledger.</w:t>
      </w:r>
    </w:p>
    <w:p>
      <w:pPr>
        <w:pStyle w:val="Heading3"/>
        <w:spacing w:after="120" w:before="220"/>
      </w:pPr>
      <w:r>
        <w:t xml:space="preserve">C. Governance Verification</w:t>
      </w:r>
    </w:p>
    <w:p>
      <w:pPr>
        <w:spacing w:after="140"/>
      </w:pPr>
      <w:r>
        <w:rPr>
          <w:b/>
          <w:bCs/>
        </w:rPr>
        <w:t xml:space="preserve">Applicable Enterprise Governance Decisions: </w:t>
      </w:r>
      <w:r>
        <w:t xml:space="preserve">EGD-0007 (Realize) — execution = WP-0002.</w:t>
      </w:r>
    </w:p>
    <w:p>
      <w:pPr>
        <w:spacing w:after="140"/>
      </w:pPr>
      <w:r>
        <w:rPr>
          <w:b/>
          <w:bCs/>
        </w:rPr>
        <w:t xml:space="preserve">Governance checkpoints: </w:t>
      </w:r>
      <w:r>
        <w:t xml:space="preserve">Verification result reviewed before KPI-06 is marked 100%; a confirmed coverage gap triggers contingency-only corrective policy action per Phase B §10, without delay.</w:t>
      </w:r>
    </w:p>
    <w:p>
      <w:pPr>
        <w:spacing w:after="140"/>
      </w:pPr>
      <w:r>
        <w:rPr>
          <w:b/>
          <w:bCs/>
        </w:rPr>
        <w:t xml:space="preserve">Required approvals: </w:t>
      </w:r>
      <w:r>
        <w:t xml:space="preserve">Security/Platform Engineer role (Phase B §9) — currently unassigned pending WP-0006.</w:t>
      </w:r>
    </w:p>
    <w:p>
      <w:pPr>
        <w:pStyle w:val="Heading3"/>
        <w:spacing w:after="120" w:before="220"/>
      </w:pPr>
      <w:r>
        <w:t xml:space="preserve">D. Repository Conformance</w:t>
      </w:r>
    </w:p>
    <w:p>
      <w:pPr>
        <w:spacing w:after="140"/>
      </w:pPr>
      <w:r>
        <w:rPr>
          <w:b/>
          <w:bCs/>
        </w:rPr>
        <w:t xml:space="preserve">Repository verification: </w:t>
      </w:r>
      <w:r>
        <w:t xml:space="preserve">Database and Test repositories carry approved impact (Section 3 §"Repository Impact"); Documentation repository carries the published verification record.</w:t>
      </w:r>
    </w:p>
    <w:p>
      <w:pPr>
        <w:spacing w:after="140"/>
      </w:pPr>
      <w:r>
        <w:rPr>
          <w:b/>
          <w:bCs/>
        </w:rPr>
        <w:t xml:space="preserve">Documentation verification: </w:t>
      </w:r>
      <w:r>
        <w:t xml:space="preserve">Published RLS verification document.</w:t>
      </w:r>
    </w:p>
    <w:p>
      <w:pPr>
        <w:spacing w:after="140"/>
      </w:pPr>
      <w:r>
        <w:rPr>
          <w:b/>
          <w:bCs/>
        </w:rPr>
        <w:t xml:space="preserve">Database verification: </w:t>
      </w:r>
      <w:r>
        <w:t xml:space="preserve">Per-table RLS policy audit against the four named table groups; policy-list confirmation.</w:t>
      </w:r>
    </w:p>
    <w:p>
      <w:pPr>
        <w:spacing w:after="140"/>
      </w:pPr>
      <w:r>
        <w:rPr>
          <w:b/>
          <w:bCs/>
        </w:rPr>
        <w:t xml:space="preserve">Security verification: </w:t>
      </w:r>
      <w:r>
        <w:t xml:space="preserve">Direct security-relevant scope — the central conformance activity of this Work Package.</w:t>
      </w:r>
    </w:p>
    <w:p>
      <w:pPr>
        <w:pStyle w:val="Heading3"/>
        <w:spacing w:after="120" w:before="220"/>
      </w:pPr>
      <w:r>
        <w:t xml:space="preserve">E. Engineering Conformance</w:t>
      </w:r>
    </w:p>
    <w:p>
      <w:pPr>
        <w:spacing w:after="140"/>
      </w:pPr>
      <w:r>
        <w:t xml:space="preserve">Matches Section 4 §WP-0002 Engineering Design (verification-only baseline scope; corrective policy change is contingency-only) and Section 5 §WP-0002 Implementation Activity.</w:t>
      </w:r>
    </w:p>
    <w:p>
      <w:pPr>
        <w:pStyle w:val="Heading3"/>
        <w:spacing w:after="120" w:before="220"/>
      </w:pPr>
      <w:r>
        <w:t xml:space="preserve">F. Conformance Evidence</w:t>
      </w:r>
    </w:p>
    <w:p>
      <w:pPr>
        <w:pStyle w:val="ListParagraph"/>
        <w:numPr>
          <w:ilvl w:val="0"/>
          <w:numId w:val="1"/>
        </w:numPr>
        <w:spacing w:after="80"/>
      </w:pPr>
      <w:r>
        <w:t xml:space="preserve">Per-table RLS coverage verification ledger</w:t>
      </w:r>
    </w:p>
    <w:p>
      <w:pPr>
        <w:pStyle w:val="ListParagraph"/>
        <w:numPr>
          <w:ilvl w:val="0"/>
          <w:numId w:val="1"/>
        </w:numPr>
        <w:spacing w:after="80"/>
      </w:pPr>
      <w:r>
        <w:t xml:space="preserve">Query-based verification evidence</w:t>
      </w:r>
    </w:p>
    <w:p>
      <w:pPr>
        <w:pStyle w:val="ListParagraph"/>
        <w:numPr>
          <w:ilvl w:val="0"/>
          <w:numId w:val="1"/>
        </w:numPr>
        <w:spacing w:after="80"/>
      </w:pPr>
      <w:r>
        <w:t xml:space="preserve">Published RLS verification document</w:t>
      </w:r>
    </w:p>
    <w:p>
      <w:pPr>
        <w:pStyle w:val="ListParagraph"/>
        <w:numPr>
          <w:ilvl w:val="0"/>
          <w:numId w:val="1"/>
        </w:numPr>
        <w:spacing w:after="80"/>
      </w:pPr>
      <w:r>
        <w:t xml:space="preserve">KPI-06 (RLS Coverage %) measurement = 100%</w:t>
      </w:r>
    </w:p>
    <w:p>
      <w:pPr>
        <w:pStyle w:val="ListParagraph"/>
        <w:numPr>
          <w:ilvl w:val="0"/>
          <w:numId w:val="1"/>
        </w:numPr>
        <w:spacing w:after="80"/>
      </w:pPr>
      <w:r>
        <w:t xml:space="preserve">KPI-09 Critical technical-debt class closure record</w:t>
      </w:r>
    </w:p>
    <w:p>
      <w:pPr>
        <w:pStyle w:val="Heading3"/>
        <w:spacing w:after="120" w:before="220"/>
      </w:pPr>
      <w:r>
        <w:t xml:space="preserve">G. Conformance Exceptions</w:t>
      </w:r>
    </w:p>
    <w:p>
      <w:pPr>
        <w:spacing w:after="140"/>
      </w:pPr>
      <w:r>
        <w:t xml:space="preserve">A confirmed RLS coverage gap on any in-scope table triggers immediate contingency-only corrective policy action (Phase B §10) — this is the one pre-approved exception path evidenced in the baseline for this Work Package; it is applied without a new EGD, since Phase B §10 already authorizes it.</w:t>
      </w:r>
    </w:p>
    <w:p>
      <w:pPr>
        <w:pStyle w:val="Heading3"/>
        <w:spacing w:after="120" w:before="220"/>
      </w:pPr>
      <w:r>
        <w:t xml:space="preserve">H. Completion Criteria</w:t>
      </w:r>
    </w:p>
    <w:p>
      <w:pPr>
        <w:spacing w:after="140"/>
      </w:pPr>
      <w:r>
        <w:t xml:space="preserve">KPI-06 RLS Coverage % = 100% confirmed; KPI-09 Critical class → 0; Certification Level L4 (pending).</w:t>
      </w:r>
    </w:p>
    <w:p>
      <w:pPr>
        <w:pBdr>
          <w:bottom w:val="single" w:color="999999" w:sz="6" w:space="1"/>
        </w:pBdr>
        <w:spacing w:after="200"/>
      </w:pPr>
    </w:p>
    <w:p>
      <w:pPr>
        <w:pStyle w:val="Heading2"/>
        <w:spacing w:after="140" w:before="280"/>
      </w:pPr>
      <w:r>
        <w:t xml:space="preserve">WP-0003 — Partitioning Assessment and Plan for High-Growth Tables</w:t>
      </w:r>
    </w:p>
    <w:p>
      <w:pPr>
        <w:spacing w:after="140"/>
      </w:pPr>
      <w:r>
        <w:rPr>
          <w:b/>
          <w:bCs/>
        </w:rPr>
        <w:t xml:space="preserve">Architecture Requirement: </w:t>
      </w:r>
      <w:r>
        <w:t xml:space="preserve">AR-0004</w:t>
      </w:r>
      <w:r>
        <w:rPr>
          <w:b/>
          <w:bCs/>
        </w:rPr>
        <w:t xml:space="preserve">   Enterprise Governance Decision: </w:t>
      </w:r>
      <w:r>
        <w:t xml:space="preserve">EGD-0004 (Defer, conditional)</w:t>
      </w:r>
    </w:p>
    <w:p>
      <w:pPr>
        <w:pStyle w:val="Heading3"/>
        <w:spacing w:after="120" w:before="220"/>
      </w:pPr>
      <w:r>
        <w:t xml:space="preserve">A. Conformance Objective</w:t>
      </w:r>
    </w:p>
    <w:p>
      <w:pPr>
        <w:spacing w:after="140"/>
      </w:pPr>
      <w:r>
        <w:rPr>
          <w:b/>
          <w:bCs/>
        </w:rPr>
        <w:t xml:space="preserve">Purpose: </w:t>
      </w:r>
      <w:r>
        <w:t xml:space="preserve">Assess and, if warranted, plan native range partitioning for student_academic_records and the cognitive/signal-vector table set (Phase A.3 §3), once EGD-0004's trigger fires.</w:t>
      </w:r>
    </w:p>
    <w:p>
      <w:pPr>
        <w:spacing w:after="140"/>
      </w:pPr>
      <w:r>
        <w:rPr>
          <w:b/>
          <w:bCs/>
        </w:rPr>
        <w:t xml:space="preserve">Architecture intent: </w:t>
      </w:r>
      <w:r>
        <w:t xml:space="preserve">Deliberately dormant per AP-008 (trigger-based, not calendar-based evolution) — no substantive design or conformance activity beyond quarterly monitoring until the trigger condition is met.</w:t>
      </w:r>
    </w:p>
    <w:p>
      <w:pPr>
        <w:spacing w:after="140"/>
      </w:pPr>
      <w:r>
        <w:rPr>
          <w:b/>
          <w:bCs/>
        </w:rPr>
        <w:t xml:space="preserve">Expected conformance outcome: </w:t>
      </w:r>
      <w:r>
        <w:t xml:space="preserve">Current quarterly monitoring status; substantive conformance activity Reserved for Future Realization Phases until triggered.</w:t>
      </w:r>
    </w:p>
    <w:p>
      <w:pPr>
        <w:pStyle w:val="Heading3"/>
        <w:spacing w:after="120" w:before="220"/>
      </w:pPr>
      <w:r>
        <w:t xml:space="preserve">B. Architecture Requirements Verification</w:t>
      </w:r>
    </w:p>
    <w:p>
      <w:pPr>
        <w:spacing w:after="140"/>
      </w:pPr>
      <w:r>
        <w:rPr>
          <w:b/>
          <w:bCs/>
        </w:rPr>
        <w:t xml:space="preserve">Required verification: </w:t>
      </w:r>
      <w:r>
        <w:t xml:space="preserve">Quarterly row-count and query-latency check against the AR-0010 / EGD-0004 thresholds.</w:t>
      </w:r>
    </w:p>
    <w:p>
      <w:pPr>
        <w:spacing w:after="140"/>
      </w:pPr>
      <w:r>
        <w:rPr>
          <w:b/>
          <w:bCs/>
        </w:rPr>
        <w:t xml:space="preserve">Required evidence: </w:t>
      </w:r>
      <w:r>
        <w:t xml:space="preserve">Current quarterly assessment report; migration and rollback verification evidence, but only if and when the trigger fires.</w:t>
      </w:r>
    </w:p>
    <w:p>
      <w:pPr>
        <w:pStyle w:val="Heading3"/>
        <w:spacing w:after="120" w:before="220"/>
      </w:pPr>
      <w:r>
        <w:t xml:space="preserve">C. Governance Verification</w:t>
      </w:r>
    </w:p>
    <w:p>
      <w:pPr>
        <w:spacing w:after="140"/>
      </w:pPr>
      <w:r>
        <w:rPr>
          <w:b/>
          <w:bCs/>
        </w:rPr>
        <w:t xml:space="preserve">Applicable Enterprise Governance Decisions: </w:t>
      </w:r>
      <w:r>
        <w:t xml:space="preserve">EGD-0004 (Defer) — conditional; VAR-04 (partitioning) approved as a deferred variance, not an open commitment.</w:t>
      </w:r>
    </w:p>
    <w:p>
      <w:pPr>
        <w:spacing w:after="140"/>
      </w:pPr>
      <w:r>
        <w:rPr>
          <w:b/>
          <w:bCs/>
        </w:rPr>
        <w:t xml:space="preserve">Governance checkpoints: </w:t>
      </w:r>
      <w:r>
        <w:t xml:space="preserve">Quarterly trigger-threshold review; no additional checkpoint prior to trigger.</w:t>
      </w:r>
    </w:p>
    <w:p>
      <w:pPr>
        <w:spacing w:after="140"/>
      </w:pPr>
      <w:r>
        <w:rPr>
          <w:b/>
          <w:bCs/>
        </w:rPr>
        <w:t xml:space="preserve">Required approvals: </w:t>
      </w:r>
      <w:r>
        <w:t xml:space="preserve">Not Applicable prior to trigger — Reserved for Future Realization Phases.</w:t>
      </w:r>
    </w:p>
    <w:p>
      <w:pPr>
        <w:pStyle w:val="Heading3"/>
        <w:spacing w:after="120" w:before="220"/>
      </w:pPr>
      <w:r>
        <w:t xml:space="preserve">D. Repository Conformance</w:t>
      </w:r>
    </w:p>
    <w:p>
      <w:pPr>
        <w:spacing w:after="140"/>
      </w:pPr>
      <w:r>
        <w:rPr>
          <w:b/>
          <w:bCs/>
        </w:rPr>
        <w:t xml:space="preserve">Repository verification: </w:t>
      </w:r>
      <w:r>
        <w:t xml:space="preserve">Database repository only, and only once triggered; no current-quarter repository change is evidenced.</w:t>
      </w:r>
    </w:p>
    <w:p>
      <w:pPr>
        <w:spacing w:after="140"/>
      </w:pPr>
      <w:r>
        <w:rPr>
          <w:b/>
          <w:bCs/>
        </w:rPr>
        <w:t xml:space="preserve">Documentation verification: </w:t>
      </w:r>
      <w:r>
        <w:t xml:space="preserve">Quarterly assessment report only.</w:t>
      </w:r>
    </w:p>
    <w:p>
      <w:pPr>
        <w:spacing w:after="140"/>
      </w:pPr>
      <w:r>
        <w:rPr>
          <w:b/>
          <w:bCs/>
        </w:rPr>
        <w:t xml:space="preserve">Database verification: </w:t>
      </w:r>
      <w:r>
        <w:t xml:space="preserve">Not Applicable until triggered; migration and rollback verification once triggered.</w:t>
      </w:r>
    </w:p>
    <w:p>
      <w:pPr>
        <w:spacing w:after="140"/>
      </w:pPr>
      <w:r>
        <w:rPr>
          <w:b/>
          <w:bCs/>
        </w:rPr>
        <w:t xml:space="preserve">Security verification: </w:t>
      </w:r>
      <w:r>
        <w:t xml:space="preserve">Not Applicable.</w:t>
      </w:r>
    </w:p>
    <w:p>
      <w:pPr>
        <w:pStyle w:val="Heading3"/>
        <w:spacing w:after="120" w:before="220"/>
      </w:pPr>
      <w:r>
        <w:t xml:space="preserve">E. Engineering Conformance</w:t>
      </w:r>
    </w:p>
    <w:p>
      <w:pPr>
        <w:spacing w:after="140"/>
      </w:pPr>
      <w:r>
        <w:t xml:space="preserve">Matches Section 4 §WP-0003 Engineering Design (dormant design; functional behavior activates only on trigger) and Section 5 §WP-0003 Implementation Activity (monitoring-level detail only).</w:t>
      </w:r>
    </w:p>
    <w:p>
      <w:pPr>
        <w:pStyle w:val="Heading3"/>
        <w:spacing w:after="120" w:before="220"/>
      </w:pPr>
      <w:r>
        <w:t xml:space="preserve">F. Conformance Evidence</w:t>
      </w:r>
    </w:p>
    <w:p>
      <w:pPr>
        <w:pStyle w:val="ListParagraph"/>
        <w:numPr>
          <w:ilvl w:val="0"/>
          <w:numId w:val="1"/>
        </w:numPr>
        <w:spacing w:after="80"/>
      </w:pPr>
      <w:r>
        <w:t xml:space="preserve">Current quarterly row-count/latency assessment report</w:t>
      </w:r>
    </w:p>
    <w:p>
      <w:pPr>
        <w:pStyle w:val="ListParagraph"/>
        <w:numPr>
          <w:ilvl w:val="0"/>
          <w:numId w:val="1"/>
        </w:numPr>
        <w:spacing w:after="80"/>
      </w:pPr>
      <w:r>
        <w:t xml:space="preserve">Migration and rollback verification evidence — conditional, produced only if triggered</w:t>
      </w:r>
    </w:p>
    <w:p>
      <w:pPr>
        <w:pStyle w:val="Heading3"/>
        <w:spacing w:after="120" w:before="220"/>
      </w:pPr>
      <w:r>
        <w:t xml:space="preserve">G. Conformance Exceptions</w:t>
      </w:r>
    </w:p>
    <w:p>
      <w:pPr>
        <w:spacing w:after="140"/>
      </w:pPr>
      <w:r>
        <w:t xml:space="preserve">Escalation path for a fired trigger is quarterly assessment → migration design → EGD-0004 execution — no re-verification requirement is evidenced beyond the standard quarterly cycle until execution begins.</w:t>
      </w:r>
    </w:p>
    <w:p>
      <w:pPr>
        <w:pStyle w:val="Heading3"/>
        <w:spacing w:after="120" w:before="220"/>
      </w:pPr>
      <w:r>
        <w:t xml:space="preserve">H. Completion Criteria</w:t>
      </w:r>
    </w:p>
    <w:p>
      <w:pPr>
        <w:spacing w:after="140"/>
      </w:pPr>
      <w:r>
        <w:t xml:space="preserve">L3 (standing) while dormant; L4 only if triggered and verified — consistent with Section 5 §8's Certification Level entry for WP-0003.</w:t>
      </w:r>
    </w:p>
    <w:p>
      <w:pPr>
        <w:pBdr>
          <w:bottom w:val="single" w:color="999999" w:sz="6" w:space="1"/>
        </w:pBdr>
        <w:spacing w:after="200"/>
      </w:pPr>
    </w:p>
    <w:p>
      <w:pPr>
        <w:pStyle w:val="Heading2"/>
        <w:spacing w:after="140" w:before="280"/>
      </w:pPr>
      <w:r>
        <w:t xml:space="preserve">WP-0004 — Document the Accepted Direct-FK Taxonomy Pattern and Establish a Per-Release Denormalization Check</w:t>
      </w:r>
    </w:p>
    <w:p>
      <w:pPr>
        <w:spacing w:after="140"/>
      </w:pPr>
      <w:r>
        <w:rPr>
          <w:b/>
          <w:bCs/>
        </w:rPr>
        <w:t xml:space="preserve">Architecture Requirement: </w:t>
      </w:r>
      <w:r>
        <w:t xml:space="preserve">AR-0003</w:t>
      </w:r>
      <w:r>
        <w:rPr>
          <w:b/>
          <w:bCs/>
        </w:rPr>
        <w:t xml:space="preserve">   Enterprise Governance Decision: </w:t>
      </w:r>
      <w:r>
        <w:t xml:space="preserve">EGD-0003 (conditional acceptance)</w:t>
      </w:r>
    </w:p>
    <w:p>
      <w:pPr>
        <w:pStyle w:val="Heading3"/>
        <w:spacing w:after="120" w:before="220"/>
      </w:pPr>
      <w:r>
        <w:t xml:space="preserve">A. Conformance Objective</w:t>
      </w:r>
    </w:p>
    <w:p>
      <w:pPr>
        <w:spacing w:after="140"/>
      </w:pPr>
      <w:r>
        <w:rPr>
          <w:b/>
          <w:bCs/>
        </w:rPr>
        <w:t xml:space="preserve">Purpose: </w:t>
      </w:r>
      <w:r>
        <w:t xml:space="preserve">Document the accepted direct-FK taxonomy referencing pattern and establish an automated, per-release check for the one harm pattern EGD-0003's acceptance is conditioned on.</w:t>
      </w:r>
    </w:p>
    <w:p>
      <w:pPr>
        <w:spacing w:after="140"/>
      </w:pPr>
      <w:r>
        <w:rPr>
          <w:b/>
          <w:bCs/>
        </w:rPr>
        <w:t xml:space="preserve">Architecture intent: </w:t>
      </w:r>
      <w:r>
        <w:t xml:space="preserve">Durable monitoring, not a one-time document — EGD-0003 accepted the direct-FK pattern conditionally; the conformance goal is a standing check, not a closed-out task.</w:t>
      </w:r>
    </w:p>
    <w:p>
      <w:pPr>
        <w:spacing w:after="140"/>
      </w:pPr>
      <w:r>
        <w:rPr>
          <w:b/>
          <w:bCs/>
        </w:rPr>
        <w:t xml:space="preserve">Expected conformance outcome: </w:t>
      </w:r>
      <w:r>
        <w:t xml:space="preserve">Published pattern documentation; an operating, per-release automated check; zero violations in the check's operating history.</w:t>
      </w:r>
    </w:p>
    <w:p>
      <w:pPr>
        <w:pStyle w:val="Heading3"/>
        <w:spacing w:after="120" w:before="220"/>
      </w:pPr>
      <w:r>
        <w:t xml:space="preserve">B. Architecture Requirements Verification</w:t>
      </w:r>
    </w:p>
    <w:p>
      <w:pPr>
        <w:spacing w:after="140"/>
      </w:pPr>
      <w:r>
        <w:rPr>
          <w:b/>
          <w:bCs/>
        </w:rPr>
        <w:t xml:space="preserve">Required verification: </w:t>
      </w:r>
      <w:r>
        <w:t xml:space="preserve">Per-release automated denormalization check scanning student-owned tables for the specific harm pattern (denormalized taxonomy facts), not the accepted direct-FK pattern itself.</w:t>
      </w:r>
    </w:p>
    <w:p>
      <w:pPr>
        <w:spacing w:after="140"/>
      </w:pPr>
      <w:r>
        <w:rPr>
          <w:b/>
          <w:bCs/>
        </w:rPr>
        <w:t xml:space="preserve">Required evidence: </w:t>
      </w:r>
      <w:r>
        <w:t xml:space="preserve">Published pattern documentation; operating check; VAR-03 log.</w:t>
      </w:r>
    </w:p>
    <w:p>
      <w:pPr>
        <w:pStyle w:val="Heading3"/>
        <w:spacing w:after="120" w:before="220"/>
      </w:pPr>
      <w:r>
        <w:t xml:space="preserve">C. Governance Verification</w:t>
      </w:r>
    </w:p>
    <w:p>
      <w:pPr>
        <w:spacing w:after="140"/>
      </w:pPr>
      <w:r>
        <w:rPr>
          <w:b/>
          <w:bCs/>
        </w:rPr>
        <w:t xml:space="preserve">Applicable Enterprise Governance Decisions: </w:t>
      </w:r>
      <w:r>
        <w:t xml:space="preserve">EGD-0003 (conditional acceptance) — condition is the standing check itself.</w:t>
      </w:r>
    </w:p>
    <w:p>
      <w:pPr>
        <w:spacing w:after="140"/>
      </w:pPr>
      <w:r>
        <w:rPr>
          <w:b/>
          <w:bCs/>
        </w:rPr>
        <w:t xml:space="preserve">Governance checkpoints: </w:t>
      </w:r>
      <w:r>
        <w:t xml:space="preserve">Each release cycle's automated check run is a standing conformance checkpoint.</w:t>
      </w:r>
    </w:p>
    <w:p>
      <w:pPr>
        <w:spacing w:after="140"/>
      </w:pPr>
      <w:r>
        <w:rPr>
          <w:b/>
          <w:bCs/>
        </w:rPr>
        <w:t xml:space="preserve">Required approvals: </w:t>
      </w:r>
      <w:r>
        <w:t xml:space="preserve">Not Evidenced in Current Baseline beyond the standing automated check — no additional named approval gate is documented.</w:t>
      </w:r>
    </w:p>
    <w:p>
      <w:pPr>
        <w:pStyle w:val="Heading3"/>
        <w:spacing w:after="120" w:before="220"/>
      </w:pPr>
      <w:r>
        <w:t xml:space="preserve">D. Repository Conformance</w:t>
      </w:r>
    </w:p>
    <w:p>
      <w:pPr>
        <w:spacing w:after="140"/>
      </w:pPr>
      <w:r>
        <w:rPr>
          <w:b/>
          <w:bCs/>
        </w:rPr>
        <w:t xml:space="preserve">Repository verification: </w:t>
      </w:r>
      <w:r>
        <w:t xml:space="preserve">Documentation and Test repositories carry approved impact.</w:t>
      </w:r>
    </w:p>
    <w:p>
      <w:pPr>
        <w:spacing w:after="140"/>
      </w:pPr>
      <w:r>
        <w:rPr>
          <w:b/>
          <w:bCs/>
        </w:rPr>
        <w:t xml:space="preserve">Documentation verification: </w:t>
      </w:r>
      <w:r>
        <w:t xml:space="preserve">Published pattern documentation covering references such as academic_boards.country_id → countries_master.id.</w:t>
      </w:r>
    </w:p>
    <w:p>
      <w:pPr>
        <w:spacing w:after="140"/>
      </w:pPr>
      <w:r>
        <w:rPr>
          <w:b/>
          <w:bCs/>
        </w:rPr>
        <w:t xml:space="preserve">Database verification: </w:t>
      </w:r>
      <w:r>
        <w:t xml:space="preserve">Not Applicable — no retrofit to the _code + taxonomy_version_id pattern unless the check finds a violation (contingency only).</w:t>
      </w:r>
    </w:p>
    <w:p>
      <w:pPr>
        <w:spacing w:after="140"/>
      </w:pPr>
      <w:r>
        <w:rPr>
          <w:b/>
          <w:bCs/>
        </w:rPr>
        <w:t xml:space="preserve">Security verification: </w:t>
      </w:r>
      <w:r>
        <w:t xml:space="preserve">Not Applicable.</w:t>
      </w:r>
    </w:p>
    <w:p>
      <w:pPr>
        <w:pStyle w:val="Heading3"/>
        <w:spacing w:after="120" w:before="220"/>
      </w:pPr>
      <w:r>
        <w:t xml:space="preserve">E. Engineering Conformance</w:t>
      </w:r>
    </w:p>
    <w:p>
      <w:pPr>
        <w:spacing w:after="140"/>
      </w:pPr>
      <w:r>
        <w:t xml:space="preserve">Matches Section 4 §WP-0004 Engineering Design (standing check, not one-time task) and Section 5 §WP-0004 Implementation Activity.</w:t>
      </w:r>
    </w:p>
    <w:p>
      <w:pPr>
        <w:pStyle w:val="Heading3"/>
        <w:spacing w:after="120" w:before="220"/>
      </w:pPr>
      <w:r>
        <w:t xml:space="preserve">F. Conformance Evidence</w:t>
      </w:r>
    </w:p>
    <w:p>
      <w:pPr>
        <w:pStyle w:val="ListParagraph"/>
        <w:numPr>
          <w:ilvl w:val="0"/>
          <w:numId w:val="1"/>
        </w:numPr>
        <w:spacing w:after="80"/>
      </w:pPr>
      <w:r>
        <w:t xml:space="preserve">Published pattern documentation</w:t>
      </w:r>
    </w:p>
    <w:p>
      <w:pPr>
        <w:pStyle w:val="ListParagraph"/>
        <w:numPr>
          <w:ilvl w:val="0"/>
          <w:numId w:val="1"/>
        </w:numPr>
        <w:spacing w:after="80"/>
      </w:pPr>
      <w:r>
        <w:t xml:space="preserve">Operating per-release automated check</w:t>
      </w:r>
    </w:p>
    <w:p>
      <w:pPr>
        <w:pStyle w:val="ListParagraph"/>
        <w:numPr>
          <w:ilvl w:val="0"/>
          <w:numId w:val="1"/>
        </w:numPr>
        <w:spacing w:after="80"/>
      </w:pPr>
      <w:r>
        <w:t xml:space="preserve">VAR-03 log entries</w:t>
      </w:r>
    </w:p>
    <w:p>
      <w:pPr>
        <w:pStyle w:val="ListParagraph"/>
        <w:numPr>
          <w:ilvl w:val="0"/>
          <w:numId w:val="1"/>
        </w:numPr>
        <w:spacing w:after="80"/>
      </w:pPr>
      <w:r>
        <w:t xml:space="preserve">KPI-04 (Approved Variances count) stability record</w:t>
      </w:r>
    </w:p>
    <w:p>
      <w:pPr>
        <w:pStyle w:val="Heading3"/>
        <w:spacing w:after="120" w:before="220"/>
      </w:pPr>
      <w:r>
        <w:t xml:space="preserve">G. Conformance Exceptions</w:t>
      </w:r>
    </w:p>
    <w:p>
      <w:pPr>
        <w:spacing w:after="140"/>
      </w:pPr>
      <w:r>
        <w:t xml:space="preserve">A violation the check surfaces triggers contingency-only retrofit to the _code + taxonomy_version_id pattern — applied only if the check finds a protection gap, per Section 4's engineering boundary.</w:t>
      </w:r>
    </w:p>
    <w:p>
      <w:pPr>
        <w:pStyle w:val="Heading3"/>
        <w:spacing w:after="120" w:before="220"/>
      </w:pPr>
      <w:r>
        <w:t xml:space="preserve">H. Completion Criteria</w:t>
      </w:r>
    </w:p>
    <w:p>
      <w:pPr>
        <w:spacing w:after="140"/>
      </w:pPr>
      <w:r>
        <w:t xml:space="preserve">Zero violations in the check's operating history; KPI-04 stable or declining; Certification Level L4 (pending).</w:t>
      </w:r>
    </w:p>
    <w:p>
      <w:pPr>
        <w:pBdr>
          <w:bottom w:val="single" w:color="999999" w:sz="6" w:space="1"/>
        </w:pBdr>
        <w:spacing w:after="200"/>
      </w:pPr>
    </w:p>
    <w:p>
      <w:pPr>
        <w:pStyle w:val="Heading2"/>
        <w:spacing w:after="140" w:before="280"/>
      </w:pPr>
      <w:r>
        <w:t xml:space="preserve">WP-0005 — Column-Level Access Review for Free-Text/JSON Payload Columns</w:t>
      </w:r>
    </w:p>
    <w:p>
      <w:pPr>
        <w:spacing w:after="140"/>
      </w:pPr>
      <w:r>
        <w:rPr>
          <w:b/>
          <w:bCs/>
        </w:rPr>
        <w:t xml:space="preserve">Architecture Requirement: </w:t>
      </w:r>
      <w:r>
        <w:t xml:space="preserve">AR-0007 (extension)</w:t>
      </w:r>
      <w:r>
        <w:rPr>
          <w:b/>
          <w:bCs/>
        </w:rPr>
        <w:t xml:space="preserve">   Enterprise Governance Decision: </w:t>
      </w:r>
      <w:r>
        <w:t xml:space="preserve">EGD-0007 (Realize, extension)</w:t>
      </w:r>
    </w:p>
    <w:p>
      <w:pPr>
        <w:pStyle w:val="Heading3"/>
        <w:spacing w:after="120" w:before="220"/>
      </w:pPr>
      <w:r>
        <w:t xml:space="preserve">A. Conformance Objective</w:t>
      </w:r>
    </w:p>
    <w:p>
      <w:pPr>
        <w:spacing w:after="140"/>
      </w:pPr>
      <w:r>
        <w:rPr>
          <w:b/>
          <w:bCs/>
        </w:rPr>
        <w:t xml:space="preserve">Purpose: </w:t>
      </w:r>
      <w:r>
        <w:t xml:space="preserve">Review free-text/JSON payload columns (e.g., cognitive raw responses) for column-level access-control needs beyond the table-level RLS verified under WP-0002.</w:t>
      </w:r>
    </w:p>
    <w:p>
      <w:pPr>
        <w:spacing w:after="140"/>
      </w:pPr>
      <w:r>
        <w:rPr>
          <w:b/>
          <w:bCs/>
        </w:rPr>
        <w:t xml:space="preserve">Architecture intent: </w:t>
      </w:r>
      <w:r>
        <w:t xml:space="preserve">Extend WP-0002's verification design to column granularity, reusing its method rather than defining a new one.</w:t>
      </w:r>
    </w:p>
    <w:p>
      <w:pPr>
        <w:spacing w:after="140"/>
      </w:pPr>
      <w:r>
        <w:rPr>
          <w:b/>
          <w:bCs/>
        </w:rPr>
        <w:t xml:space="preserve">Expected conformance outcome: </w:t>
      </w:r>
      <w:r>
        <w:t xml:space="preserve">Per-column decision ledger; documented decision for every reviewed column; zero unreviewed columns.</w:t>
      </w:r>
    </w:p>
    <w:p>
      <w:pPr>
        <w:pStyle w:val="Heading3"/>
        <w:spacing w:after="120" w:before="220"/>
      </w:pPr>
      <w:r>
        <w:t xml:space="preserve">B. Architecture Requirements Verification</w:t>
      </w:r>
    </w:p>
    <w:p>
      <w:pPr>
        <w:spacing w:after="140"/>
      </w:pPr>
      <w:r>
        <w:rPr>
          <w:b/>
          <w:bCs/>
        </w:rPr>
        <w:t xml:space="preserve">Required verification: </w:t>
      </w:r>
      <w:r>
        <w:t xml:space="preserve">For each in-scope column, assess whether WP-0002's already-verified table-level RLS is sufficient, or whether column-level restriction is separately warranted.</w:t>
      </w:r>
    </w:p>
    <w:p>
      <w:pPr>
        <w:spacing w:after="140"/>
      </w:pPr>
      <w:r>
        <w:rPr>
          <w:b/>
          <w:bCs/>
        </w:rPr>
        <w:t xml:space="preserve">Required evidence: </w:t>
      </w:r>
      <w:r>
        <w:t xml:space="preserve">Review findings using the WP-0002 template; published review report; verification evidence.</w:t>
      </w:r>
    </w:p>
    <w:p>
      <w:pPr>
        <w:pStyle w:val="Heading3"/>
        <w:spacing w:after="120" w:before="220"/>
      </w:pPr>
      <w:r>
        <w:t xml:space="preserve">C. Governance Verification</w:t>
      </w:r>
    </w:p>
    <w:p>
      <w:pPr>
        <w:spacing w:after="140"/>
      </w:pPr>
      <w:r>
        <w:rPr>
          <w:b/>
          <w:bCs/>
        </w:rPr>
        <w:t xml:space="preserve">Applicable Enterprise Governance Decisions: </w:t>
      </w:r>
      <w:r>
        <w:t xml:space="preserve">EGD-0007 (Realize) — same governing decision as WP-0002, extended to column granularity.</w:t>
      </w:r>
    </w:p>
    <w:p>
      <w:pPr>
        <w:spacing w:after="140"/>
      </w:pPr>
      <w:r>
        <w:rPr>
          <w:b/>
          <w:bCs/>
        </w:rPr>
        <w:t xml:space="preserve">Governance checkpoints: </w:t>
      </w:r>
      <w:r>
        <w:t xml:space="preserve">Review completion checkpoint, using the same verification template as WP-0002.</w:t>
      </w:r>
    </w:p>
    <w:p>
      <w:pPr>
        <w:spacing w:after="140"/>
      </w:pPr>
      <w:r>
        <w:rPr>
          <w:b/>
          <w:bCs/>
        </w:rPr>
        <w:t xml:space="preserve">Required approvals: </w:t>
      </w:r>
      <w:r>
        <w:t xml:space="preserve">Security/Platform Engineer role (Phase B §9) — currently unassigned pending WP-0006, same role responsible for WP-0002.</w:t>
      </w:r>
    </w:p>
    <w:p>
      <w:pPr>
        <w:pStyle w:val="Heading3"/>
        <w:spacing w:after="120" w:before="220"/>
      </w:pPr>
      <w:r>
        <w:t xml:space="preserve">D. Repository Conformance</w:t>
      </w:r>
    </w:p>
    <w:p>
      <w:pPr>
        <w:spacing w:after="140"/>
      </w:pPr>
      <w:r>
        <w:rPr>
          <w:b/>
          <w:bCs/>
        </w:rPr>
        <w:t xml:space="preserve">Repository verification: </w:t>
      </w:r>
      <w:r>
        <w:t xml:space="preserve">Database and Test repositories carry approved impact.</w:t>
      </w:r>
    </w:p>
    <w:p>
      <w:pPr>
        <w:spacing w:after="140"/>
      </w:pPr>
      <w:r>
        <w:rPr>
          <w:b/>
          <w:bCs/>
        </w:rPr>
        <w:t xml:space="preserve">Documentation verification: </w:t>
      </w:r>
      <w:r>
        <w:t xml:space="preserve">Published column-level review report.</w:t>
      </w:r>
    </w:p>
    <w:p>
      <w:pPr>
        <w:spacing w:after="140"/>
      </w:pPr>
      <w:r>
        <w:rPr>
          <w:b/>
          <w:bCs/>
        </w:rPr>
        <w:t xml:space="preserve">Database verification: </w:t>
      </w:r>
      <w:r>
        <w:t xml:space="preserve">Review only in baseline scope; a column-level policy or REVOKE change is contingency-only.</w:t>
      </w:r>
    </w:p>
    <w:p>
      <w:pPr>
        <w:spacing w:after="140"/>
      </w:pPr>
      <w:r>
        <w:rPr>
          <w:b/>
          <w:bCs/>
        </w:rPr>
        <w:t xml:space="preserve">Security verification: </w:t>
      </w:r>
      <w:r>
        <w:t xml:space="preserve">Direct security-relevant scope, extending WP-0002.</w:t>
      </w:r>
    </w:p>
    <w:p>
      <w:pPr>
        <w:pStyle w:val="Heading3"/>
        <w:spacing w:after="120" w:before="220"/>
      </w:pPr>
      <w:r>
        <w:t xml:space="preserve">E. Engineering Conformance</w:t>
      </w:r>
    </w:p>
    <w:p>
      <w:pPr>
        <w:spacing w:after="140"/>
      </w:pPr>
      <w:r>
        <w:t xml:space="preserve">Matches Section 4 §WP-0005 Engineering Design (review-only baseline scope, reusing WP-0002's method) and Section 5 §WP-0005 Implementation Activity.</w:t>
      </w:r>
    </w:p>
    <w:p>
      <w:pPr>
        <w:pStyle w:val="Heading3"/>
        <w:spacing w:after="120" w:before="220"/>
      </w:pPr>
      <w:r>
        <w:t xml:space="preserve">F. Conformance Evidence</w:t>
      </w:r>
    </w:p>
    <w:p>
      <w:pPr>
        <w:pStyle w:val="ListParagraph"/>
        <w:numPr>
          <w:ilvl w:val="0"/>
          <w:numId w:val="1"/>
        </w:numPr>
        <w:spacing w:after="80"/>
      </w:pPr>
      <w:r>
        <w:t xml:space="preserve">Per-column decision ledger</w:t>
      </w:r>
    </w:p>
    <w:p>
      <w:pPr>
        <w:pStyle w:val="ListParagraph"/>
        <w:numPr>
          <w:ilvl w:val="0"/>
          <w:numId w:val="1"/>
        </w:numPr>
        <w:spacing w:after="80"/>
      </w:pPr>
      <w:r>
        <w:t xml:space="preserve">Published column-level review report</w:t>
      </w:r>
    </w:p>
    <w:p>
      <w:pPr>
        <w:pStyle w:val="ListParagraph"/>
        <w:numPr>
          <w:ilvl w:val="0"/>
          <w:numId w:val="1"/>
        </w:numPr>
        <w:spacing w:after="80"/>
      </w:pPr>
      <w:r>
        <w:t xml:space="preserve">Verification evidence for each reviewed column</w:t>
      </w:r>
    </w:p>
    <w:p>
      <w:pPr>
        <w:pStyle w:val="Heading3"/>
        <w:spacing w:after="120" w:before="220"/>
      </w:pPr>
      <w:r>
        <w:t xml:space="preserve">G. Conformance Exceptions</w:t>
      </w:r>
    </w:p>
    <w:p>
      <w:pPr>
        <w:spacing w:after="140"/>
      </w:pPr>
      <w:r>
        <w:t xml:space="preserve">A confirmed column-level protection gap triggers contingency-only policy or REVOKE action — applied only if the review finds a gap, per Section 4's engineering boundary.</w:t>
      </w:r>
    </w:p>
    <w:p>
      <w:pPr>
        <w:pStyle w:val="Heading3"/>
        <w:spacing w:after="120" w:before="220"/>
      </w:pPr>
      <w:r>
        <w:t xml:space="preserve">H. Completion Criteria</w:t>
      </w:r>
    </w:p>
    <w:p>
      <w:pPr>
        <w:spacing w:after="140"/>
      </w:pPr>
      <w:r>
        <w:t xml:space="preserve">Documented decision for every reviewed column; zero unreviewed columns; Certification Level L4 (pending, extension of AR-0007).</w:t>
      </w:r>
    </w:p>
    <w:p>
      <w:pPr>
        <w:pBdr>
          <w:bottom w:val="single" w:color="999999" w:sz="6" w:space="1"/>
        </w:pBdr>
        <w:spacing w:after="200"/>
      </w:pPr>
    </w:p>
    <w:p>
      <w:pPr>
        <w:pStyle w:val="Heading2"/>
        <w:spacing w:after="140" w:before="280"/>
      </w:pPr>
      <w:r>
        <w:t xml:space="preserve">WP-0006 — Assign Named, Accountable Owners to Every Unassigned Role</w:t>
      </w:r>
    </w:p>
    <w:p>
      <w:pPr>
        <w:spacing w:after="140"/>
      </w:pPr>
      <w:r>
        <w:rPr>
          <w:b/>
          <w:bCs/>
        </w:rPr>
        <w:t xml:space="preserve">Architecture Requirement: </w:t>
      </w:r>
      <w:r>
        <w:t xml:space="preserve">AP-009 (all)</w:t>
      </w:r>
      <w:r>
        <w:rPr>
          <w:b/>
          <w:bCs/>
        </w:rPr>
        <w:t xml:space="preserve">   Enterprise Governance Decision: </w:t>
      </w:r>
      <w:r>
        <w:t xml:space="preserve">All EGD-0001–EGD-0009</w:t>
      </w:r>
    </w:p>
    <w:p>
      <w:pPr>
        <w:pStyle w:val="Heading3"/>
        <w:spacing w:after="120" w:before="220"/>
      </w:pPr>
      <w:r>
        <w:t xml:space="preserve">A. Conformance Objective</w:t>
      </w:r>
    </w:p>
    <w:p>
      <w:pPr>
        <w:spacing w:after="140"/>
      </w:pPr>
      <w:r>
        <w:rPr>
          <w:b/>
          <w:bCs/>
        </w:rPr>
        <w:t xml:space="preserve">Purpose: </w:t>
      </w:r>
      <w:r>
        <w:t xml:space="preserve">Name accountable individuals for the five roles Phase B §9 identifies — Enterprise Architecture Owner, Data Governance Owner, Platform Engineering Lead, Security/Platform Engineer, Executive Sponsor/Governance Board — closing the AP-009 gap across all nine Enterprise Governance Decisions and all six Work Packages.</w:t>
      </w:r>
    </w:p>
    <w:p>
      <w:pPr>
        <w:spacing w:after="140"/>
      </w:pPr>
      <w:r>
        <w:rPr>
          <w:b/>
          <w:bCs/>
        </w:rPr>
        <w:t xml:space="preserve">Architecture intent: </w:t>
      </w:r>
      <w:r>
        <w:t xml:space="preserve">Organizational, not technical — a governance-record design, not an engineering one (Section 2 Part D: Technical Scope Not Applicable). This is the one Work Package with no repository impact at all (Section 3 §4).</w:t>
      </w:r>
    </w:p>
    <w:p>
      <w:pPr>
        <w:spacing w:after="140"/>
      </w:pPr>
      <w:r>
        <w:rPr>
          <w:b/>
          <w:bCs/>
        </w:rPr>
        <w:t xml:space="preserve">Expected conformance outcome: </w:t>
      </w:r>
      <w:r>
        <w:t xml:space="preserve">KPI-08 (Ownership Assignment %) moves from 0% to 100%.</w:t>
      </w:r>
    </w:p>
    <w:p>
      <w:pPr>
        <w:pStyle w:val="Heading3"/>
        <w:spacing w:after="120" w:before="220"/>
      </w:pPr>
      <w:r>
        <w:t xml:space="preserve">B. Architecture Requirements Verification</w:t>
      </w:r>
    </w:p>
    <w:p>
      <w:pPr>
        <w:spacing w:after="140"/>
      </w:pPr>
      <w:r>
        <w:rPr>
          <w:b/>
          <w:bCs/>
        </w:rPr>
        <w:t xml:space="preserve">Required verification: </w:t>
      </w:r>
      <w:r>
        <w:t xml:space="preserve">KPI-08 measurement confirming 100% assignment across all five named roles.</w:t>
      </w:r>
    </w:p>
    <w:p>
      <w:pPr>
        <w:spacing w:after="140"/>
      </w:pPr>
      <w:r>
        <w:rPr>
          <w:b/>
          <w:bCs/>
        </w:rPr>
        <w:t xml:space="preserve">Required evidence: </w:t>
      </w:r>
      <w:r>
        <w:t xml:space="preserve">Named-owner record; KPI-08 measurement; AP-009 closure record.</w:t>
      </w:r>
    </w:p>
    <w:p>
      <w:pPr>
        <w:pStyle w:val="Heading3"/>
        <w:spacing w:after="120" w:before="220"/>
      </w:pPr>
      <w:r>
        <w:t xml:space="preserve">C. Governance Verification</w:t>
      </w:r>
    </w:p>
    <w:p>
      <w:pPr>
        <w:spacing w:after="140"/>
      </w:pPr>
      <w:r>
        <w:rPr>
          <w:b/>
          <w:bCs/>
        </w:rPr>
        <w:t xml:space="preserve">Applicable Enterprise Governance Decisions: </w:t>
      </w:r>
      <w:r>
        <w:t xml:space="preserve">All nine Enterprise Governance Decisions (EGD-0001–EGD-0009) depend on this Work Package for named ownership, though none is re-opened or re-adjudicated by it.</w:t>
      </w:r>
    </w:p>
    <w:p>
      <w:pPr>
        <w:spacing w:after="140"/>
      </w:pPr>
      <w:r>
        <w:rPr>
          <w:b/>
          <w:bCs/>
        </w:rPr>
        <w:t xml:space="preserve">Governance checkpoints: </w:t>
      </w:r>
      <w:r>
        <w:t xml:space="preserve">Executive Sponsor / Governance Board names an accountable individual for each of the five roles — this is the checkpoint itself, and the precondition every other Work Package's conformance activity depends on (KPI-08 movement gates Wave 1 execution readiness per Section 5 §7).</w:t>
      </w:r>
    </w:p>
    <w:p>
      <w:pPr>
        <w:spacing w:after="140"/>
      </w:pPr>
      <w:r>
        <w:rPr>
          <w:b/>
          <w:bCs/>
        </w:rPr>
        <w:t xml:space="preserve">Required approvals: </w:t>
      </w:r>
      <w:r>
        <w:t xml:space="preserve">Executive Sponsor / Governance Board approval of each named assignment.</w:t>
      </w:r>
    </w:p>
    <w:p>
      <w:pPr>
        <w:pStyle w:val="Heading3"/>
        <w:spacing w:after="120" w:before="220"/>
      </w:pPr>
      <w:r>
        <w:t xml:space="preserve">D. Repository Conformance</w:t>
      </w:r>
    </w:p>
    <w:p>
      <w:pPr>
        <w:spacing w:after="140"/>
      </w:pPr>
      <w:r>
        <w:rPr>
          <w:b/>
          <w:bCs/>
        </w:rPr>
        <w:t xml:space="preserve">Repository verification: </w:t>
      </w:r>
      <w:r>
        <w:t xml:space="preserve">Not Applicable — governance record only; no repository, database, or code artifact is in scope (Section 3 §4).</w:t>
      </w:r>
    </w:p>
    <w:p>
      <w:pPr>
        <w:spacing w:after="140"/>
      </w:pPr>
      <w:r>
        <w:rPr>
          <w:b/>
          <w:bCs/>
        </w:rPr>
        <w:t xml:space="preserve">Documentation verification: </w:t>
      </w:r>
      <w:r>
        <w:t xml:space="preserve">Governance record documenting each named assignment.</w:t>
      </w:r>
    </w:p>
    <w:p>
      <w:pPr>
        <w:spacing w:after="140"/>
      </w:pPr>
      <w:r>
        <w:rPr>
          <w:b/>
          <w:bCs/>
        </w:rPr>
        <w:t xml:space="preserve">Database verification: </w:t>
      </w:r>
      <w:r>
        <w:t xml:space="preserve">Not Applicable.</w:t>
      </w:r>
    </w:p>
    <w:p>
      <w:pPr>
        <w:spacing w:after="140"/>
      </w:pPr>
      <w:r>
        <w:rPr>
          <w:b/>
          <w:bCs/>
        </w:rPr>
        <w:t xml:space="preserve">Security verification: </w:t>
      </w:r>
      <w:r>
        <w:t xml:space="preserve">Not Applicable.</w:t>
      </w:r>
    </w:p>
    <w:p>
      <w:pPr>
        <w:pStyle w:val="Heading3"/>
        <w:spacing w:after="120" w:before="220"/>
      </w:pPr>
      <w:r>
        <w:t xml:space="preserve">E. Engineering Conformance</w:t>
      </w:r>
    </w:p>
    <w:p>
      <w:pPr>
        <w:spacing w:after="140"/>
      </w:pPr>
      <w:r>
        <w:t xml:space="preserve">Not Applicable — this Work Package has no engineering design beyond the governance-record design already noted in Section 4 §WP-0006.</w:t>
      </w:r>
    </w:p>
    <w:p>
      <w:pPr>
        <w:pStyle w:val="Heading3"/>
        <w:spacing w:after="120" w:before="220"/>
      </w:pPr>
      <w:r>
        <w:t xml:space="preserve">F. Conformance Evidence</w:t>
      </w:r>
    </w:p>
    <w:p>
      <w:pPr>
        <w:pStyle w:val="ListParagraph"/>
        <w:numPr>
          <w:ilvl w:val="0"/>
          <w:numId w:val="1"/>
        </w:numPr>
        <w:spacing w:after="80"/>
      </w:pPr>
      <w:r>
        <w:t xml:space="preserve">Named-owner governance record</w:t>
      </w:r>
    </w:p>
    <w:p>
      <w:pPr>
        <w:pStyle w:val="ListParagraph"/>
        <w:numPr>
          <w:ilvl w:val="0"/>
          <w:numId w:val="1"/>
        </w:numPr>
        <w:spacing w:after="80"/>
      </w:pPr>
      <w:r>
        <w:t xml:space="preserve">KPI-08 measurement record = 100%</w:t>
      </w:r>
    </w:p>
    <w:p>
      <w:pPr>
        <w:pStyle w:val="ListParagraph"/>
        <w:numPr>
          <w:ilvl w:val="0"/>
          <w:numId w:val="1"/>
        </w:numPr>
        <w:spacing w:after="80"/>
      </w:pPr>
      <w:r>
        <w:t xml:space="preserve">AP-009 closure record</w:t>
      </w:r>
    </w:p>
    <w:p>
      <w:pPr>
        <w:pStyle w:val="Heading3"/>
        <w:spacing w:after="120" w:before="220"/>
      </w:pPr>
      <w:r>
        <w:t xml:space="preserve">G. Conformance Exceptions</w:t>
      </w:r>
    </w:p>
    <w:p>
      <w:pPr>
        <w:spacing w:after="140"/>
      </w:pPr>
      <w:r>
        <w:t xml:space="preserve">Any of the five roles remaining unassigned beyond this Work Package's completion is Not Evidenced in Current Baseline as an acceptable outcome — Section 1 and Section 5 both treat WP-0006 as the stated precondition for every other Work Package being fully executable.</w:t>
      </w:r>
    </w:p>
    <w:p>
      <w:pPr>
        <w:pStyle w:val="Heading3"/>
        <w:spacing w:after="120" w:before="220"/>
      </w:pPr>
      <w:r>
        <w:t xml:space="preserve">H. Completion Criteria</w:t>
      </w:r>
    </w:p>
    <w:p>
      <w:pPr>
        <w:spacing w:after="140"/>
      </w:pPr>
      <w:r>
        <w:t xml:space="preserve">KPI-08 Ownership Assignment % = 100%; Certification Level Not Applicable — organizational precondition, not itself certified, consistent with Section 5 §8.</w:t>
      </w:r>
    </w:p>
    <w:p>
      <w:pPr>
        <w:pBdr>
          <w:bottom w:val="single" w:color="999999" w:sz="6" w:space="1"/>
        </w:pBdr>
        <w:spacing w:after="200"/>
      </w:pPr>
    </w:p>
    <w:p>
      <w:r>
        <w:br w:type="page"/>
      </w:r>
    </w:p>
    <w:p>
      <w:pPr>
        <w:pStyle w:val="Heading1"/>
        <w:spacing w:after="160" w:before="360"/>
      </w:pPr>
      <w:r>
        <w:t xml:space="preserve">5. Enterprise Conformance Checkpoints</w:t>
      </w:r>
    </w:p>
    <w:p>
      <w:pPr>
        <w:spacing w:after="140"/>
      </w:pPr>
      <w:r>
        <w:t xml:space="preserve">Checkpoints below apply across the WP-0001–WP-0006 implementation lifecycle, scaled to each Work Package's own applicability as already established in Section 1 §3 and Section 5 §2–§7. Where a checkpoint is not applicable to a given Work Package (for example, Deployment Preparation for WP-0001, WP-0002, or WP-0006), that is stated rather than filled with invented activity.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700"/>
      </w:tblGrid>
      <w:tr>
        <w:trPr>
          <w:tblHeader/>
        </w:trPr>
        <w:tc>
          <w:tcPr>
            <w:tcW w:type="dxa" w:w="2400"/>
            <w:shd w:fill="D9D9D9" w:val="clear"/>
            <w:tcMar>
              <w:top w:type="dxa" w:w="80"/>
              <w:left w:type="dxa" w:w="100"/>
              <w:bottom w:type="dxa" w:w="80"/>
              <w:right w:type="dxa" w:w="100"/>
            </w:tcMar>
          </w:tcPr>
          <w:p>
            <w:pPr>
              <w:jc w:val="left"/>
            </w:pPr>
            <w:r>
              <w:rPr>
                <w:b/>
                <w:bCs/>
              </w:rPr>
              <w:t xml:space="preserve">Checkpoint</w:t>
            </w:r>
          </w:p>
        </w:tc>
        <w:tc>
          <w:tcPr>
            <w:tcW w:type="dxa" w:w="3700"/>
            <w:shd w:fill="D9D9D9" w:val="clear"/>
            <w:tcMar>
              <w:top w:type="dxa" w:w="80"/>
              <w:left w:type="dxa" w:w="100"/>
              <w:bottom w:type="dxa" w:w="80"/>
              <w:right w:type="dxa" w:w="100"/>
            </w:tcMar>
          </w:tcPr>
          <w:p>
            <w:pPr>
              <w:jc w:val="left"/>
            </w:pPr>
            <w:r>
              <w:rPr>
                <w:b/>
                <w:bCs/>
              </w:rPr>
              <w:t xml:space="preserve">Entry Criteria</w:t>
            </w:r>
          </w:p>
        </w:tc>
        <w:tc>
          <w:tcPr>
            <w:tcW w:type="dxa" w:w="3700"/>
            <w:shd w:fill="D9D9D9" w:val="clear"/>
            <w:tcMar>
              <w:top w:type="dxa" w:w="80"/>
              <w:left w:type="dxa" w:w="100"/>
              <w:bottom w:type="dxa" w:w="80"/>
              <w:right w:type="dxa" w:w="100"/>
            </w:tcMar>
          </w:tcPr>
          <w:p>
            <w:pPr>
              <w:jc w:val="left"/>
            </w:pPr>
            <w:r>
              <w:rPr>
                <w:b/>
                <w:bCs/>
              </w:rPr>
              <w:t xml:space="preserve">Exit Criteria</w:t>
            </w:r>
          </w:p>
        </w:tc>
      </w:tr>
      <w:tr>
        <w:tc>
          <w:tcPr>
            <w:tcW w:type="dxa" w:w="2400"/>
            <w:tcMar>
              <w:top w:type="dxa" w:w="80"/>
              <w:left w:type="dxa" w:w="100"/>
              <w:bottom w:type="dxa" w:w="80"/>
              <w:right w:type="dxa" w:w="100"/>
            </w:tcMar>
          </w:tcPr>
          <w:p>
            <w:pPr>
              <w:jc w:val="left"/>
            </w:pPr>
            <w:r>
              <w:rPr>
                <w:b w:val="false"/>
                <w:bCs w:val="false"/>
              </w:rPr>
              <w:t xml:space="preserve">Pre-implementation review</w:t>
            </w:r>
          </w:p>
        </w:tc>
        <w:tc>
          <w:tcPr>
            <w:tcW w:type="dxa" w:w="3700"/>
            <w:tcMar>
              <w:top w:type="dxa" w:w="80"/>
              <w:left w:type="dxa" w:w="100"/>
              <w:bottom w:type="dxa" w:w="80"/>
              <w:right w:type="dxa" w:w="100"/>
            </w:tcMar>
          </w:tcPr>
          <w:p>
            <w:pPr>
              <w:jc w:val="left"/>
            </w:pPr>
            <w:r>
              <w:rPr>
                <w:b w:val="false"/>
                <w:bCs w:val="false"/>
              </w:rPr>
              <w:t xml:space="preserve">Engineering design (Section 4) and repository impact (Section 3) exist for the Work Package.</w:t>
            </w:r>
          </w:p>
        </w:tc>
        <w:tc>
          <w:tcPr>
            <w:tcW w:type="dxa" w:w="3700"/>
            <w:tcMar>
              <w:top w:type="dxa" w:w="80"/>
              <w:left w:type="dxa" w:w="100"/>
              <w:bottom w:type="dxa" w:w="80"/>
              <w:right w:type="dxa" w:w="100"/>
            </w:tcMar>
          </w:tcPr>
          <w:p>
            <w:pPr>
              <w:jc w:val="left"/>
            </w:pPr>
            <w:r>
              <w:rPr>
                <w:b w:val="false"/>
                <w:bCs w:val="false"/>
              </w:rPr>
              <w:t xml:space="preserve">Implementation Activity Reference (Section 5 §8) is confirmed consistent with the approved design; no undocumented scope expansion identified.</w:t>
            </w:r>
          </w:p>
        </w:tc>
      </w:tr>
      <w:tr>
        <w:tc>
          <w:tcPr>
            <w:tcW w:type="dxa" w:w="2400"/>
            <w:tcMar>
              <w:top w:type="dxa" w:w="80"/>
              <w:left w:type="dxa" w:w="100"/>
              <w:bottom w:type="dxa" w:w="80"/>
              <w:right w:type="dxa" w:w="100"/>
            </w:tcMar>
          </w:tcPr>
          <w:p>
            <w:pPr>
              <w:jc w:val="left"/>
            </w:pPr>
            <w:r>
              <w:rPr>
                <w:b w:val="false"/>
                <w:bCs w:val="false"/>
              </w:rPr>
              <w:t xml:space="preserve">Implementation verification</w:t>
            </w:r>
          </w:p>
        </w:tc>
        <w:tc>
          <w:tcPr>
            <w:tcW w:type="dxa" w:w="3700"/>
            <w:tcMar>
              <w:top w:type="dxa" w:w="80"/>
              <w:left w:type="dxa" w:w="100"/>
              <w:bottom w:type="dxa" w:w="80"/>
              <w:right w:type="dxa" w:w="100"/>
            </w:tcMar>
          </w:tcPr>
          <w:p>
            <w:pPr>
              <w:jc w:val="left"/>
            </w:pPr>
            <w:r>
              <w:rPr>
                <w:b w:val="false"/>
                <w:bCs w:val="false"/>
              </w:rPr>
              <w:t xml:space="preserve">Implementation activities per Section 5 §3 are underway or complete.</w:t>
            </w:r>
          </w:p>
        </w:tc>
        <w:tc>
          <w:tcPr>
            <w:tcW w:type="dxa" w:w="3700"/>
            <w:tcMar>
              <w:top w:type="dxa" w:w="80"/>
              <w:left w:type="dxa" w:w="100"/>
              <w:bottom w:type="dxa" w:w="80"/>
              <w:right w:type="dxa" w:w="100"/>
            </w:tcMar>
          </w:tcPr>
          <w:p>
            <w:pPr>
              <w:jc w:val="left"/>
            </w:pPr>
            <w:r>
              <w:rPr>
                <w:b w:val="false"/>
                <w:bCs w:val="false"/>
              </w:rPr>
              <w:t xml:space="preserve">Verification Method named in Section 5 §8 (e.g., table inventory diff for WP-0001; query-based verification for WP-0002) has produced its evidence artifact.</w:t>
            </w:r>
          </w:p>
        </w:tc>
      </w:tr>
      <w:tr>
        <w:tc>
          <w:tcPr>
            <w:tcW w:type="dxa" w:w="2400"/>
            <w:tcMar>
              <w:top w:type="dxa" w:w="80"/>
              <w:left w:type="dxa" w:w="100"/>
              <w:bottom w:type="dxa" w:w="80"/>
              <w:right w:type="dxa" w:w="100"/>
            </w:tcMar>
          </w:tcPr>
          <w:p>
            <w:pPr>
              <w:jc w:val="left"/>
            </w:pPr>
            <w:r>
              <w:rPr>
                <w:b w:val="false"/>
                <w:bCs w:val="false"/>
              </w:rPr>
              <w:t xml:space="preserve">Repository review</w:t>
            </w:r>
          </w:p>
        </w:tc>
        <w:tc>
          <w:tcPr>
            <w:tcW w:type="dxa" w:w="3700"/>
            <w:tcMar>
              <w:top w:type="dxa" w:w="80"/>
              <w:left w:type="dxa" w:w="100"/>
              <w:bottom w:type="dxa" w:w="80"/>
              <w:right w:type="dxa" w:w="100"/>
            </w:tcMar>
          </w:tcPr>
          <w:p>
            <w:pPr>
              <w:jc w:val="left"/>
            </w:pPr>
            <w:r>
              <w:rPr>
                <w:b w:val="false"/>
                <w:bCs w:val="false"/>
              </w:rPr>
              <w:t xml:space="preserve">Verification evidence exists.</w:t>
            </w:r>
          </w:p>
        </w:tc>
        <w:tc>
          <w:tcPr>
            <w:tcW w:type="dxa" w:w="3700"/>
            <w:tcMar>
              <w:top w:type="dxa" w:w="80"/>
              <w:left w:type="dxa" w:w="100"/>
              <w:bottom w:type="dxa" w:w="80"/>
              <w:right w:type="dxa" w:w="100"/>
            </w:tcMar>
          </w:tcPr>
          <w:p>
            <w:pPr>
              <w:jc w:val="left"/>
            </w:pPr>
            <w:r>
              <w:rPr>
                <w:b w:val="false"/>
                <w:bCs w:val="false"/>
              </w:rPr>
              <w:t xml:space="preserve">Repository evidence is confirmed at the specific location Section 3 identifies, within the approved category (Documentation, Database, or Test only).</w:t>
            </w:r>
          </w:p>
        </w:tc>
      </w:tr>
      <w:tr>
        <w:tc>
          <w:tcPr>
            <w:tcW w:type="dxa" w:w="2400"/>
            <w:tcMar>
              <w:top w:type="dxa" w:w="80"/>
              <w:left w:type="dxa" w:w="100"/>
              <w:bottom w:type="dxa" w:w="80"/>
              <w:right w:type="dxa" w:w="100"/>
            </w:tcMar>
          </w:tcPr>
          <w:p>
            <w:pPr>
              <w:jc w:val="left"/>
            </w:pPr>
            <w:r>
              <w:rPr>
                <w:b w:val="false"/>
                <w:bCs w:val="false"/>
              </w:rPr>
              <w:t xml:space="preserve">Documentation review</w:t>
            </w:r>
          </w:p>
        </w:tc>
        <w:tc>
          <w:tcPr>
            <w:tcW w:type="dxa" w:w="3700"/>
            <w:tcMar>
              <w:top w:type="dxa" w:w="80"/>
              <w:left w:type="dxa" w:w="100"/>
              <w:bottom w:type="dxa" w:w="80"/>
              <w:right w:type="dxa" w:w="100"/>
            </w:tcMar>
          </w:tcPr>
          <w:p>
            <w:pPr>
              <w:jc w:val="left"/>
            </w:pPr>
            <w:r>
              <w:rPr>
                <w:b w:val="false"/>
                <w:bCs w:val="false"/>
              </w:rPr>
              <w:t xml:space="preserve">Repository review is complete.</w:t>
            </w:r>
          </w:p>
        </w:tc>
        <w:tc>
          <w:tcPr>
            <w:tcW w:type="dxa" w:w="3700"/>
            <w:tcMar>
              <w:top w:type="dxa" w:w="80"/>
              <w:left w:type="dxa" w:w="100"/>
              <w:bottom w:type="dxa" w:w="80"/>
              <w:right w:type="dxa" w:w="100"/>
            </w:tcMar>
          </w:tcPr>
          <w:p>
            <w:pPr>
              <w:jc w:val="left"/>
            </w:pPr>
            <w:r>
              <w:rPr>
                <w:b w:val="false"/>
                <w:bCs w:val="false"/>
              </w:rPr>
              <w:t xml:space="preserve">Published document (where applicable) matches Section 5's Completion Evidence description exactly — e.g., zero-discrepancy diff for WP-0001.</w:t>
            </w:r>
          </w:p>
        </w:tc>
      </w:tr>
      <w:tr>
        <w:tc>
          <w:tcPr>
            <w:tcW w:type="dxa" w:w="2400"/>
            <w:tcMar>
              <w:top w:type="dxa" w:w="80"/>
              <w:left w:type="dxa" w:w="100"/>
              <w:bottom w:type="dxa" w:w="80"/>
              <w:right w:type="dxa" w:w="100"/>
            </w:tcMar>
          </w:tcPr>
          <w:p>
            <w:pPr>
              <w:jc w:val="left"/>
            </w:pPr>
            <w:r>
              <w:rPr>
                <w:b w:val="false"/>
                <w:bCs w:val="false"/>
              </w:rPr>
              <w:t xml:space="preserve">Governance review</w:t>
            </w:r>
          </w:p>
        </w:tc>
        <w:tc>
          <w:tcPr>
            <w:tcW w:type="dxa" w:w="3700"/>
            <w:tcMar>
              <w:top w:type="dxa" w:w="80"/>
              <w:left w:type="dxa" w:w="100"/>
              <w:bottom w:type="dxa" w:w="80"/>
              <w:right w:type="dxa" w:w="100"/>
            </w:tcMar>
          </w:tcPr>
          <w:p>
            <w:pPr>
              <w:jc w:val="left"/>
            </w:pPr>
            <w:r>
              <w:rPr>
                <w:b w:val="false"/>
                <w:bCs w:val="false"/>
              </w:rPr>
              <w:t xml:space="preserve">Documentation review is complete.</w:t>
            </w:r>
          </w:p>
        </w:tc>
        <w:tc>
          <w:tcPr>
            <w:tcW w:type="dxa" w:w="3700"/>
            <w:tcMar>
              <w:top w:type="dxa" w:w="80"/>
              <w:left w:type="dxa" w:w="100"/>
              <w:bottom w:type="dxa" w:w="80"/>
              <w:right w:type="dxa" w:w="100"/>
            </w:tcMar>
          </w:tcPr>
          <w:p>
            <w:pPr>
              <w:jc w:val="left"/>
            </w:pPr>
            <w:r>
              <w:rPr>
                <w:b w:val="false"/>
                <w:bCs w:val="false"/>
              </w:rPr>
              <w:t xml:space="preserve">Enterprise Governance Decision(s) named in Section 4/5 (e.g., EGD-0002 for WP-0001; EGD-0007 for WP-0002/WP-0005) are confirmed satisfied; any exception is logged per Section 8 of this document.</w:t>
            </w:r>
          </w:p>
        </w:tc>
      </w:tr>
      <w:tr>
        <w:tc>
          <w:tcPr>
            <w:tcW w:type="dxa" w:w="2400"/>
            <w:tcMar>
              <w:top w:type="dxa" w:w="80"/>
              <w:left w:type="dxa" w:w="100"/>
              <w:bottom w:type="dxa" w:w="80"/>
              <w:right w:type="dxa" w:w="100"/>
            </w:tcMar>
          </w:tcPr>
          <w:p>
            <w:pPr>
              <w:jc w:val="left"/>
            </w:pPr>
            <w:r>
              <w:rPr>
                <w:b w:val="false"/>
                <w:bCs w:val="false"/>
              </w:rPr>
              <w:t xml:space="preserve">Final architecture review</w:t>
            </w:r>
          </w:p>
        </w:tc>
        <w:tc>
          <w:tcPr>
            <w:tcW w:type="dxa" w:w="3700"/>
            <w:tcMar>
              <w:top w:type="dxa" w:w="80"/>
              <w:left w:type="dxa" w:w="100"/>
              <w:bottom w:type="dxa" w:w="80"/>
              <w:right w:type="dxa" w:w="100"/>
            </w:tcMar>
          </w:tcPr>
          <w:p>
            <w:pPr>
              <w:jc w:val="left"/>
            </w:pPr>
            <w:r>
              <w:rPr>
                <w:b w:val="false"/>
                <w:bCs w:val="false"/>
              </w:rPr>
              <w:t xml:space="preserve">Governance review is complete.</w:t>
            </w:r>
          </w:p>
        </w:tc>
        <w:tc>
          <w:tcPr>
            <w:tcW w:type="dxa" w:w="3700"/>
            <w:tcMar>
              <w:top w:type="dxa" w:w="80"/>
              <w:left w:type="dxa" w:w="100"/>
              <w:bottom w:type="dxa" w:w="80"/>
              <w:right w:type="dxa" w:w="100"/>
            </w:tcMar>
          </w:tcPr>
          <w:p>
            <w:pPr>
              <w:jc w:val="left"/>
            </w:pPr>
            <w:r>
              <w:rPr>
                <w:b w:val="false"/>
                <w:bCs w:val="false"/>
              </w:rPr>
              <w:t xml:space="preserve">Implementation is confirmed to match the Architecture Requirement's intent (Section 4 §A per WP), with no deviation left unresolved.</w:t>
            </w:r>
          </w:p>
        </w:tc>
      </w:tr>
      <w:tr>
        <w:tc>
          <w:tcPr>
            <w:tcW w:type="dxa" w:w="2400"/>
            <w:tcMar>
              <w:top w:type="dxa" w:w="80"/>
              <w:left w:type="dxa" w:w="100"/>
              <w:bottom w:type="dxa" w:w="80"/>
              <w:right w:type="dxa" w:w="100"/>
            </w:tcMar>
          </w:tcPr>
          <w:p>
            <w:pPr>
              <w:jc w:val="left"/>
            </w:pPr>
            <w:r>
              <w:rPr>
                <w:b w:val="false"/>
                <w:bCs w:val="false"/>
              </w:rPr>
              <w:t xml:space="preserve">Certification review</w:t>
            </w:r>
          </w:p>
        </w:tc>
        <w:tc>
          <w:tcPr>
            <w:tcW w:type="dxa" w:w="3700"/>
            <w:tcMar>
              <w:top w:type="dxa" w:w="80"/>
              <w:left w:type="dxa" w:w="100"/>
              <w:bottom w:type="dxa" w:w="80"/>
              <w:right w:type="dxa" w:w="100"/>
            </w:tcMar>
          </w:tcPr>
          <w:p>
            <w:pPr>
              <w:jc w:val="left"/>
            </w:pPr>
            <w:r>
              <w:rPr>
                <w:b w:val="false"/>
                <w:bCs w:val="false"/>
              </w:rPr>
              <w:t xml:space="preserve">Final architecture review is complete.</w:t>
            </w:r>
          </w:p>
        </w:tc>
        <w:tc>
          <w:tcPr>
            <w:tcW w:type="dxa" w:w="3700"/>
            <w:tcMar>
              <w:top w:type="dxa" w:w="80"/>
              <w:left w:type="dxa" w:w="100"/>
              <w:bottom w:type="dxa" w:w="80"/>
              <w:right w:type="dxa" w:w="100"/>
            </w:tcMar>
          </w:tcPr>
          <w:p>
            <w:pPr>
              <w:jc w:val="left"/>
            </w:pPr>
            <w:r>
              <w:rPr>
                <w:b w:val="false"/>
                <w:bCs w:val="false"/>
              </w:rPr>
              <w:t xml:space="preserve">Certification Level (Phase A.3 §11) is updated per the Acceptance Criteria in Section 5 §8's traceability matrix, and the associated KPI is measured and recorded.</w:t>
            </w:r>
          </w:p>
        </w:tc>
      </w:tr>
    </w:tbl>
    <w:p>
      <w:pPr>
        <w:spacing w:after="160" w:before="100"/>
      </w:pPr>
      <w:r>
        <w:rPr>
          <w:b/>
          <w:bCs/>
          <w:i/>
          <w:iCs/>
        </w:rPr>
        <w:t xml:space="preserve">Note: </w:t>
      </w:r>
      <w:r>
        <w:rPr>
          <w:i/>
          <w:iCs/>
        </w:rPr>
        <w:t xml:space="preserve">Deployment Preparation and Production Rollout checkpoints, anticipated by the Phase C master template, are Not Applicable to the current Work Package set — Section 1 §3 confirms no code or schema deployment is in scope for WP-0001, WP-0002, or WP-0006, and Section 5 confirms the same for WP-0003, WP-0004, and WP-0005 outside their contingency-only corrective paths.</w:t>
      </w:r>
    </w:p>
    <w:p>
      <w:pPr>
        <w:pStyle w:val="Heading1"/>
        <w:spacing w:after="160" w:before="360"/>
      </w:pPr>
      <w:r>
        <w:t xml:space="preserve">6. Conformance Review Matrix</w:t>
      </w:r>
    </w:p>
    <w:p>
      <w:pPr>
        <w:spacing w:after="140"/>
      </w:pPr>
      <w:r>
        <w:t xml:space="preserve">This matrix uses only the governance roles Phase B §9 already establishes. The five named roles are currently unassigned (KPI-08 = 0%) pending WP-0006; the matrix records the role, not a named individual, consistent with that baseline fact.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1700"/>
        <w:gridCol w:w="1800"/>
      </w:tblGrid>
      <w:tr>
        <w:trPr>
          <w:tblHeader/>
        </w:trPr>
        <w:tc>
          <w:tcPr>
            <w:tcW w:type="dxa" w:w="1900"/>
            <w:shd w:fill="D9D9D9" w:val="clear"/>
            <w:tcMar>
              <w:top w:type="dxa" w:w="80"/>
              <w:left w:type="dxa" w:w="100"/>
              <w:bottom w:type="dxa" w:w="80"/>
              <w:right w:type="dxa" w:w="100"/>
            </w:tcMar>
          </w:tcPr>
          <w:p>
            <w:pPr>
              <w:jc w:val="left"/>
            </w:pPr>
            <w:r>
              <w:rPr>
                <w:b/>
                <w:bCs/>
              </w:rPr>
              <w:t xml:space="preserve">Review Activity</w:t>
            </w:r>
          </w:p>
        </w:tc>
        <w:tc>
          <w:tcPr>
            <w:tcW w:type="dxa" w:w="1900"/>
            <w:shd w:fill="D9D9D9" w:val="clear"/>
            <w:tcMar>
              <w:top w:type="dxa" w:w="80"/>
              <w:left w:type="dxa" w:w="100"/>
              <w:bottom w:type="dxa" w:w="80"/>
              <w:right w:type="dxa" w:w="100"/>
            </w:tcMar>
          </w:tcPr>
          <w:p>
            <w:pPr>
              <w:jc w:val="left"/>
            </w:pPr>
            <w:r>
              <w:rPr>
                <w:b/>
                <w:bCs/>
              </w:rPr>
              <w:t xml:space="preserve">Responsible Role</w:t>
            </w:r>
          </w:p>
        </w:tc>
        <w:tc>
          <w:tcPr>
            <w:tcW w:type="dxa" w:w="2200"/>
            <w:shd w:fill="D9D9D9" w:val="clear"/>
            <w:tcMar>
              <w:top w:type="dxa" w:w="80"/>
              <w:left w:type="dxa" w:w="100"/>
              <w:bottom w:type="dxa" w:w="80"/>
              <w:right w:type="dxa" w:w="100"/>
            </w:tcMar>
          </w:tcPr>
          <w:p>
            <w:pPr>
              <w:jc w:val="left"/>
            </w:pPr>
            <w:r>
              <w:rPr>
                <w:b/>
                <w:bCs/>
              </w:rPr>
              <w:t xml:space="preserve">Required Evidence</w:t>
            </w:r>
          </w:p>
        </w:tc>
        <w:tc>
          <w:tcPr>
            <w:tcW w:type="dxa" w:w="1700"/>
            <w:shd w:fill="D9D9D9" w:val="clear"/>
            <w:tcMar>
              <w:top w:type="dxa" w:w="80"/>
              <w:left w:type="dxa" w:w="100"/>
              <w:bottom w:type="dxa" w:w="80"/>
              <w:right w:type="dxa" w:w="100"/>
            </w:tcMar>
          </w:tcPr>
          <w:p>
            <w:pPr>
              <w:jc w:val="left"/>
            </w:pPr>
            <w:r>
              <w:rPr>
                <w:b/>
                <w:bCs/>
              </w:rPr>
              <w:t xml:space="preserve">Approval Authority</w:t>
            </w:r>
          </w:p>
        </w:tc>
        <w:tc>
          <w:tcPr>
            <w:tcW w:type="dxa" w:w="1800"/>
            <w:shd w:fill="D9D9D9" w:val="clear"/>
            <w:tcMar>
              <w:top w:type="dxa" w:w="80"/>
              <w:left w:type="dxa" w:w="100"/>
              <w:bottom w:type="dxa" w:w="80"/>
              <w:right w:type="dxa" w:w="100"/>
            </w:tcMar>
          </w:tcPr>
          <w:p>
            <w:pPr>
              <w:jc w:val="left"/>
            </w:pPr>
            <w:r>
              <w:rPr>
                <w:b/>
                <w:bCs/>
              </w:rPr>
              <w:t xml:space="preserve">Completion Condition</w:t>
            </w:r>
          </w:p>
        </w:tc>
      </w:tr>
      <w:tr>
        <w:tc>
          <w:tcPr>
            <w:tcW w:type="dxa" w:w="1900"/>
            <w:tcMar>
              <w:top w:type="dxa" w:w="80"/>
              <w:left w:type="dxa" w:w="100"/>
              <w:bottom w:type="dxa" w:w="80"/>
              <w:right w:type="dxa" w:w="100"/>
            </w:tcMar>
          </w:tcPr>
          <w:p>
            <w:pPr>
              <w:jc w:val="left"/>
            </w:pPr>
            <w:r>
              <w:rPr>
                <w:b w:val="false"/>
                <w:bCs w:val="false"/>
              </w:rPr>
              <w:t xml:space="preserve">Documentation conformance review (WP-0001)</w:t>
            </w:r>
          </w:p>
        </w:tc>
        <w:tc>
          <w:tcPr>
            <w:tcW w:type="dxa" w:w="1900"/>
            <w:tcMar>
              <w:top w:type="dxa" w:w="80"/>
              <w:left w:type="dxa" w:w="100"/>
              <w:bottom w:type="dxa" w:w="80"/>
              <w:right w:type="dxa" w:w="100"/>
            </w:tcMar>
          </w:tcPr>
          <w:p>
            <w:pPr>
              <w:jc w:val="left"/>
            </w:pPr>
            <w:r>
              <w:rPr>
                <w:b w:val="false"/>
                <w:bCs w:val="false"/>
              </w:rPr>
              <w:t xml:space="preserve">Enterprise Architecture Owner</w:t>
            </w:r>
          </w:p>
        </w:tc>
        <w:tc>
          <w:tcPr>
            <w:tcW w:type="dxa" w:w="2200"/>
            <w:tcMar>
              <w:top w:type="dxa" w:w="80"/>
              <w:left w:type="dxa" w:w="100"/>
              <w:bottom w:type="dxa" w:w="80"/>
              <w:right w:type="dxa" w:w="100"/>
            </w:tcMar>
          </w:tcPr>
          <w:p>
            <w:pPr>
              <w:jc w:val="left"/>
            </w:pPr>
            <w:r>
              <w:rPr>
                <w:b w:val="false"/>
                <w:bCs w:val="false"/>
              </w:rPr>
              <w:t xml:space="preserve">Zero-discrepancy table-inventory diff</w:t>
            </w:r>
          </w:p>
        </w:tc>
        <w:tc>
          <w:tcPr>
            <w:tcW w:type="dxa" w:w="1700"/>
            <w:tcMar>
              <w:top w:type="dxa" w:w="80"/>
              <w:left w:type="dxa" w:w="100"/>
              <w:bottom w:type="dxa" w:w="80"/>
              <w:right w:type="dxa" w:w="100"/>
            </w:tcMar>
          </w:tcPr>
          <w:p>
            <w:pPr>
              <w:jc w:val="left"/>
            </w:pPr>
            <w:r>
              <w:rPr>
                <w:b w:val="false"/>
                <w:bCs w:val="false"/>
              </w:rPr>
              <w:t xml:space="preserve">Executive Sponsor / Governance Board</w:t>
            </w:r>
          </w:p>
        </w:tc>
        <w:tc>
          <w:tcPr>
            <w:tcW w:type="dxa" w:w="1800"/>
            <w:tcMar>
              <w:top w:type="dxa" w:w="80"/>
              <w:left w:type="dxa" w:w="100"/>
              <w:bottom w:type="dxa" w:w="80"/>
              <w:right w:type="dxa" w:w="100"/>
            </w:tcMar>
          </w:tcPr>
          <w:p>
            <w:pPr>
              <w:jc w:val="left"/>
            </w:pPr>
            <w:r>
              <w:rPr>
                <w:b w:val="false"/>
                <w:bCs w:val="false"/>
              </w:rPr>
              <w:t xml:space="preserve">KPI-02 = 100</w:t>
            </w:r>
          </w:p>
        </w:tc>
      </w:tr>
      <w:tr>
        <w:tc>
          <w:tcPr>
            <w:tcW w:type="dxa" w:w="1900"/>
            <w:tcMar>
              <w:top w:type="dxa" w:w="80"/>
              <w:left w:type="dxa" w:w="100"/>
              <w:bottom w:type="dxa" w:w="80"/>
              <w:right w:type="dxa" w:w="100"/>
            </w:tcMar>
          </w:tcPr>
          <w:p>
            <w:pPr>
              <w:jc w:val="left"/>
            </w:pPr>
            <w:r>
              <w:rPr>
                <w:b w:val="false"/>
                <w:bCs w:val="false"/>
              </w:rPr>
              <w:t xml:space="preserve">RLS coverage verification (WP-0002)</w:t>
            </w:r>
          </w:p>
        </w:tc>
        <w:tc>
          <w:tcPr>
            <w:tcW w:type="dxa" w:w="1900"/>
            <w:tcMar>
              <w:top w:type="dxa" w:w="80"/>
              <w:left w:type="dxa" w:w="100"/>
              <w:bottom w:type="dxa" w:w="80"/>
              <w:right w:type="dxa" w:w="100"/>
            </w:tcMar>
          </w:tcPr>
          <w:p>
            <w:pPr>
              <w:jc w:val="left"/>
            </w:pPr>
            <w:r>
              <w:rPr>
                <w:b w:val="false"/>
                <w:bCs w:val="false"/>
              </w:rPr>
              <w:t xml:space="preserve">Security/Platform Engineer</w:t>
            </w:r>
          </w:p>
        </w:tc>
        <w:tc>
          <w:tcPr>
            <w:tcW w:type="dxa" w:w="2200"/>
            <w:tcMar>
              <w:top w:type="dxa" w:w="80"/>
              <w:left w:type="dxa" w:w="100"/>
              <w:bottom w:type="dxa" w:w="80"/>
              <w:right w:type="dxa" w:w="100"/>
            </w:tcMar>
          </w:tcPr>
          <w:p>
            <w:pPr>
              <w:jc w:val="left"/>
            </w:pPr>
            <w:r>
              <w:rPr>
                <w:b w:val="false"/>
                <w:bCs w:val="false"/>
              </w:rPr>
              <w:t xml:space="preserve">Per-table verification ledger</w:t>
            </w:r>
          </w:p>
        </w:tc>
        <w:tc>
          <w:tcPr>
            <w:tcW w:type="dxa" w:w="1700"/>
            <w:tcMar>
              <w:top w:type="dxa" w:w="80"/>
              <w:left w:type="dxa" w:w="100"/>
              <w:bottom w:type="dxa" w:w="80"/>
              <w:right w:type="dxa" w:w="100"/>
            </w:tcMar>
          </w:tcPr>
          <w:p>
            <w:pPr>
              <w:jc w:val="left"/>
            </w:pPr>
            <w:r>
              <w:rPr>
                <w:b w:val="false"/>
                <w:bCs w:val="false"/>
              </w:rPr>
              <w:t xml:space="preserve">Executive Sponsor / Governance Board</w:t>
            </w:r>
          </w:p>
        </w:tc>
        <w:tc>
          <w:tcPr>
            <w:tcW w:type="dxa" w:w="1800"/>
            <w:tcMar>
              <w:top w:type="dxa" w:w="80"/>
              <w:left w:type="dxa" w:w="100"/>
              <w:bottom w:type="dxa" w:w="80"/>
              <w:right w:type="dxa" w:w="100"/>
            </w:tcMar>
          </w:tcPr>
          <w:p>
            <w:pPr>
              <w:jc w:val="left"/>
            </w:pPr>
            <w:r>
              <w:rPr>
                <w:b w:val="false"/>
                <w:bCs w:val="false"/>
              </w:rPr>
              <w:t xml:space="preserve">KPI-06 = 100%</w:t>
            </w:r>
          </w:p>
        </w:tc>
      </w:tr>
      <w:tr>
        <w:tc>
          <w:tcPr>
            <w:tcW w:type="dxa" w:w="1900"/>
            <w:tcMar>
              <w:top w:type="dxa" w:w="80"/>
              <w:left w:type="dxa" w:w="100"/>
              <w:bottom w:type="dxa" w:w="80"/>
              <w:right w:type="dxa" w:w="100"/>
            </w:tcMar>
          </w:tcPr>
          <w:p>
            <w:pPr>
              <w:jc w:val="left"/>
            </w:pPr>
            <w:r>
              <w:rPr>
                <w:b w:val="false"/>
                <w:bCs w:val="false"/>
              </w:rPr>
              <w:t xml:space="preserve">Partitioning trigger monitoring (WP-0003)</w:t>
            </w:r>
          </w:p>
        </w:tc>
        <w:tc>
          <w:tcPr>
            <w:tcW w:type="dxa" w:w="1900"/>
            <w:tcMar>
              <w:top w:type="dxa" w:w="80"/>
              <w:left w:type="dxa" w:w="100"/>
              <w:bottom w:type="dxa" w:w="80"/>
              <w:right w:type="dxa" w:w="100"/>
            </w:tcMar>
          </w:tcPr>
          <w:p>
            <w:pPr>
              <w:jc w:val="left"/>
            </w:pPr>
            <w:r>
              <w:rPr>
                <w:b w:val="false"/>
                <w:bCs w:val="false"/>
              </w:rPr>
              <w:t xml:space="preserve">Platform Engineering Lead</w:t>
            </w:r>
          </w:p>
        </w:tc>
        <w:tc>
          <w:tcPr>
            <w:tcW w:type="dxa" w:w="2200"/>
            <w:tcMar>
              <w:top w:type="dxa" w:w="80"/>
              <w:left w:type="dxa" w:w="100"/>
              <w:bottom w:type="dxa" w:w="80"/>
              <w:right w:type="dxa" w:w="100"/>
            </w:tcMar>
          </w:tcPr>
          <w:p>
            <w:pPr>
              <w:jc w:val="left"/>
            </w:pPr>
            <w:r>
              <w:rPr>
                <w:b w:val="false"/>
                <w:bCs w:val="false"/>
              </w:rPr>
              <w:t xml:space="preserve">Quarterly assessment report</w:t>
            </w:r>
          </w:p>
        </w:tc>
        <w:tc>
          <w:tcPr>
            <w:tcW w:type="dxa" w:w="1700"/>
            <w:tcMar>
              <w:top w:type="dxa" w:w="80"/>
              <w:left w:type="dxa" w:w="100"/>
              <w:bottom w:type="dxa" w:w="80"/>
              <w:right w:type="dxa" w:w="100"/>
            </w:tcMar>
          </w:tcPr>
          <w:p>
            <w:pPr>
              <w:jc w:val="left"/>
            </w:pPr>
            <w:r>
              <w:rPr>
                <w:b w:val="false"/>
                <w:bCs w:val="false"/>
              </w:rPr>
              <w:t xml:space="preserve">Not Applicable prior to trigger</w:t>
            </w:r>
          </w:p>
        </w:tc>
        <w:tc>
          <w:tcPr>
            <w:tcW w:type="dxa" w:w="1800"/>
            <w:tcMar>
              <w:top w:type="dxa" w:w="80"/>
              <w:left w:type="dxa" w:w="100"/>
              <w:bottom w:type="dxa" w:w="80"/>
              <w:right w:type="dxa" w:w="100"/>
            </w:tcMar>
          </w:tcPr>
          <w:p>
            <w:pPr>
              <w:jc w:val="left"/>
            </w:pPr>
            <w:r>
              <w:rPr>
                <w:b w:val="false"/>
                <w:bCs w:val="false"/>
              </w:rPr>
              <w:t xml:space="preserve">Trigger status recorded each quarter</w:t>
            </w:r>
          </w:p>
        </w:tc>
      </w:tr>
      <w:tr>
        <w:tc>
          <w:tcPr>
            <w:tcW w:type="dxa" w:w="1900"/>
            <w:tcMar>
              <w:top w:type="dxa" w:w="80"/>
              <w:left w:type="dxa" w:w="100"/>
              <w:bottom w:type="dxa" w:w="80"/>
              <w:right w:type="dxa" w:w="100"/>
            </w:tcMar>
          </w:tcPr>
          <w:p>
            <w:pPr>
              <w:jc w:val="left"/>
            </w:pPr>
            <w:r>
              <w:rPr>
                <w:b w:val="false"/>
                <w:bCs w:val="false"/>
              </w:rPr>
              <w:t xml:space="preserve">Denormalization check operation (WP-0004)</w:t>
            </w:r>
          </w:p>
        </w:tc>
        <w:tc>
          <w:tcPr>
            <w:tcW w:type="dxa" w:w="1900"/>
            <w:tcMar>
              <w:top w:type="dxa" w:w="80"/>
              <w:left w:type="dxa" w:w="100"/>
              <w:bottom w:type="dxa" w:w="80"/>
              <w:right w:type="dxa" w:w="100"/>
            </w:tcMar>
          </w:tcPr>
          <w:p>
            <w:pPr>
              <w:jc w:val="left"/>
            </w:pPr>
            <w:r>
              <w:rPr>
                <w:b w:val="false"/>
                <w:bCs w:val="false"/>
              </w:rPr>
              <w:t xml:space="preserve">Data Governance Owner</w:t>
            </w:r>
          </w:p>
        </w:tc>
        <w:tc>
          <w:tcPr>
            <w:tcW w:type="dxa" w:w="2200"/>
            <w:tcMar>
              <w:top w:type="dxa" w:w="80"/>
              <w:left w:type="dxa" w:w="100"/>
              <w:bottom w:type="dxa" w:w="80"/>
              <w:right w:type="dxa" w:w="100"/>
            </w:tcMar>
          </w:tcPr>
          <w:p>
            <w:pPr>
              <w:jc w:val="left"/>
            </w:pPr>
            <w:r>
              <w:rPr>
                <w:b w:val="false"/>
                <w:bCs w:val="false"/>
              </w:rPr>
              <w:t xml:space="preserve">Per-release check output; VAR-03 log</w:t>
            </w:r>
          </w:p>
        </w:tc>
        <w:tc>
          <w:tcPr>
            <w:tcW w:type="dxa" w:w="1700"/>
            <w:tcMar>
              <w:top w:type="dxa" w:w="80"/>
              <w:left w:type="dxa" w:w="100"/>
              <w:bottom w:type="dxa" w:w="80"/>
              <w:right w:type="dxa" w:w="100"/>
            </w:tcMar>
          </w:tcPr>
          <w:p>
            <w:pPr>
              <w:jc w:val="left"/>
            </w:pPr>
            <w:r>
              <w:rPr>
                <w:b w:val="false"/>
                <w:bCs w:val="false"/>
              </w:rPr>
              <w:t xml:space="preserve">Executive Sponsor / Governance Board</w:t>
            </w:r>
          </w:p>
        </w:tc>
        <w:tc>
          <w:tcPr>
            <w:tcW w:type="dxa" w:w="1800"/>
            <w:tcMar>
              <w:top w:type="dxa" w:w="80"/>
              <w:left w:type="dxa" w:w="100"/>
              <w:bottom w:type="dxa" w:w="80"/>
              <w:right w:type="dxa" w:w="100"/>
            </w:tcMar>
          </w:tcPr>
          <w:p>
            <w:pPr>
              <w:jc w:val="left"/>
            </w:pPr>
            <w:r>
              <w:rPr>
                <w:b w:val="false"/>
                <w:bCs w:val="false"/>
              </w:rPr>
              <w:t xml:space="preserve">Zero violations per release</w:t>
            </w:r>
          </w:p>
        </w:tc>
      </w:tr>
      <w:tr>
        <w:tc>
          <w:tcPr>
            <w:tcW w:type="dxa" w:w="1900"/>
            <w:tcMar>
              <w:top w:type="dxa" w:w="80"/>
              <w:left w:type="dxa" w:w="100"/>
              <w:bottom w:type="dxa" w:w="80"/>
              <w:right w:type="dxa" w:w="100"/>
            </w:tcMar>
          </w:tcPr>
          <w:p>
            <w:pPr>
              <w:jc w:val="left"/>
            </w:pPr>
            <w:r>
              <w:rPr>
                <w:b w:val="false"/>
                <w:bCs w:val="false"/>
              </w:rPr>
              <w:t xml:space="preserve">Column-level access review (WP-0005)</w:t>
            </w:r>
          </w:p>
        </w:tc>
        <w:tc>
          <w:tcPr>
            <w:tcW w:type="dxa" w:w="1900"/>
            <w:tcMar>
              <w:top w:type="dxa" w:w="80"/>
              <w:left w:type="dxa" w:w="100"/>
              <w:bottom w:type="dxa" w:w="80"/>
              <w:right w:type="dxa" w:w="100"/>
            </w:tcMar>
          </w:tcPr>
          <w:p>
            <w:pPr>
              <w:jc w:val="left"/>
            </w:pPr>
            <w:r>
              <w:rPr>
                <w:b w:val="false"/>
                <w:bCs w:val="false"/>
              </w:rPr>
              <w:t xml:space="preserve">Security/Platform Engineer</w:t>
            </w:r>
          </w:p>
        </w:tc>
        <w:tc>
          <w:tcPr>
            <w:tcW w:type="dxa" w:w="2200"/>
            <w:tcMar>
              <w:top w:type="dxa" w:w="80"/>
              <w:left w:type="dxa" w:w="100"/>
              <w:bottom w:type="dxa" w:w="80"/>
              <w:right w:type="dxa" w:w="100"/>
            </w:tcMar>
          </w:tcPr>
          <w:p>
            <w:pPr>
              <w:jc w:val="left"/>
            </w:pPr>
            <w:r>
              <w:rPr>
                <w:b w:val="false"/>
                <w:bCs w:val="false"/>
              </w:rPr>
              <w:t xml:space="preserve">Per-column decision ledger</w:t>
            </w:r>
          </w:p>
        </w:tc>
        <w:tc>
          <w:tcPr>
            <w:tcW w:type="dxa" w:w="1700"/>
            <w:tcMar>
              <w:top w:type="dxa" w:w="80"/>
              <w:left w:type="dxa" w:w="100"/>
              <w:bottom w:type="dxa" w:w="80"/>
              <w:right w:type="dxa" w:w="100"/>
            </w:tcMar>
          </w:tcPr>
          <w:p>
            <w:pPr>
              <w:jc w:val="left"/>
            </w:pPr>
            <w:r>
              <w:rPr>
                <w:b w:val="false"/>
                <w:bCs w:val="false"/>
              </w:rPr>
              <w:t xml:space="preserve">Executive Sponsor / Governance Board</w:t>
            </w:r>
          </w:p>
        </w:tc>
        <w:tc>
          <w:tcPr>
            <w:tcW w:type="dxa" w:w="1800"/>
            <w:tcMar>
              <w:top w:type="dxa" w:w="80"/>
              <w:left w:type="dxa" w:w="100"/>
              <w:bottom w:type="dxa" w:w="80"/>
              <w:right w:type="dxa" w:w="100"/>
            </w:tcMar>
          </w:tcPr>
          <w:p>
            <w:pPr>
              <w:jc w:val="left"/>
            </w:pPr>
            <w:r>
              <w:rPr>
                <w:b w:val="false"/>
                <w:bCs w:val="false"/>
              </w:rPr>
              <w:t xml:space="preserve">Zero unreviewed columns</w:t>
            </w:r>
          </w:p>
        </w:tc>
      </w:tr>
      <w:tr>
        <w:tc>
          <w:tcPr>
            <w:tcW w:type="dxa" w:w="1900"/>
            <w:tcMar>
              <w:top w:type="dxa" w:w="80"/>
              <w:left w:type="dxa" w:w="100"/>
              <w:bottom w:type="dxa" w:w="80"/>
              <w:right w:type="dxa" w:w="100"/>
            </w:tcMar>
          </w:tcPr>
          <w:p>
            <w:pPr>
              <w:jc w:val="left"/>
            </w:pPr>
            <w:r>
              <w:rPr>
                <w:b w:val="false"/>
                <w:bCs w:val="false"/>
              </w:rPr>
              <w:t xml:space="preserve">Ownership assignment (WP-0006)</w:t>
            </w:r>
          </w:p>
        </w:tc>
        <w:tc>
          <w:tcPr>
            <w:tcW w:type="dxa" w:w="1900"/>
            <w:tcMar>
              <w:top w:type="dxa" w:w="80"/>
              <w:left w:type="dxa" w:w="100"/>
              <w:bottom w:type="dxa" w:w="80"/>
              <w:right w:type="dxa" w:w="100"/>
            </w:tcMar>
          </w:tcPr>
          <w:p>
            <w:pPr>
              <w:jc w:val="left"/>
            </w:pPr>
            <w:r>
              <w:rPr>
                <w:b w:val="false"/>
                <w:bCs w:val="false"/>
              </w:rPr>
              <w:t xml:space="preserve">Executive Sponsor / Governance Board</w:t>
            </w:r>
          </w:p>
        </w:tc>
        <w:tc>
          <w:tcPr>
            <w:tcW w:type="dxa" w:w="2200"/>
            <w:tcMar>
              <w:top w:type="dxa" w:w="80"/>
              <w:left w:type="dxa" w:w="100"/>
              <w:bottom w:type="dxa" w:w="80"/>
              <w:right w:type="dxa" w:w="100"/>
            </w:tcMar>
          </w:tcPr>
          <w:p>
            <w:pPr>
              <w:jc w:val="left"/>
            </w:pPr>
            <w:r>
              <w:rPr>
                <w:b w:val="false"/>
                <w:bCs w:val="false"/>
              </w:rPr>
              <w:t xml:space="preserve">Named-owner governance record</w:t>
            </w:r>
          </w:p>
        </w:tc>
        <w:tc>
          <w:tcPr>
            <w:tcW w:type="dxa" w:w="1700"/>
            <w:tcMar>
              <w:top w:type="dxa" w:w="80"/>
              <w:left w:type="dxa" w:w="100"/>
              <w:bottom w:type="dxa" w:w="80"/>
              <w:right w:type="dxa" w:w="100"/>
            </w:tcMar>
          </w:tcPr>
          <w:p>
            <w:pPr>
              <w:jc w:val="left"/>
            </w:pPr>
            <w:r>
              <w:rPr>
                <w:b w:val="false"/>
                <w:bCs w:val="false"/>
              </w:rPr>
              <w:t xml:space="preserve">Executive Sponsor / Governance Board (self-executing)</w:t>
            </w:r>
          </w:p>
        </w:tc>
        <w:tc>
          <w:tcPr>
            <w:tcW w:type="dxa" w:w="1800"/>
            <w:tcMar>
              <w:top w:type="dxa" w:w="80"/>
              <w:left w:type="dxa" w:w="100"/>
              <w:bottom w:type="dxa" w:w="80"/>
              <w:right w:type="dxa" w:w="100"/>
            </w:tcMar>
          </w:tcPr>
          <w:p>
            <w:pPr>
              <w:jc w:val="left"/>
            </w:pPr>
            <w:r>
              <w:rPr>
                <w:b w:val="false"/>
                <w:bCs w:val="false"/>
              </w:rPr>
              <w:t xml:space="preserve">KPI-08 = 100%</w:t>
            </w:r>
          </w:p>
        </w:tc>
      </w:tr>
    </w:tbl>
    <w:p>
      <w:r>
        <w:br w:type="page"/>
      </w:r>
    </w:p>
    <w:p>
      <w:pPr>
        <w:pStyle w:val="Heading1"/>
        <w:spacing w:after="160" w:before="360"/>
      </w:pPr>
      <w:r>
        <w:t xml:space="preserve">7. Architecture Traceability Validation</w:t>
      </w:r>
    </w:p>
    <w:p>
      <w:pPr>
        <w:spacing w:after="140"/>
      </w:pPr>
      <w:r>
        <w:t xml:space="preserve">Traceability for every Work Package is verified against the identical chain Phase A.3 §7 established and Phase B §8, Section 1 §11, Section 3 §8, Section 4 §8, and Section 5 §8 each extended by one additional link. This document adds no new link and recreates no identifier; it confirms the chain remains unbroken through certification.</w:t>
      </w:r>
    </w:p>
    <w:p>
      <w:pPr>
        <w:spacing w:after="140"/>
      </w:pPr>
      <w:r>
        <w:rPr>
          <w:i/>
          <w:iCs/>
        </w:rPr>
        <w:t xml:space="preserve">Work Package → Architecture Requirement → Enterprise Governance Decision → Repository → Engineering Design → Implementation Activity → Verification Evidence → Acceptance Criteria → Certification Level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700"/>
        <w:gridCol w:w="2100"/>
        <w:gridCol w:w="1900"/>
        <w:gridCol w:w="900"/>
      </w:tblGrid>
      <w:tr>
        <w:trPr>
          <w:tblHeader/>
        </w:trPr>
        <w:tc>
          <w:tcPr>
            <w:tcW w:type="dxa" w:w="1000"/>
            <w:shd w:fill="D9D9D9" w:val="clear"/>
            <w:tcMar>
              <w:top w:type="dxa" w:w="80"/>
              <w:left w:type="dxa" w:w="100"/>
              <w:bottom w:type="dxa" w:w="80"/>
              <w:right w:type="dxa" w:w="100"/>
            </w:tcMar>
          </w:tcPr>
          <w:p>
            <w:pPr>
              <w:jc w:val="left"/>
            </w:pPr>
            <w:r>
              <w:rPr>
                <w:b/>
                <w:bCs/>
              </w:rPr>
              <w:t xml:space="preserve">WP</w:t>
            </w:r>
          </w:p>
        </w:tc>
        <w:tc>
          <w:tcPr>
            <w:tcW w:type="dxa" w:w="1000"/>
            <w:shd w:fill="D9D9D9" w:val="clear"/>
            <w:tcMar>
              <w:top w:type="dxa" w:w="80"/>
              <w:left w:type="dxa" w:w="100"/>
              <w:bottom w:type="dxa" w:w="80"/>
              <w:right w:type="dxa" w:w="100"/>
            </w:tcMar>
          </w:tcPr>
          <w:p>
            <w:pPr>
              <w:jc w:val="left"/>
            </w:pPr>
            <w:r>
              <w:rPr>
                <w:b/>
                <w:bCs/>
              </w:rPr>
              <w:t xml:space="preserve">AR</w:t>
            </w:r>
          </w:p>
        </w:tc>
        <w:tc>
          <w:tcPr>
            <w:tcW w:type="dxa" w:w="1000"/>
            <w:shd w:fill="D9D9D9" w:val="clear"/>
            <w:tcMar>
              <w:top w:type="dxa" w:w="80"/>
              <w:left w:type="dxa" w:w="100"/>
              <w:bottom w:type="dxa" w:w="80"/>
              <w:right w:type="dxa" w:w="100"/>
            </w:tcMar>
          </w:tcPr>
          <w:p>
            <w:pPr>
              <w:jc w:val="left"/>
            </w:pPr>
            <w:r>
              <w:rPr>
                <w:b/>
                <w:bCs/>
              </w:rPr>
              <w:t xml:space="preserve">EGD</w:t>
            </w:r>
          </w:p>
        </w:tc>
        <w:tc>
          <w:tcPr>
            <w:tcW w:type="dxa" w:w="1700"/>
            <w:shd w:fill="D9D9D9" w:val="clear"/>
            <w:tcMar>
              <w:top w:type="dxa" w:w="80"/>
              <w:left w:type="dxa" w:w="100"/>
              <w:bottom w:type="dxa" w:w="80"/>
              <w:right w:type="dxa" w:w="100"/>
            </w:tcMar>
          </w:tcPr>
          <w:p>
            <w:pPr>
              <w:jc w:val="left"/>
            </w:pPr>
            <w:r>
              <w:rPr>
                <w:b/>
                <w:bCs/>
              </w:rPr>
              <w:t xml:space="preserve">Repository</w:t>
            </w:r>
          </w:p>
        </w:tc>
        <w:tc>
          <w:tcPr>
            <w:tcW w:type="dxa" w:w="2100"/>
            <w:shd w:fill="D9D9D9" w:val="clear"/>
            <w:tcMar>
              <w:top w:type="dxa" w:w="80"/>
              <w:left w:type="dxa" w:w="100"/>
              <w:bottom w:type="dxa" w:w="80"/>
              <w:right w:type="dxa" w:w="100"/>
            </w:tcMar>
          </w:tcPr>
          <w:p>
            <w:pPr>
              <w:jc w:val="left"/>
            </w:pPr>
            <w:r>
              <w:rPr>
                <w:b/>
                <w:bCs/>
              </w:rPr>
              <w:t xml:space="preserve">Verification Method</w:t>
            </w:r>
          </w:p>
        </w:tc>
        <w:tc>
          <w:tcPr>
            <w:tcW w:type="dxa" w:w="1900"/>
            <w:shd w:fill="D9D9D9" w:val="clear"/>
            <w:tcMar>
              <w:top w:type="dxa" w:w="80"/>
              <w:left w:type="dxa" w:w="100"/>
              <w:bottom w:type="dxa" w:w="80"/>
              <w:right w:type="dxa" w:w="100"/>
            </w:tcMar>
          </w:tcPr>
          <w:p>
            <w:pPr>
              <w:jc w:val="left"/>
            </w:pPr>
            <w:r>
              <w:rPr>
                <w:b/>
                <w:bCs/>
              </w:rPr>
              <w:t xml:space="preserve">Acceptance Criteria</w:t>
            </w:r>
          </w:p>
        </w:tc>
        <w:tc>
          <w:tcPr>
            <w:tcW w:type="dxa" w:w="900"/>
            <w:shd w:fill="D9D9D9" w:val="clear"/>
            <w:tcMar>
              <w:top w:type="dxa" w:w="80"/>
              <w:left w:type="dxa" w:w="100"/>
              <w:bottom w:type="dxa" w:w="80"/>
              <w:right w:type="dxa" w:w="100"/>
            </w:tcMar>
          </w:tcPr>
          <w:p>
            <w:pPr>
              <w:jc w:val="left"/>
            </w:pPr>
            <w:r>
              <w:rPr>
                <w:b/>
                <w:bCs/>
              </w:rPr>
              <w:t xml:space="preserve">Cert. Level</w:t>
            </w:r>
          </w:p>
        </w:tc>
      </w:tr>
      <w:tr>
        <w:tc>
          <w:tcPr>
            <w:tcW w:type="dxa" w:w="1000"/>
            <w:tcMar>
              <w:top w:type="dxa" w:w="80"/>
              <w:left w:type="dxa" w:w="100"/>
              <w:bottom w:type="dxa" w:w="80"/>
              <w:right w:type="dxa" w:w="100"/>
            </w:tcMar>
          </w:tcPr>
          <w:p>
            <w:pPr>
              <w:jc w:val="left"/>
            </w:pPr>
            <w:r>
              <w:rPr>
                <w:b w:val="false"/>
                <w:bCs w:val="false"/>
              </w:rPr>
              <w:t xml:space="preserve">WP-0001</w:t>
            </w:r>
          </w:p>
        </w:tc>
        <w:tc>
          <w:tcPr>
            <w:tcW w:type="dxa" w:w="1000"/>
            <w:tcMar>
              <w:top w:type="dxa" w:w="80"/>
              <w:left w:type="dxa" w:w="100"/>
              <w:bottom w:type="dxa" w:w="80"/>
              <w:right w:type="dxa" w:w="100"/>
            </w:tcMar>
          </w:tcPr>
          <w:p>
            <w:pPr>
              <w:jc w:val="left"/>
            </w:pPr>
            <w:r>
              <w:rPr>
                <w:b w:val="false"/>
                <w:bCs w:val="false"/>
              </w:rPr>
              <w:t xml:space="preserve">AR-0002</w:t>
            </w:r>
          </w:p>
        </w:tc>
        <w:tc>
          <w:tcPr>
            <w:tcW w:type="dxa" w:w="1000"/>
            <w:tcMar>
              <w:top w:type="dxa" w:w="80"/>
              <w:left w:type="dxa" w:w="100"/>
              <w:bottom w:type="dxa" w:w="80"/>
              <w:right w:type="dxa" w:w="100"/>
            </w:tcMar>
          </w:tcPr>
          <w:p>
            <w:pPr>
              <w:jc w:val="left"/>
            </w:pPr>
            <w:r>
              <w:rPr>
                <w:b w:val="false"/>
                <w:bCs w:val="false"/>
              </w:rPr>
              <w:t xml:space="preserve">EGD-0002</w:t>
            </w:r>
          </w:p>
        </w:tc>
        <w:tc>
          <w:tcPr>
            <w:tcW w:type="dxa" w:w="1700"/>
            <w:tcMar>
              <w:top w:type="dxa" w:w="80"/>
              <w:left w:type="dxa" w:w="100"/>
              <w:bottom w:type="dxa" w:w="80"/>
              <w:right w:type="dxa" w:w="100"/>
            </w:tcMar>
          </w:tcPr>
          <w:p>
            <w:pPr>
              <w:jc w:val="left"/>
            </w:pPr>
            <w:r>
              <w:rPr>
                <w:b w:val="false"/>
                <w:bCs w:val="false"/>
              </w:rPr>
              <w:t xml:space="preserve">Documentation</w:t>
            </w:r>
          </w:p>
        </w:tc>
        <w:tc>
          <w:tcPr>
            <w:tcW w:type="dxa" w:w="2100"/>
            <w:tcMar>
              <w:top w:type="dxa" w:w="80"/>
              <w:left w:type="dxa" w:w="100"/>
              <w:bottom w:type="dxa" w:w="80"/>
              <w:right w:type="dxa" w:w="100"/>
            </w:tcMar>
          </w:tcPr>
          <w:p>
            <w:pPr>
              <w:jc w:val="left"/>
            </w:pPr>
            <w:r>
              <w:rPr>
                <w:b w:val="false"/>
                <w:bCs w:val="false"/>
              </w:rPr>
              <w:t xml:space="preserve">Table inventory diff, zero discrepancies</w:t>
            </w:r>
          </w:p>
        </w:tc>
        <w:tc>
          <w:tcPr>
            <w:tcW w:type="dxa" w:w="1900"/>
            <w:tcMar>
              <w:top w:type="dxa" w:w="80"/>
              <w:left w:type="dxa" w:w="100"/>
              <w:bottom w:type="dxa" w:w="80"/>
              <w:right w:type="dxa" w:w="100"/>
            </w:tcMar>
          </w:tcPr>
          <w:p>
            <w:pPr>
              <w:jc w:val="left"/>
            </w:pPr>
            <w:r>
              <w:rPr>
                <w:b w:val="false"/>
                <w:bCs w:val="false"/>
              </w:rPr>
              <w:t xml:space="preserve">KPI-02 = 100; AR-0002 traceability advances</w:t>
            </w:r>
          </w:p>
        </w:tc>
        <w:tc>
          <w:tcPr>
            <w:tcW w:type="dxa" w:w="900"/>
            <w:tcMar>
              <w:top w:type="dxa" w:w="80"/>
              <w:left w:type="dxa" w:w="100"/>
              <w:bottom w:type="dxa" w:w="80"/>
              <w:right w:type="dxa" w:w="100"/>
            </w:tcMar>
          </w:tcPr>
          <w:p>
            <w:pPr>
              <w:jc w:val="left"/>
            </w:pPr>
            <w:r>
              <w:rPr>
                <w:b w:val="false"/>
                <w:bCs w:val="false"/>
              </w:rPr>
              <w:t xml:space="preserve">L4 (pending)</w:t>
            </w:r>
          </w:p>
        </w:tc>
      </w:tr>
      <w:tr>
        <w:tc>
          <w:tcPr>
            <w:tcW w:type="dxa" w:w="1000"/>
            <w:tcMar>
              <w:top w:type="dxa" w:w="80"/>
              <w:left w:type="dxa" w:w="100"/>
              <w:bottom w:type="dxa" w:w="80"/>
              <w:right w:type="dxa" w:w="100"/>
            </w:tcMar>
          </w:tcPr>
          <w:p>
            <w:pPr>
              <w:jc w:val="left"/>
            </w:pPr>
            <w:r>
              <w:rPr>
                <w:b w:val="false"/>
                <w:bCs w:val="false"/>
              </w:rPr>
              <w:t xml:space="preserve">WP-0002</w:t>
            </w:r>
          </w:p>
        </w:tc>
        <w:tc>
          <w:tcPr>
            <w:tcW w:type="dxa" w:w="1000"/>
            <w:tcMar>
              <w:top w:type="dxa" w:w="80"/>
              <w:left w:type="dxa" w:w="100"/>
              <w:bottom w:type="dxa" w:w="80"/>
              <w:right w:type="dxa" w:w="100"/>
            </w:tcMar>
          </w:tcPr>
          <w:p>
            <w:pPr>
              <w:jc w:val="left"/>
            </w:pPr>
            <w:r>
              <w:rPr>
                <w:b w:val="false"/>
                <w:bCs w:val="false"/>
              </w:rPr>
              <w:t xml:space="preserve">AR-0007</w:t>
            </w:r>
          </w:p>
        </w:tc>
        <w:tc>
          <w:tcPr>
            <w:tcW w:type="dxa" w:w="1000"/>
            <w:tcMar>
              <w:top w:type="dxa" w:w="80"/>
              <w:left w:type="dxa" w:w="100"/>
              <w:bottom w:type="dxa" w:w="80"/>
              <w:right w:type="dxa" w:w="100"/>
            </w:tcMar>
          </w:tcPr>
          <w:p>
            <w:pPr>
              <w:jc w:val="left"/>
            </w:pPr>
            <w:r>
              <w:rPr>
                <w:b w:val="false"/>
                <w:bCs w:val="false"/>
              </w:rPr>
              <w:t xml:space="preserve">EGD-0007</w:t>
            </w:r>
          </w:p>
        </w:tc>
        <w:tc>
          <w:tcPr>
            <w:tcW w:type="dxa" w:w="1700"/>
            <w:tcMar>
              <w:top w:type="dxa" w:w="80"/>
              <w:left w:type="dxa" w:w="100"/>
              <w:bottom w:type="dxa" w:w="80"/>
              <w:right w:type="dxa" w:w="100"/>
            </w:tcMar>
          </w:tcPr>
          <w:p>
            <w:pPr>
              <w:jc w:val="left"/>
            </w:pPr>
            <w:r>
              <w:rPr>
                <w:b w:val="false"/>
                <w:bCs w:val="false"/>
              </w:rPr>
              <w:t xml:space="preserve">Database + Test</w:t>
            </w:r>
          </w:p>
        </w:tc>
        <w:tc>
          <w:tcPr>
            <w:tcW w:type="dxa" w:w="2100"/>
            <w:tcMar>
              <w:top w:type="dxa" w:w="80"/>
              <w:left w:type="dxa" w:w="100"/>
              <w:bottom w:type="dxa" w:w="80"/>
              <w:right w:type="dxa" w:w="100"/>
            </w:tcMar>
          </w:tcPr>
          <w:p>
            <w:pPr>
              <w:jc w:val="left"/>
            </w:pPr>
            <w:r>
              <w:rPr>
                <w:b w:val="false"/>
                <w:bCs w:val="false"/>
              </w:rPr>
              <w:t xml:space="preserve">Query-based verification with written evidence</w:t>
            </w:r>
          </w:p>
        </w:tc>
        <w:tc>
          <w:tcPr>
            <w:tcW w:type="dxa" w:w="1900"/>
            <w:tcMar>
              <w:top w:type="dxa" w:w="80"/>
              <w:left w:type="dxa" w:w="100"/>
              <w:bottom w:type="dxa" w:w="80"/>
              <w:right w:type="dxa" w:w="100"/>
            </w:tcMar>
          </w:tcPr>
          <w:p>
            <w:pPr>
              <w:jc w:val="left"/>
            </w:pPr>
            <w:r>
              <w:rPr>
                <w:b w:val="false"/>
                <w:bCs w:val="false"/>
              </w:rPr>
              <w:t xml:space="preserve">KPI-06 = 100% confirmed; KPI-09 Critical class → 0</w:t>
            </w:r>
          </w:p>
        </w:tc>
        <w:tc>
          <w:tcPr>
            <w:tcW w:type="dxa" w:w="900"/>
            <w:tcMar>
              <w:top w:type="dxa" w:w="80"/>
              <w:left w:type="dxa" w:w="100"/>
              <w:bottom w:type="dxa" w:w="80"/>
              <w:right w:type="dxa" w:w="100"/>
            </w:tcMar>
          </w:tcPr>
          <w:p>
            <w:pPr>
              <w:jc w:val="left"/>
            </w:pPr>
            <w:r>
              <w:rPr>
                <w:b w:val="false"/>
                <w:bCs w:val="false"/>
              </w:rPr>
              <w:t xml:space="preserve">L4 (pending)</w:t>
            </w:r>
          </w:p>
        </w:tc>
      </w:tr>
      <w:tr>
        <w:tc>
          <w:tcPr>
            <w:tcW w:type="dxa" w:w="1000"/>
            <w:tcMar>
              <w:top w:type="dxa" w:w="80"/>
              <w:left w:type="dxa" w:w="100"/>
              <w:bottom w:type="dxa" w:w="80"/>
              <w:right w:type="dxa" w:w="100"/>
            </w:tcMar>
          </w:tcPr>
          <w:p>
            <w:pPr>
              <w:jc w:val="left"/>
            </w:pPr>
            <w:r>
              <w:rPr>
                <w:b w:val="false"/>
                <w:bCs w:val="false"/>
              </w:rPr>
              <w:t xml:space="preserve">WP-0003</w:t>
            </w:r>
          </w:p>
        </w:tc>
        <w:tc>
          <w:tcPr>
            <w:tcW w:type="dxa" w:w="1000"/>
            <w:tcMar>
              <w:top w:type="dxa" w:w="80"/>
              <w:left w:type="dxa" w:w="100"/>
              <w:bottom w:type="dxa" w:w="80"/>
              <w:right w:type="dxa" w:w="100"/>
            </w:tcMar>
          </w:tcPr>
          <w:p>
            <w:pPr>
              <w:jc w:val="left"/>
            </w:pPr>
            <w:r>
              <w:rPr>
                <w:b w:val="false"/>
                <w:bCs w:val="false"/>
              </w:rPr>
              <w:t xml:space="preserve">AR-0004</w:t>
            </w:r>
          </w:p>
        </w:tc>
        <w:tc>
          <w:tcPr>
            <w:tcW w:type="dxa" w:w="1000"/>
            <w:tcMar>
              <w:top w:type="dxa" w:w="80"/>
              <w:left w:type="dxa" w:w="100"/>
              <w:bottom w:type="dxa" w:w="80"/>
              <w:right w:type="dxa" w:w="100"/>
            </w:tcMar>
          </w:tcPr>
          <w:p>
            <w:pPr>
              <w:jc w:val="left"/>
            </w:pPr>
            <w:r>
              <w:rPr>
                <w:b w:val="false"/>
                <w:bCs w:val="false"/>
              </w:rPr>
              <w:t xml:space="preserve">EGD-0004 (conditional)</w:t>
            </w:r>
          </w:p>
        </w:tc>
        <w:tc>
          <w:tcPr>
            <w:tcW w:type="dxa" w:w="1700"/>
            <w:tcMar>
              <w:top w:type="dxa" w:w="80"/>
              <w:left w:type="dxa" w:w="100"/>
              <w:bottom w:type="dxa" w:w="80"/>
              <w:right w:type="dxa" w:w="100"/>
            </w:tcMar>
          </w:tcPr>
          <w:p>
            <w:pPr>
              <w:jc w:val="left"/>
            </w:pPr>
            <w:r>
              <w:rPr>
                <w:b w:val="false"/>
                <w:bCs w:val="false"/>
              </w:rPr>
              <w:t xml:space="preserve">Database</w:t>
            </w:r>
          </w:p>
        </w:tc>
        <w:tc>
          <w:tcPr>
            <w:tcW w:type="dxa" w:w="2100"/>
            <w:tcMar>
              <w:top w:type="dxa" w:w="80"/>
              <w:left w:type="dxa" w:w="100"/>
              <w:bottom w:type="dxa" w:w="80"/>
              <w:right w:type="dxa" w:w="100"/>
            </w:tcMar>
          </w:tcPr>
          <w:p>
            <w:pPr>
              <w:jc w:val="left"/>
            </w:pPr>
            <w:r>
              <w:rPr>
                <w:b w:val="false"/>
                <w:bCs w:val="false"/>
              </w:rPr>
              <w:t xml:space="preserve">Quarterly row-count/latency check against trigger</w:t>
            </w:r>
          </w:p>
        </w:tc>
        <w:tc>
          <w:tcPr>
            <w:tcW w:type="dxa" w:w="1900"/>
            <w:tcMar>
              <w:top w:type="dxa" w:w="80"/>
              <w:left w:type="dxa" w:w="100"/>
              <w:bottom w:type="dxa" w:w="80"/>
              <w:right w:type="dxa" w:w="100"/>
            </w:tcMar>
          </w:tcPr>
          <w:p>
            <w:pPr>
              <w:jc w:val="left"/>
            </w:pPr>
            <w:r>
              <w:rPr>
                <w:b w:val="false"/>
                <w:bCs w:val="false"/>
              </w:rPr>
              <w:t xml:space="preserve">Quarterly monitoring current; migration (if triggered) meets AR-0010 with zero rollback failures</w:t>
            </w:r>
          </w:p>
        </w:tc>
        <w:tc>
          <w:tcPr>
            <w:tcW w:type="dxa" w:w="900"/>
            <w:tcMar>
              <w:top w:type="dxa" w:w="80"/>
              <w:left w:type="dxa" w:w="100"/>
              <w:bottom w:type="dxa" w:w="80"/>
              <w:right w:type="dxa" w:w="100"/>
            </w:tcMar>
          </w:tcPr>
          <w:p>
            <w:pPr>
              <w:jc w:val="left"/>
            </w:pPr>
            <w:r>
              <w:rPr>
                <w:b w:val="false"/>
                <w:bCs w:val="false"/>
              </w:rPr>
              <w:t xml:space="preserve">L3 (standing); L4 if triggered and verified</w:t>
            </w:r>
          </w:p>
        </w:tc>
      </w:tr>
      <w:tr>
        <w:tc>
          <w:tcPr>
            <w:tcW w:type="dxa" w:w="1000"/>
            <w:tcMar>
              <w:top w:type="dxa" w:w="80"/>
              <w:left w:type="dxa" w:w="100"/>
              <w:bottom w:type="dxa" w:w="80"/>
              <w:right w:type="dxa" w:w="100"/>
            </w:tcMar>
          </w:tcPr>
          <w:p>
            <w:pPr>
              <w:jc w:val="left"/>
            </w:pPr>
            <w:r>
              <w:rPr>
                <w:b w:val="false"/>
                <w:bCs w:val="false"/>
              </w:rPr>
              <w:t xml:space="preserve">WP-0004</w:t>
            </w:r>
          </w:p>
        </w:tc>
        <w:tc>
          <w:tcPr>
            <w:tcW w:type="dxa" w:w="1000"/>
            <w:tcMar>
              <w:top w:type="dxa" w:w="80"/>
              <w:left w:type="dxa" w:w="100"/>
              <w:bottom w:type="dxa" w:w="80"/>
              <w:right w:type="dxa" w:w="100"/>
            </w:tcMar>
          </w:tcPr>
          <w:p>
            <w:pPr>
              <w:jc w:val="left"/>
            </w:pPr>
            <w:r>
              <w:rPr>
                <w:b w:val="false"/>
                <w:bCs w:val="false"/>
              </w:rPr>
              <w:t xml:space="preserve">AR-0003</w:t>
            </w:r>
          </w:p>
        </w:tc>
        <w:tc>
          <w:tcPr>
            <w:tcW w:type="dxa" w:w="1000"/>
            <w:tcMar>
              <w:top w:type="dxa" w:w="80"/>
              <w:left w:type="dxa" w:w="100"/>
              <w:bottom w:type="dxa" w:w="80"/>
              <w:right w:type="dxa" w:w="100"/>
            </w:tcMar>
          </w:tcPr>
          <w:p>
            <w:pPr>
              <w:jc w:val="left"/>
            </w:pPr>
            <w:r>
              <w:rPr>
                <w:b w:val="false"/>
                <w:bCs w:val="false"/>
              </w:rPr>
              <w:t xml:space="preserve">EGD-0003</w:t>
            </w:r>
          </w:p>
        </w:tc>
        <w:tc>
          <w:tcPr>
            <w:tcW w:type="dxa" w:w="1700"/>
            <w:tcMar>
              <w:top w:type="dxa" w:w="80"/>
              <w:left w:type="dxa" w:w="100"/>
              <w:bottom w:type="dxa" w:w="80"/>
              <w:right w:type="dxa" w:w="100"/>
            </w:tcMar>
          </w:tcPr>
          <w:p>
            <w:pPr>
              <w:jc w:val="left"/>
            </w:pPr>
            <w:r>
              <w:rPr>
                <w:b w:val="false"/>
                <w:bCs w:val="false"/>
              </w:rPr>
              <w:t xml:space="preserve">Documentation + Test</w:t>
            </w:r>
          </w:p>
        </w:tc>
        <w:tc>
          <w:tcPr>
            <w:tcW w:type="dxa" w:w="2100"/>
            <w:tcMar>
              <w:top w:type="dxa" w:w="80"/>
              <w:left w:type="dxa" w:w="100"/>
              <w:bottom w:type="dxa" w:w="80"/>
              <w:right w:type="dxa" w:w="100"/>
            </w:tcMar>
          </w:tcPr>
          <w:p>
            <w:pPr>
              <w:jc w:val="left"/>
            </w:pPr>
            <w:r>
              <w:rPr>
                <w:b w:val="false"/>
                <w:bCs w:val="false"/>
              </w:rPr>
              <w:t xml:space="preserve">Per-release automated denormalization check</w:t>
            </w:r>
          </w:p>
        </w:tc>
        <w:tc>
          <w:tcPr>
            <w:tcW w:type="dxa" w:w="1900"/>
            <w:tcMar>
              <w:top w:type="dxa" w:w="80"/>
              <w:left w:type="dxa" w:w="100"/>
              <w:bottom w:type="dxa" w:w="80"/>
              <w:right w:type="dxa" w:w="100"/>
            </w:tcMar>
          </w:tcPr>
          <w:p>
            <w:pPr>
              <w:jc w:val="left"/>
            </w:pPr>
            <w:r>
              <w:rPr>
                <w:b w:val="false"/>
                <w:bCs w:val="false"/>
              </w:rPr>
              <w:t xml:space="preserve">Zero violations in check's operating history; KPI-04 stable or declining</w:t>
            </w:r>
          </w:p>
        </w:tc>
        <w:tc>
          <w:tcPr>
            <w:tcW w:type="dxa" w:w="900"/>
            <w:tcMar>
              <w:top w:type="dxa" w:w="80"/>
              <w:left w:type="dxa" w:w="100"/>
              <w:bottom w:type="dxa" w:w="80"/>
              <w:right w:type="dxa" w:w="100"/>
            </w:tcMar>
          </w:tcPr>
          <w:p>
            <w:pPr>
              <w:jc w:val="left"/>
            </w:pPr>
            <w:r>
              <w:rPr>
                <w:b w:val="false"/>
                <w:bCs w:val="false"/>
              </w:rPr>
              <w:t xml:space="preserve">L4 (pending)</w:t>
            </w:r>
          </w:p>
        </w:tc>
      </w:tr>
      <w:tr>
        <w:tc>
          <w:tcPr>
            <w:tcW w:type="dxa" w:w="1000"/>
            <w:tcMar>
              <w:top w:type="dxa" w:w="80"/>
              <w:left w:type="dxa" w:w="100"/>
              <w:bottom w:type="dxa" w:w="80"/>
              <w:right w:type="dxa" w:w="100"/>
            </w:tcMar>
          </w:tcPr>
          <w:p>
            <w:pPr>
              <w:jc w:val="left"/>
            </w:pPr>
            <w:r>
              <w:rPr>
                <w:b w:val="false"/>
                <w:bCs w:val="false"/>
              </w:rPr>
              <w:t xml:space="preserve">WP-0005</w:t>
            </w:r>
          </w:p>
        </w:tc>
        <w:tc>
          <w:tcPr>
            <w:tcW w:type="dxa" w:w="1000"/>
            <w:tcMar>
              <w:top w:type="dxa" w:w="80"/>
              <w:left w:type="dxa" w:w="100"/>
              <w:bottom w:type="dxa" w:w="80"/>
              <w:right w:type="dxa" w:w="100"/>
            </w:tcMar>
          </w:tcPr>
          <w:p>
            <w:pPr>
              <w:jc w:val="left"/>
            </w:pPr>
            <w:r>
              <w:rPr>
                <w:b w:val="false"/>
                <w:bCs w:val="false"/>
              </w:rPr>
              <w:t xml:space="preserve">AR-0007 (ext.)</w:t>
            </w:r>
          </w:p>
        </w:tc>
        <w:tc>
          <w:tcPr>
            <w:tcW w:type="dxa" w:w="1000"/>
            <w:tcMar>
              <w:top w:type="dxa" w:w="80"/>
              <w:left w:type="dxa" w:w="100"/>
              <w:bottom w:type="dxa" w:w="80"/>
              <w:right w:type="dxa" w:w="100"/>
            </w:tcMar>
          </w:tcPr>
          <w:p>
            <w:pPr>
              <w:jc w:val="left"/>
            </w:pPr>
            <w:r>
              <w:rPr>
                <w:b w:val="false"/>
                <w:bCs w:val="false"/>
              </w:rPr>
              <w:t xml:space="preserve">EGD-0007</w:t>
            </w:r>
          </w:p>
        </w:tc>
        <w:tc>
          <w:tcPr>
            <w:tcW w:type="dxa" w:w="1700"/>
            <w:tcMar>
              <w:top w:type="dxa" w:w="80"/>
              <w:left w:type="dxa" w:w="100"/>
              <w:bottom w:type="dxa" w:w="80"/>
              <w:right w:type="dxa" w:w="100"/>
            </w:tcMar>
          </w:tcPr>
          <w:p>
            <w:pPr>
              <w:jc w:val="left"/>
            </w:pPr>
            <w:r>
              <w:rPr>
                <w:b w:val="false"/>
                <w:bCs w:val="false"/>
              </w:rPr>
              <w:t xml:space="preserve">Database + Test</w:t>
            </w:r>
          </w:p>
        </w:tc>
        <w:tc>
          <w:tcPr>
            <w:tcW w:type="dxa" w:w="2100"/>
            <w:tcMar>
              <w:top w:type="dxa" w:w="80"/>
              <w:left w:type="dxa" w:w="100"/>
              <w:bottom w:type="dxa" w:w="80"/>
              <w:right w:type="dxa" w:w="100"/>
            </w:tcMar>
          </w:tcPr>
          <w:p>
            <w:pPr>
              <w:jc w:val="left"/>
            </w:pPr>
            <w:r>
              <w:rPr>
                <w:b w:val="false"/>
                <w:bCs w:val="false"/>
              </w:rPr>
              <w:t xml:space="preserve">Review findings using WP-0002 template</w:t>
            </w:r>
          </w:p>
        </w:tc>
        <w:tc>
          <w:tcPr>
            <w:tcW w:type="dxa" w:w="1900"/>
            <w:tcMar>
              <w:top w:type="dxa" w:w="80"/>
              <w:left w:type="dxa" w:w="100"/>
              <w:bottom w:type="dxa" w:w="80"/>
              <w:right w:type="dxa" w:w="100"/>
            </w:tcMar>
          </w:tcPr>
          <w:p>
            <w:pPr>
              <w:jc w:val="left"/>
            </w:pPr>
            <w:r>
              <w:rPr>
                <w:b w:val="false"/>
                <w:bCs w:val="false"/>
              </w:rPr>
              <w:t xml:space="preserve">Documented decision for every reviewed column; zero unreviewed columns</w:t>
            </w:r>
          </w:p>
        </w:tc>
        <w:tc>
          <w:tcPr>
            <w:tcW w:type="dxa" w:w="900"/>
            <w:tcMar>
              <w:top w:type="dxa" w:w="80"/>
              <w:left w:type="dxa" w:w="100"/>
              <w:bottom w:type="dxa" w:w="80"/>
              <w:right w:type="dxa" w:w="100"/>
            </w:tcMar>
          </w:tcPr>
          <w:p>
            <w:pPr>
              <w:jc w:val="left"/>
            </w:pPr>
            <w:r>
              <w:rPr>
                <w:b w:val="false"/>
                <w:bCs w:val="false"/>
              </w:rPr>
              <w:t xml:space="preserve">L4 (pending, extension of AR-0007)</w:t>
            </w:r>
          </w:p>
        </w:tc>
      </w:tr>
      <w:tr>
        <w:tc>
          <w:tcPr>
            <w:tcW w:type="dxa" w:w="1000"/>
            <w:tcMar>
              <w:top w:type="dxa" w:w="80"/>
              <w:left w:type="dxa" w:w="100"/>
              <w:bottom w:type="dxa" w:w="80"/>
              <w:right w:type="dxa" w:w="100"/>
            </w:tcMar>
          </w:tcPr>
          <w:p>
            <w:pPr>
              <w:jc w:val="left"/>
            </w:pPr>
            <w:r>
              <w:rPr>
                <w:b w:val="false"/>
                <w:bCs w:val="false"/>
              </w:rPr>
              <w:t xml:space="preserve">WP-0006</w:t>
            </w:r>
          </w:p>
        </w:tc>
        <w:tc>
          <w:tcPr>
            <w:tcW w:type="dxa" w:w="1000"/>
            <w:tcMar>
              <w:top w:type="dxa" w:w="80"/>
              <w:left w:type="dxa" w:w="100"/>
              <w:bottom w:type="dxa" w:w="80"/>
              <w:right w:type="dxa" w:w="100"/>
            </w:tcMar>
          </w:tcPr>
          <w:p>
            <w:pPr>
              <w:jc w:val="left"/>
            </w:pPr>
            <w:r>
              <w:rPr>
                <w:b w:val="false"/>
                <w:bCs w:val="false"/>
              </w:rPr>
              <w:t xml:space="preserve">AP-009 (all)</w:t>
            </w:r>
          </w:p>
        </w:tc>
        <w:tc>
          <w:tcPr>
            <w:tcW w:type="dxa" w:w="1000"/>
            <w:tcMar>
              <w:top w:type="dxa" w:w="80"/>
              <w:left w:type="dxa" w:w="100"/>
              <w:bottom w:type="dxa" w:w="80"/>
              <w:right w:type="dxa" w:w="100"/>
            </w:tcMar>
          </w:tcPr>
          <w:p>
            <w:pPr>
              <w:jc w:val="left"/>
            </w:pPr>
            <w:r>
              <w:rPr>
                <w:b w:val="false"/>
                <w:bCs w:val="false"/>
              </w:rPr>
              <w:t xml:space="preserve">All EGD-0001–0009</w:t>
            </w:r>
          </w:p>
        </w:tc>
        <w:tc>
          <w:tcPr>
            <w:tcW w:type="dxa" w:w="1700"/>
            <w:tcMar>
              <w:top w:type="dxa" w:w="80"/>
              <w:left w:type="dxa" w:w="100"/>
              <w:bottom w:type="dxa" w:w="80"/>
              <w:right w:type="dxa" w:w="100"/>
            </w:tcMar>
          </w:tcPr>
          <w:p>
            <w:pPr>
              <w:jc w:val="left"/>
            </w:pPr>
            <w:r>
              <w:rPr>
                <w:b w:val="false"/>
                <w:bCs w:val="false"/>
              </w:rPr>
              <w:t xml:space="preserve">Governance record only</w:t>
            </w:r>
          </w:p>
        </w:tc>
        <w:tc>
          <w:tcPr>
            <w:tcW w:type="dxa" w:w="2100"/>
            <w:tcMar>
              <w:top w:type="dxa" w:w="80"/>
              <w:left w:type="dxa" w:w="100"/>
              <w:bottom w:type="dxa" w:w="80"/>
              <w:right w:type="dxa" w:w="100"/>
            </w:tcMar>
          </w:tcPr>
          <w:p>
            <w:pPr>
              <w:jc w:val="left"/>
            </w:pPr>
            <w:r>
              <w:rPr>
                <w:b w:val="false"/>
                <w:bCs w:val="false"/>
              </w:rPr>
              <w:t xml:space="preserve">KPI-08 measurement</w:t>
            </w:r>
          </w:p>
        </w:tc>
        <w:tc>
          <w:tcPr>
            <w:tcW w:type="dxa" w:w="1900"/>
            <w:tcMar>
              <w:top w:type="dxa" w:w="80"/>
              <w:left w:type="dxa" w:w="100"/>
              <w:bottom w:type="dxa" w:w="80"/>
              <w:right w:type="dxa" w:w="100"/>
            </w:tcMar>
          </w:tcPr>
          <w:p>
            <w:pPr>
              <w:jc w:val="left"/>
            </w:pPr>
            <w:r>
              <w:rPr>
                <w:b w:val="false"/>
                <w:bCs w:val="false"/>
              </w:rPr>
              <w:t xml:space="preserve">KPI-08 = 100%; zero unassigned owner fields</w:t>
            </w:r>
          </w:p>
        </w:tc>
        <w:tc>
          <w:tcPr>
            <w:tcW w:type="dxa" w:w="900"/>
            <w:tcMar>
              <w:top w:type="dxa" w:w="80"/>
              <w:left w:type="dxa" w:w="100"/>
              <w:bottom w:type="dxa" w:w="80"/>
              <w:right w:type="dxa" w:w="100"/>
            </w:tcMar>
          </w:tcPr>
          <w:p>
            <w:pPr>
              <w:jc w:val="left"/>
            </w:pPr>
            <w:r>
              <w:rPr>
                <w:b w:val="false"/>
                <w:bCs w:val="false"/>
              </w:rPr>
              <w:t xml:space="preserve">Not Applicable — organizational precondition</w:t>
            </w:r>
          </w:p>
        </w:tc>
      </w:tr>
    </w:tbl>
    <w:p>
      <w:pPr>
        <w:spacing w:after="140"/>
      </w:pPr>
      <w:r>
        <w:t xml:space="preserve">No identifier above is recreated; all are reused unchanged from Phase A.3 §7 as extended by Phase B §8, Section 1 §11, Section 3 §8, Section 4 §8, and Section 5 §8.</w:t>
      </w:r>
    </w:p>
    <w:p>
      <w:pPr>
        <w:pStyle w:val="Heading1"/>
        <w:spacing w:after="160" w:before="360"/>
      </w:pPr>
      <w:r>
        <w:t xml:space="preserve">8. Non-Conformance Management</w:t>
      </w:r>
    </w:p>
    <w:p>
      <w:pPr>
        <w:spacing w:after="140"/>
      </w:pPr>
      <w:r>
        <w:t xml:space="preserve">The approved baseline evidences one explicit non-conformance-handling pattern, applied consistently across WP-0002 and WP-0005: a confirmed gap (RLS coverage gap; column-level protection gap) triggers immediate, pre-approved contingency action rather than a new planning cycle (Phase B §10). This document extends that same pattern to the general case rather than inventing a separate one.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D9D9D9" w:val="clear"/>
            <w:tcMar>
              <w:top w:type="dxa" w:w="80"/>
              <w:left w:type="dxa" w:w="100"/>
              <w:bottom w:type="dxa" w:w="80"/>
              <w:right w:type="dxa" w:w="100"/>
            </w:tcMar>
          </w:tcPr>
          <w:p>
            <w:pPr>
              <w:jc w:val="left"/>
            </w:pPr>
            <w:r>
              <w:rPr>
                <w:b/>
                <w:bCs/>
              </w:rPr>
              <w:t xml:space="preserve">Stage</w:t>
            </w:r>
          </w:p>
        </w:tc>
        <w:tc>
          <w:tcPr>
            <w:tcW w:type="dxa" w:w="7400"/>
            <w:shd w:fill="D9D9D9" w:val="clear"/>
            <w:tcMar>
              <w:top w:type="dxa" w:w="80"/>
              <w:left w:type="dxa" w:w="100"/>
              <w:bottom w:type="dxa" w:w="80"/>
              <w:right w:type="dxa" w:w="100"/>
            </w:tcMar>
          </w:tcPr>
          <w:p>
            <w:pPr>
              <w:jc w:val="left"/>
            </w:pPr>
            <w:r>
              <w:rPr>
                <w:b/>
                <w:bCs/>
              </w:rPr>
              <w:t xml:space="preserve">Approved Process</w:t>
            </w:r>
          </w:p>
        </w:tc>
      </w:tr>
      <w:tr>
        <w:tc>
          <w:tcPr>
            <w:tcW w:type="dxa" w:w="2400"/>
            <w:tcMar>
              <w:top w:type="dxa" w:w="80"/>
              <w:left w:type="dxa" w:w="100"/>
              <w:bottom w:type="dxa" w:w="80"/>
              <w:right w:type="dxa" w:w="100"/>
            </w:tcMar>
          </w:tcPr>
          <w:p>
            <w:pPr>
              <w:jc w:val="left"/>
            </w:pPr>
            <w:r>
              <w:rPr>
                <w:b w:val="false"/>
                <w:bCs w:val="false"/>
              </w:rPr>
              <w:t xml:space="preserve">Identifying deviations</w:t>
            </w:r>
          </w:p>
        </w:tc>
        <w:tc>
          <w:tcPr>
            <w:tcW w:type="dxa" w:w="7400"/>
            <w:tcMar>
              <w:top w:type="dxa" w:w="80"/>
              <w:left w:type="dxa" w:w="100"/>
              <w:bottom w:type="dxa" w:w="80"/>
              <w:right w:type="dxa" w:w="100"/>
            </w:tcMar>
          </w:tcPr>
          <w:p>
            <w:pPr>
              <w:jc w:val="left"/>
            </w:pPr>
            <w:r>
              <w:rPr>
                <w:b w:val="false"/>
                <w:bCs w:val="false"/>
              </w:rPr>
              <w:t xml:space="preserve">Verification methods already defined per Work Package in Section 4/Section 5 (e.g., WP-0002's query-based RLS check) are the identification mechanism; no separate scanning process is evidenced beyond these.</w:t>
            </w:r>
          </w:p>
        </w:tc>
      </w:tr>
      <w:tr>
        <w:tc>
          <w:tcPr>
            <w:tcW w:type="dxa" w:w="2400"/>
            <w:tcMar>
              <w:top w:type="dxa" w:w="80"/>
              <w:left w:type="dxa" w:w="100"/>
              <w:bottom w:type="dxa" w:w="80"/>
              <w:right w:type="dxa" w:w="100"/>
            </w:tcMar>
          </w:tcPr>
          <w:p>
            <w:pPr>
              <w:jc w:val="left"/>
            </w:pPr>
            <w:r>
              <w:rPr>
                <w:b w:val="false"/>
                <w:bCs w:val="false"/>
              </w:rPr>
              <w:t xml:space="preserve">Recording findings</w:t>
            </w:r>
          </w:p>
        </w:tc>
        <w:tc>
          <w:tcPr>
            <w:tcW w:type="dxa" w:w="7400"/>
            <w:tcMar>
              <w:top w:type="dxa" w:w="80"/>
              <w:left w:type="dxa" w:w="100"/>
              <w:bottom w:type="dxa" w:w="80"/>
              <w:right w:type="dxa" w:w="100"/>
            </w:tcMar>
          </w:tcPr>
          <w:p>
            <w:pPr>
              <w:jc w:val="left"/>
            </w:pPr>
            <w:r>
              <w:rPr>
                <w:b w:val="false"/>
                <w:bCs w:val="false"/>
              </w:rPr>
              <w:t xml:space="preserve">Findings are recorded in the same evidence artifact each Work Package already produces (e.g., the per-table verification ledger for WP-0002, the per-column decision ledger for WP-0005).</w:t>
            </w:r>
          </w:p>
        </w:tc>
      </w:tr>
      <w:tr>
        <w:tc>
          <w:tcPr>
            <w:tcW w:type="dxa" w:w="2400"/>
            <w:tcMar>
              <w:top w:type="dxa" w:w="80"/>
              <w:left w:type="dxa" w:w="100"/>
              <w:bottom w:type="dxa" w:w="80"/>
              <w:right w:type="dxa" w:w="100"/>
            </w:tcMar>
          </w:tcPr>
          <w:p>
            <w:pPr>
              <w:jc w:val="left"/>
            </w:pPr>
            <w:r>
              <w:rPr>
                <w:b w:val="false"/>
                <w:bCs w:val="false"/>
              </w:rPr>
              <w:t xml:space="preserve">Assessing impact</w:t>
            </w:r>
          </w:p>
        </w:tc>
        <w:tc>
          <w:tcPr>
            <w:tcW w:type="dxa" w:w="7400"/>
            <w:tcMar>
              <w:top w:type="dxa" w:w="80"/>
              <w:left w:type="dxa" w:w="100"/>
              <w:bottom w:type="dxa" w:w="80"/>
              <w:right w:type="dxa" w:w="100"/>
            </w:tcMar>
          </w:tcPr>
          <w:p>
            <w:pPr>
              <w:jc w:val="left"/>
            </w:pPr>
            <w:r>
              <w:rPr>
                <w:b w:val="false"/>
                <w:bCs w:val="false"/>
              </w:rPr>
              <w:t xml:space="preserve">Not Evidenced in Current Baseline as a distinct, separately-documented impact-assessment step beyond the KPI movement each Work Package already tracks (e.g., KPI-09 Critical technical-debt class).</w:t>
            </w:r>
          </w:p>
        </w:tc>
      </w:tr>
      <w:tr>
        <w:tc>
          <w:tcPr>
            <w:tcW w:type="dxa" w:w="2400"/>
            <w:tcMar>
              <w:top w:type="dxa" w:w="80"/>
              <w:left w:type="dxa" w:w="100"/>
              <w:bottom w:type="dxa" w:w="80"/>
              <w:right w:type="dxa" w:w="100"/>
            </w:tcMar>
          </w:tcPr>
          <w:p>
            <w:pPr>
              <w:jc w:val="left"/>
            </w:pPr>
            <w:r>
              <w:rPr>
                <w:b w:val="false"/>
                <w:bCs w:val="false"/>
              </w:rPr>
              <w:t xml:space="preserve">Corrective actions</w:t>
            </w:r>
          </w:p>
        </w:tc>
        <w:tc>
          <w:tcPr>
            <w:tcW w:type="dxa" w:w="7400"/>
            <w:tcMar>
              <w:top w:type="dxa" w:w="80"/>
              <w:left w:type="dxa" w:w="100"/>
              <w:bottom w:type="dxa" w:w="80"/>
              <w:right w:type="dxa" w:w="100"/>
            </w:tcMar>
          </w:tcPr>
          <w:p>
            <w:pPr>
              <w:jc w:val="left"/>
            </w:pPr>
            <w:r>
              <w:rPr>
                <w:b w:val="false"/>
                <w:bCs w:val="false"/>
              </w:rPr>
              <w:t xml:space="preserve">Pre-approved, contingency-only corrective action is evidenced for WP-0002 (RLS policy correction) and WP-0005 (column-level policy or REVOKE change), applied without delay per Phase B §10. For WP-0001, WP-0003, WP-0004, and WP-0006, no distinct corrective-action process beyond a new or amended EGD/VAR entry (AP-003, AP-007) is evidenced.</w:t>
            </w:r>
          </w:p>
        </w:tc>
      </w:tr>
      <w:tr>
        <w:tc>
          <w:tcPr>
            <w:tcW w:type="dxa" w:w="2400"/>
            <w:tcMar>
              <w:top w:type="dxa" w:w="80"/>
              <w:left w:type="dxa" w:w="100"/>
              <w:bottom w:type="dxa" w:w="80"/>
              <w:right w:type="dxa" w:w="100"/>
            </w:tcMar>
          </w:tcPr>
          <w:p>
            <w:pPr>
              <w:jc w:val="left"/>
            </w:pPr>
            <w:r>
              <w:rPr>
                <w:b w:val="false"/>
                <w:bCs w:val="false"/>
              </w:rPr>
              <w:t xml:space="preserve">Re-validation</w:t>
            </w:r>
          </w:p>
        </w:tc>
        <w:tc>
          <w:tcPr>
            <w:tcW w:type="dxa" w:w="7400"/>
            <w:tcMar>
              <w:top w:type="dxa" w:w="80"/>
              <w:left w:type="dxa" w:w="100"/>
              <w:bottom w:type="dxa" w:w="80"/>
              <w:right w:type="dxa" w:w="100"/>
            </w:tcMar>
          </w:tcPr>
          <w:p>
            <w:pPr>
              <w:jc w:val="left"/>
            </w:pPr>
            <w:r>
              <w:rPr>
                <w:b w:val="false"/>
                <w:bCs w:val="false"/>
              </w:rPr>
              <w:t xml:space="preserve">Re-running the same verification method (e.g., WP-0002's query-based check) after a corrective action is the evidenced re-validation approach; no separate re-validation procedure is documented.</w:t>
            </w:r>
          </w:p>
        </w:tc>
      </w:tr>
      <w:tr>
        <w:tc>
          <w:tcPr>
            <w:tcW w:type="dxa" w:w="2400"/>
            <w:tcMar>
              <w:top w:type="dxa" w:w="80"/>
              <w:left w:type="dxa" w:w="100"/>
              <w:bottom w:type="dxa" w:w="80"/>
              <w:right w:type="dxa" w:w="100"/>
            </w:tcMar>
          </w:tcPr>
          <w:p>
            <w:pPr>
              <w:jc w:val="left"/>
            </w:pPr>
            <w:r>
              <w:rPr>
                <w:b w:val="false"/>
                <w:bCs w:val="false"/>
              </w:rPr>
              <w:t xml:space="preserve">Governance approval</w:t>
            </w:r>
          </w:p>
        </w:tc>
        <w:tc>
          <w:tcPr>
            <w:tcW w:type="dxa" w:w="7400"/>
            <w:tcMar>
              <w:top w:type="dxa" w:w="80"/>
              <w:left w:type="dxa" w:w="100"/>
              <w:bottom w:type="dxa" w:w="80"/>
              <w:right w:type="dxa" w:w="100"/>
            </w:tcMar>
          </w:tcPr>
          <w:p>
            <w:pPr>
              <w:jc w:val="left"/>
            </w:pPr>
            <w:r>
              <w:rPr>
                <w:b w:val="false"/>
                <w:bCs w:val="false"/>
              </w:rPr>
              <w:t xml:space="preserve">Any change to an AR, EGD, or WP scope surfaced by non-conformance requires a new or amended EGD entry (AP-003; Phase B §13) — no baseline change without formal governance.</w:t>
            </w:r>
          </w:p>
        </w:tc>
      </w:tr>
      <w:tr>
        <w:tc>
          <w:tcPr>
            <w:tcW w:type="dxa" w:w="2400"/>
            <w:tcMar>
              <w:top w:type="dxa" w:w="80"/>
              <w:left w:type="dxa" w:w="100"/>
              <w:bottom w:type="dxa" w:w="80"/>
              <w:right w:type="dxa" w:w="100"/>
            </w:tcMar>
          </w:tcPr>
          <w:p>
            <w:pPr>
              <w:jc w:val="left"/>
            </w:pPr>
            <w:r>
              <w:rPr>
                <w:b w:val="false"/>
                <w:bCs w:val="false"/>
              </w:rPr>
              <w:t xml:space="preserve">Closure</w:t>
            </w:r>
          </w:p>
        </w:tc>
        <w:tc>
          <w:tcPr>
            <w:tcW w:type="dxa" w:w="7400"/>
            <w:tcMar>
              <w:top w:type="dxa" w:w="80"/>
              <w:left w:type="dxa" w:w="100"/>
              <w:bottom w:type="dxa" w:w="80"/>
              <w:right w:type="dxa" w:w="100"/>
            </w:tcMar>
          </w:tcPr>
          <w:p>
            <w:pPr>
              <w:jc w:val="left"/>
            </w:pPr>
            <w:r>
              <w:rPr>
                <w:b w:val="false"/>
                <w:bCs w:val="false"/>
              </w:rPr>
              <w:t xml:space="preserve">Non-conformance closes when the KPI associated with the Work Package reaches its target value (e.g., KPI-06 = 100%), consistent with each Work Package's own Completion Criteria in Section 4 of this document.</w:t>
            </w:r>
          </w:p>
        </w:tc>
      </w:tr>
    </w:tbl>
    <w:p>
      <w:pPr>
        <w:spacing w:after="160" w:before="100"/>
      </w:pPr>
      <w:r>
        <w:rPr>
          <w:b/>
          <w:bCs/>
          <w:i/>
          <w:iCs/>
        </w:rPr>
        <w:t xml:space="preserve">Not Evidenced in Current Baseline: </w:t>
      </w:r>
      <w:r>
        <w:rPr>
          <w:i/>
          <w:iCs/>
        </w:rPr>
        <w:t xml:space="preserve">A formally named non-conformance severity classification scheme, a dedicated non-conformance register distinct from the EGD/VAR registers, and an escalation SLA are not evidenced anywhere in Phase A.1–A.3, Phase B, or Sections 1–5. This plan does not invent them.</w:t>
      </w:r>
    </w:p>
    <w:p>
      <w:pPr>
        <w:pStyle w:val="Heading1"/>
        <w:spacing w:after="160" w:before="360"/>
      </w:pPr>
      <w:r>
        <w:t xml:space="preserve">9. Conformance Readiness Assessment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00"/>
      </w:tblGrid>
      <w:tr>
        <w:trPr>
          <w:tblHeader/>
        </w:trPr>
        <w:tc>
          <w:tcPr>
            <w:tcW w:type="dxa" w:w="2400"/>
            <w:shd w:fill="D9D9D9" w:val="clear"/>
            <w:tcMar>
              <w:top w:type="dxa" w:w="80"/>
              <w:left w:type="dxa" w:w="100"/>
              <w:bottom w:type="dxa" w:w="80"/>
              <w:right w:type="dxa" w:w="100"/>
            </w:tcMar>
          </w:tcPr>
          <w:p>
            <w:pPr>
              <w:jc w:val="left"/>
            </w:pPr>
            <w:r>
              <w:rPr>
                <w:b/>
                <w:bCs/>
              </w:rPr>
              <w:t xml:space="preserve">Readiness Dimension</w:t>
            </w:r>
          </w:p>
        </w:tc>
        <w:tc>
          <w:tcPr>
            <w:tcW w:type="dxa" w:w="3700"/>
            <w:shd w:fill="D9D9D9" w:val="clear"/>
            <w:tcMar>
              <w:top w:type="dxa" w:w="80"/>
              <w:left w:type="dxa" w:w="100"/>
              <w:bottom w:type="dxa" w:w="80"/>
              <w:right w:type="dxa" w:w="100"/>
            </w:tcMar>
          </w:tcPr>
          <w:p>
            <w:pPr>
              <w:jc w:val="left"/>
            </w:pPr>
            <w:r>
              <w:rPr>
                <w:b/>
                <w:bCs/>
              </w:rPr>
              <w:t xml:space="preserve">Assessment</w:t>
            </w:r>
          </w:p>
        </w:tc>
        <w:tc>
          <w:tcPr>
            <w:tcW w:type="dxa" w:w="3200"/>
            <w:shd w:fill="D9D9D9" w:val="clear"/>
            <w:tcMar>
              <w:top w:type="dxa" w:w="80"/>
              <w:left w:type="dxa" w:w="100"/>
              <w:bottom w:type="dxa" w:w="80"/>
              <w:right w:type="dxa" w:w="100"/>
            </w:tcMar>
          </w:tcPr>
          <w:p>
            <w:pPr>
              <w:jc w:val="left"/>
            </w:pPr>
            <w:r>
              <w:rPr>
                <w:b/>
                <w:bCs/>
              </w:rPr>
              <w:t xml:space="preserve">Basis</w:t>
            </w:r>
          </w:p>
        </w:tc>
      </w:tr>
      <w:tr>
        <w:tc>
          <w:tcPr>
            <w:tcW w:type="dxa" w:w="2400"/>
            <w:tcMar>
              <w:top w:type="dxa" w:w="80"/>
              <w:left w:type="dxa" w:w="100"/>
              <w:bottom w:type="dxa" w:w="80"/>
              <w:right w:type="dxa" w:w="100"/>
            </w:tcMar>
          </w:tcPr>
          <w:p>
            <w:pPr>
              <w:jc w:val="left"/>
            </w:pPr>
            <w:r>
              <w:rPr>
                <w:b w:val="false"/>
                <w:bCs w:val="false"/>
              </w:rPr>
              <w:t xml:space="preserve">Work Package conformance readiness</w:t>
            </w:r>
          </w:p>
        </w:tc>
        <w:tc>
          <w:tcPr>
            <w:tcW w:type="dxa" w:w="3700"/>
            <w:tcMar>
              <w:top w:type="dxa" w:w="80"/>
              <w:left w:type="dxa" w:w="100"/>
              <w:bottom w:type="dxa" w:w="80"/>
              <w:right w:type="dxa" w:w="100"/>
            </w:tcMar>
          </w:tcPr>
          <w:p>
            <w:pPr>
              <w:jc w:val="left"/>
            </w:pPr>
            <w:r>
              <w:rPr>
                <w:b w:val="false"/>
                <w:bCs w:val="false"/>
              </w:rPr>
              <w:t xml:space="preserve">High for WP-0002 and WP-0006 (Wave 1, executable today); Medium for WP-0001, WP-0004, WP-0005 (Wave 2, ready to follow); Monitoring-ready only for WP-0003 (Wave 3, trigger-gated).</w:t>
            </w:r>
          </w:p>
        </w:tc>
        <w:tc>
          <w:tcPr>
            <w:tcW w:type="dxa" w:w="3200"/>
            <w:tcMar>
              <w:top w:type="dxa" w:w="80"/>
              <w:left w:type="dxa" w:w="100"/>
              <w:bottom w:type="dxa" w:w="80"/>
              <w:right w:type="dxa" w:w="100"/>
            </w:tcMar>
          </w:tcPr>
          <w:p>
            <w:pPr>
              <w:jc w:val="left"/>
            </w:pPr>
            <w:r>
              <w:rPr>
                <w:b w:val="false"/>
                <w:bCs w:val="false"/>
              </w:rPr>
              <w:t xml:space="preserve">Section 1 §"Sequenced implementation"; Section 5 §9 Executive Summary.</w:t>
            </w:r>
          </w:p>
        </w:tc>
      </w:tr>
      <w:tr>
        <w:tc>
          <w:tcPr>
            <w:tcW w:type="dxa" w:w="2400"/>
            <w:tcMar>
              <w:top w:type="dxa" w:w="80"/>
              <w:left w:type="dxa" w:w="100"/>
              <w:bottom w:type="dxa" w:w="80"/>
              <w:right w:type="dxa" w:w="100"/>
            </w:tcMar>
          </w:tcPr>
          <w:p>
            <w:pPr>
              <w:jc w:val="left"/>
            </w:pPr>
            <w:r>
              <w:rPr>
                <w:b w:val="false"/>
                <w:bCs w:val="false"/>
              </w:rPr>
              <w:t xml:space="preserve">Repository conformance readiness</w:t>
            </w:r>
          </w:p>
        </w:tc>
        <w:tc>
          <w:tcPr>
            <w:tcW w:type="dxa" w:w="3700"/>
            <w:tcMar>
              <w:top w:type="dxa" w:w="80"/>
              <w:left w:type="dxa" w:w="100"/>
              <w:bottom w:type="dxa" w:w="80"/>
              <w:right w:type="dxa" w:w="100"/>
            </w:tcMar>
          </w:tcPr>
          <w:p>
            <w:pPr>
              <w:jc w:val="left"/>
            </w:pPr>
            <w:r>
              <w:rPr>
                <w:b w:val="false"/>
                <w:bCs w:val="false"/>
              </w:rPr>
              <w:t xml:space="preserve">Exact — scoped only to the three repository categories with approved impact (Documentation, Database, Test); no conformance claim is made for Backend, Frontend, Integration, AI, or Infrastructure.</w:t>
            </w:r>
          </w:p>
        </w:tc>
        <w:tc>
          <w:tcPr>
            <w:tcW w:type="dxa" w:w="3200"/>
            <w:tcMar>
              <w:top w:type="dxa" w:w="80"/>
              <w:left w:type="dxa" w:w="100"/>
              <w:bottom w:type="dxa" w:w="80"/>
              <w:right w:type="dxa" w:w="100"/>
            </w:tcMar>
          </w:tcPr>
          <w:p>
            <w:pPr>
              <w:jc w:val="left"/>
            </w:pPr>
            <w:r>
              <w:rPr>
                <w:b w:val="false"/>
                <w:bCs w:val="false"/>
              </w:rPr>
              <w:t xml:space="preserve">Section 3 §"Repository Impact".</w:t>
            </w:r>
          </w:p>
        </w:tc>
      </w:tr>
      <w:tr>
        <w:tc>
          <w:tcPr>
            <w:tcW w:type="dxa" w:w="2400"/>
            <w:tcMar>
              <w:top w:type="dxa" w:w="80"/>
              <w:left w:type="dxa" w:w="100"/>
              <w:bottom w:type="dxa" w:w="80"/>
              <w:right w:type="dxa" w:w="100"/>
            </w:tcMar>
          </w:tcPr>
          <w:p>
            <w:pPr>
              <w:jc w:val="left"/>
            </w:pPr>
            <w:r>
              <w:rPr>
                <w:b w:val="false"/>
                <w:bCs w:val="false"/>
              </w:rPr>
              <w:t xml:space="preserve">Documentation readiness</w:t>
            </w:r>
          </w:p>
        </w:tc>
        <w:tc>
          <w:tcPr>
            <w:tcW w:type="dxa" w:w="3700"/>
            <w:tcMar>
              <w:top w:type="dxa" w:w="80"/>
              <w:left w:type="dxa" w:w="100"/>
              <w:bottom w:type="dxa" w:w="80"/>
              <w:right w:type="dxa" w:w="100"/>
            </w:tcMar>
          </w:tcPr>
          <w:p>
            <w:pPr>
              <w:jc w:val="left"/>
            </w:pPr>
            <w:r>
              <w:rPr>
                <w:b w:val="false"/>
                <w:bCs w:val="false"/>
              </w:rPr>
              <w:t xml:space="preserve">High for WP-0001 (fully-specified diff method); standing/operating for WP-0004 (per-release check already designed).</w:t>
            </w:r>
          </w:p>
        </w:tc>
        <w:tc>
          <w:tcPr>
            <w:tcW w:type="dxa" w:w="3200"/>
            <w:tcMar>
              <w:top w:type="dxa" w:w="80"/>
              <w:left w:type="dxa" w:w="100"/>
              <w:bottom w:type="dxa" w:w="80"/>
              <w:right w:type="dxa" w:w="100"/>
            </w:tcMar>
          </w:tcPr>
          <w:p>
            <w:pPr>
              <w:jc w:val="left"/>
            </w:pPr>
            <w:r>
              <w:rPr>
                <w:b w:val="false"/>
                <w:bCs w:val="false"/>
              </w:rPr>
              <w:t xml:space="preserve">Section 4 §WP-0001, §WP-0004.</w:t>
            </w:r>
          </w:p>
        </w:tc>
      </w:tr>
      <w:tr>
        <w:tc>
          <w:tcPr>
            <w:tcW w:type="dxa" w:w="2400"/>
            <w:tcMar>
              <w:top w:type="dxa" w:w="80"/>
              <w:left w:type="dxa" w:w="100"/>
              <w:bottom w:type="dxa" w:w="80"/>
              <w:right w:type="dxa" w:w="100"/>
            </w:tcMar>
          </w:tcPr>
          <w:p>
            <w:pPr>
              <w:jc w:val="left"/>
            </w:pPr>
            <w:r>
              <w:rPr>
                <w:b w:val="false"/>
                <w:bCs w:val="false"/>
              </w:rPr>
              <w:t xml:space="preserve">Verification readiness</w:t>
            </w:r>
          </w:p>
        </w:tc>
        <w:tc>
          <w:tcPr>
            <w:tcW w:type="dxa" w:w="3700"/>
            <w:tcMar>
              <w:top w:type="dxa" w:w="80"/>
              <w:left w:type="dxa" w:w="100"/>
              <w:bottom w:type="dxa" w:w="80"/>
              <w:right w:type="dxa" w:w="100"/>
            </w:tcMar>
          </w:tcPr>
          <w:p>
            <w:pPr>
              <w:jc w:val="left"/>
            </w:pPr>
            <w:r>
              <w:rPr>
                <w:b w:val="false"/>
                <w:bCs w:val="false"/>
              </w:rPr>
              <w:t xml:space="preserve">Highest for WP-0002 — fully defined, immediately executable method that WP-0004 and WP-0005 explicitly reuse rather than re-implement.</w:t>
            </w:r>
          </w:p>
        </w:tc>
        <w:tc>
          <w:tcPr>
            <w:tcW w:type="dxa" w:w="3200"/>
            <w:tcMar>
              <w:top w:type="dxa" w:w="80"/>
              <w:left w:type="dxa" w:w="100"/>
              <w:bottom w:type="dxa" w:w="80"/>
              <w:right w:type="dxa" w:w="100"/>
            </w:tcMar>
          </w:tcPr>
          <w:p>
            <w:pPr>
              <w:jc w:val="left"/>
            </w:pPr>
            <w:r>
              <w:rPr>
                <w:b w:val="false"/>
                <w:bCs w:val="false"/>
              </w:rPr>
              <w:t xml:space="preserve">Section 5 §9 Executive Summary.</w:t>
            </w:r>
          </w:p>
        </w:tc>
      </w:tr>
      <w:tr>
        <w:tc>
          <w:tcPr>
            <w:tcW w:type="dxa" w:w="2400"/>
            <w:tcMar>
              <w:top w:type="dxa" w:w="80"/>
              <w:left w:type="dxa" w:w="100"/>
              <w:bottom w:type="dxa" w:w="80"/>
              <w:right w:type="dxa" w:w="100"/>
            </w:tcMar>
          </w:tcPr>
          <w:p>
            <w:pPr>
              <w:jc w:val="left"/>
            </w:pPr>
            <w:r>
              <w:rPr>
                <w:b w:val="false"/>
                <w:bCs w:val="false"/>
              </w:rPr>
              <w:t xml:space="preserve">Governance readiness</w:t>
            </w:r>
          </w:p>
        </w:tc>
        <w:tc>
          <w:tcPr>
            <w:tcW w:type="dxa" w:w="3700"/>
            <w:tcMar>
              <w:top w:type="dxa" w:w="80"/>
              <w:left w:type="dxa" w:w="100"/>
              <w:bottom w:type="dxa" w:w="80"/>
              <w:right w:type="dxa" w:w="100"/>
            </w:tcMar>
          </w:tcPr>
          <w:p>
            <w:pPr>
              <w:jc w:val="left"/>
            </w:pPr>
            <w:r>
              <w:rPr>
                <w:b w:val="false"/>
                <w:bCs w:val="false"/>
              </w:rPr>
              <w:t xml:space="preserve">Not yet met — Resource Readiness gap: all five governance roles (Phase B §9) are unassigned (KPI-08 = 0%), pending WP-0006.</w:t>
            </w:r>
          </w:p>
        </w:tc>
        <w:tc>
          <w:tcPr>
            <w:tcW w:type="dxa" w:w="3200"/>
            <w:tcMar>
              <w:top w:type="dxa" w:w="80"/>
              <w:left w:type="dxa" w:w="100"/>
              <w:bottom w:type="dxa" w:w="80"/>
              <w:right w:type="dxa" w:w="100"/>
            </w:tcMar>
          </w:tcPr>
          <w:p>
            <w:pPr>
              <w:jc w:val="left"/>
            </w:pPr>
            <w:r>
              <w:rPr>
                <w:b w:val="false"/>
                <w:bCs w:val="false"/>
              </w:rPr>
              <w:t xml:space="preserve">Section 1 §"Strategic Objectives"; Section 5 §7.</w:t>
            </w:r>
          </w:p>
        </w:tc>
      </w:tr>
      <w:tr>
        <w:tc>
          <w:tcPr>
            <w:tcW w:type="dxa" w:w="2400"/>
            <w:tcMar>
              <w:top w:type="dxa" w:w="80"/>
              <w:left w:type="dxa" w:w="100"/>
              <w:bottom w:type="dxa" w:w="80"/>
              <w:right w:type="dxa" w:w="100"/>
            </w:tcMar>
          </w:tcPr>
          <w:p>
            <w:pPr>
              <w:jc w:val="left"/>
            </w:pPr>
            <w:r>
              <w:rPr>
                <w:b w:val="false"/>
                <w:bCs w:val="false"/>
              </w:rPr>
              <w:t xml:space="preserve">Certification readiness</w:t>
            </w:r>
          </w:p>
        </w:tc>
        <w:tc>
          <w:tcPr>
            <w:tcW w:type="dxa" w:w="3700"/>
            <w:tcMar>
              <w:top w:type="dxa" w:w="80"/>
              <w:left w:type="dxa" w:w="100"/>
              <w:bottom w:type="dxa" w:w="80"/>
              <w:right w:type="dxa" w:w="100"/>
            </w:tcMar>
          </w:tcPr>
          <w:p>
            <w:pPr>
              <w:jc w:val="left"/>
            </w:pPr>
            <w:r>
              <w:rPr>
                <w:b w:val="false"/>
                <w:bCs w:val="false"/>
              </w:rPr>
              <w:t xml:space="preserve">L4 pending for WP-0001, WP-0002, WP-0004, WP-0005; L3 standing (L4 conditional) for WP-0003; Not Applicable (organizational precondition) for WP-0006.</w:t>
            </w:r>
          </w:p>
        </w:tc>
        <w:tc>
          <w:tcPr>
            <w:tcW w:type="dxa" w:w="3200"/>
            <w:tcMar>
              <w:top w:type="dxa" w:w="80"/>
              <w:left w:type="dxa" w:w="100"/>
              <w:bottom w:type="dxa" w:w="80"/>
              <w:right w:type="dxa" w:w="100"/>
            </w:tcMar>
          </w:tcPr>
          <w:p>
            <w:pPr>
              <w:jc w:val="left"/>
            </w:pPr>
            <w:r>
              <w:rPr>
                <w:b w:val="false"/>
                <w:bCs w:val="false"/>
              </w:rPr>
              <w:t xml:space="preserve">Section 5 §8 Implementation Traceability Matrix.</w:t>
            </w:r>
          </w:p>
        </w:tc>
      </w:tr>
      <w:tr>
        <w:tc>
          <w:tcPr>
            <w:tcW w:type="dxa" w:w="2400"/>
            <w:tcMar>
              <w:top w:type="dxa" w:w="80"/>
              <w:left w:type="dxa" w:w="100"/>
              <w:bottom w:type="dxa" w:w="80"/>
              <w:right w:type="dxa" w:w="100"/>
            </w:tcMar>
          </w:tcPr>
          <w:p>
            <w:pPr>
              <w:jc w:val="left"/>
            </w:pPr>
            <w:r>
              <w:rPr>
                <w:b w:val="false"/>
                <w:bCs w:val="false"/>
              </w:rPr>
              <w:t xml:space="preserve">Overall architecture conformance readiness</w:t>
            </w:r>
          </w:p>
        </w:tc>
        <w:tc>
          <w:tcPr>
            <w:tcW w:type="dxa" w:w="3700"/>
            <w:tcMar>
              <w:top w:type="dxa" w:w="80"/>
              <w:left w:type="dxa" w:w="100"/>
              <w:bottom w:type="dxa" w:w="80"/>
              <w:right w:type="dxa" w:w="100"/>
            </w:tcMar>
          </w:tcPr>
          <w:p>
            <w:pPr>
              <w:jc w:val="left"/>
            </w:pPr>
            <w:r>
              <w:rPr>
                <w:b w:val="false"/>
                <w:bCs w:val="false"/>
              </w:rPr>
              <w:t xml:space="preserve">Startable, not yet fully executable, until WP-0006 closes the governance-role assignment gap that every other Work Package's approval and certification steps in this document depend on.</w:t>
            </w:r>
          </w:p>
        </w:tc>
        <w:tc>
          <w:tcPr>
            <w:tcW w:type="dxa" w:w="3200"/>
            <w:tcMar>
              <w:top w:type="dxa" w:w="80"/>
              <w:left w:type="dxa" w:w="100"/>
              <w:bottom w:type="dxa" w:w="80"/>
              <w:right w:type="dxa" w:w="100"/>
            </w:tcMar>
          </w:tcPr>
          <w:p>
            <w:pPr>
              <w:jc w:val="left"/>
            </w:pPr>
            <w:r>
              <w:rPr>
                <w:b w:val="false"/>
                <w:bCs w:val="false"/>
              </w:rPr>
              <w:t xml:space="preserve">Section 5 §7; consistent finding across Sections 1–5.</w:t>
            </w:r>
          </w:p>
        </w:tc>
      </w:tr>
    </w:tbl>
    <w:p>
      <w:pPr>
        <w:pStyle w:val="Heading1"/>
        <w:spacing w:after="160" w:before="360"/>
      </w:pPr>
      <w:r>
        <w:t xml:space="preserve">10. Executive Summary</w:t>
      </w:r>
    </w:p>
    <w:p>
      <w:pPr>
        <w:spacing w:after="140"/>
      </w:pPr>
      <w:r>
        <w:t xml:space="preserve">Architecture conformance maturity across WP-0001–WP-0006 is uneven by design, not by omission: full conformance-verification detail exists for WP-0001, WP-0002, WP-0004, WP-0005, and WP-0006, while WP-0003 correctly carries monitoring-level conformance only, pending its EGD-0004 trigger (AP-008).</w:t>
      </w:r>
    </w:p>
    <w:p>
      <w:pPr>
        <w:spacing w:after="140"/>
      </w:pPr>
      <w:r>
        <w:t xml:space="preserve">Verification readiness is highest for WP-0002, whose query-based RLS verification method is fully defined, immediately executable, and reused without modification by WP-0004 and WP-0005's conformance activity — this document treats it, as Sections 1, 4, and 5 already do, as the standing verification template for the current Work Package set.</w:t>
      </w:r>
    </w:p>
    <w:p>
      <w:pPr>
        <w:spacing w:after="140"/>
      </w:pPr>
      <w:r>
        <w:t xml:space="preserve">Governance alignment is exact against the approved baseline's own governance model: every conformance checkpoint, approval, and certification step in this document routes through the Executive Sponsor / Governance Board and the four named specialist roles Phase B §9 already defines — no new governance body, role, or authority is introduced. The one open governance gap — all five roles unassigned (KPI-08 = 0%) — is the same gap Sections 1 and 5 already identify as the precondition for full executability, and this document does not treat it differently.</w:t>
      </w:r>
    </w:p>
    <w:p>
      <w:pPr>
        <w:spacing w:after="140"/>
      </w:pPr>
      <w:r>
        <w:t xml:space="preserve">Repository alignment is exact: conformance verification is scoped only to Documentation, Database, and Test repositories, matching Section 3's approved-impact finding precisely, with no conformance claim extended to Backend, Frontend, Integration, AI, or Infrastructure repositories.</w:t>
      </w:r>
    </w:p>
    <w:p>
      <w:pPr>
        <w:spacing w:after="140"/>
      </w:pPr>
      <w:r>
        <w:t xml:space="preserve">Traceability integrity is intact: every Work Package's conformance record in Section 4 of this document terminates the same AR → EGD → Repository → Engineering Design → Implementation Activity → Verification Evidence → Acceptance Criteria → Certification Level chain Phase A.3 §7 established, with no identifier recreated and no link skipped.</w:t>
      </w:r>
    </w:p>
    <w:p>
      <w:pPr>
        <w:spacing w:after="140"/>
      </w:pPr>
      <w:r>
        <w:t xml:space="preserve">Certification readiness stands at L4 (pending) for WP-0001, WP-0002, WP-0004, and WP-0005; L3 (standing), with L4 conditional on trigger, for WP-0003; and Not Applicable — organizational precondition, not itself certified — for WP-0006.</w:t>
      </w:r>
    </w:p>
    <w:p>
      <w:pPr>
        <w:spacing w:after="140"/>
      </w:pPr>
      <w:r>
        <w:rPr>
          <w:b w:val="false"/>
          <w:bCs w:val="false"/>
        </w:rPr>
        <w:t xml:space="preserve">Overall conformance readiness: this Architecture Conformance Plan confirms that engineering execution of WP-0001–WP-0006 can be verified, measured, and governed entirely within the approved enterprise architecture baseline, using verification methods, evidence artifacts, and governance roles that already exist in Phase A.1–A.3, Phase B, and Sections 1–5 of this Phase C repository — with WP-0006's ownership assignment as the single remaining precondition for full conformance-governance execution across the other five Work Packages.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2026-07-09T06:03:30.193Z</dcterms:created>
  <dcterms:modified xsi:type="dcterms:W3CDTF">2026-07-09T06:03:30.205Z</dcterms:modified>
</cp:coreProperties>
</file>

<file path=docProps/custom.xml><?xml version="1.0" encoding="utf-8"?>
<Properties xmlns="http://schemas.openxmlformats.org/officeDocument/2006/custom-properties" xmlns:vt="http://schemas.openxmlformats.org/officeDocument/2006/docPropsVTypes"/>
</file>