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200"/>
        <w:jc w:val="center"/>
      </w:pPr>
      <w:r>
        <w:t xml:space="preserve">ERP-01 — Phase C</w:t>
      </w:r>
    </w:p>
    <w:p>
      <w:pPr>
        <w:pStyle w:val="Heading1"/>
        <w:spacing w:after="400"/>
        <w:jc w:val="center"/>
      </w:pPr>
      <w:r>
        <w:t xml:space="preserve">Section 7 — Enterprise Testing &amp; Verification Strategy</w:t>
      </w:r>
    </w:p>
    <w:p>
      <w:pPr>
        <w:spacing w:after="80"/>
        <w:jc w:val="center"/>
      </w:pPr>
      <w:r>
        <w:rPr>
          <w:i/>
          <w:iCs/>
          <w:sz w:val="26"/>
          <w:szCs w:val="26"/>
        </w:rPr>
        <w:t xml:space="preserve">HireRise Career Intelligence Platform</w:t>
      </w:r>
    </w:p>
    <w:p>
      <w:pPr>
        <w:spacing w:after="80"/>
        <w:jc w:val="center"/>
      </w:pPr>
      <w:r>
        <w:rPr>
          <w:sz w:val="22"/>
          <w:szCs w:val="22"/>
        </w:rPr>
        <w:t xml:space="preserve">Enterprise Work Package Architecture &amp; Execution Planning</w:t>
      </w:r>
    </w:p>
    <w:p>
      <w:pPr>
        <w:spacing w:after="800"/>
        <w:jc w:val="center"/>
      </w:pPr>
      <w:r>
        <w:rPr>
          <w:i/>
          <w:iCs/>
          <w:sz w:val="22"/>
          <w:szCs w:val="22"/>
        </w:rPr>
        <w:t xml:space="preserve">Authoritative Enterprise Testing &amp; Verification Strategy Repository</w:t>
      </w:r>
    </w:p>
    <w:p>
      <w:r>
        <w:br w:type="page"/>
      </w:r>
    </w:p>
    <w:p>
      <w:pPr>
        <w:pStyle w:val="Heading1"/>
        <w:spacing w:after="160" w:before="360"/>
      </w:pPr>
      <w:r>
        <w:t xml:space="preserve">Approved Enterprise Baseline</w:t>
      </w:r>
    </w:p>
    <w:p>
      <w:pPr>
        <w:spacing w:after="140"/>
      </w:pPr>
      <w:r>
        <w:t xml:space="preserve">This document is Section 7 of ERP-01 Phase C. It does not redefine implementation or architecture conformance. It establishes how the six approved Work Packages are technically verified through engineering testing, and how that verification produces the auditable evidence Section 6's Architecture Conformance Plan already requires. The following repositories constitute the approved implementation baseline:</w:t>
      </w:r>
    </w:p>
    <w:p>
      <w:pPr>
        <w:pStyle w:val="ListParagraph"/>
        <w:numPr>
          <w:ilvl w:val="0"/>
          <w:numId w:val="1"/>
        </w:numPr>
        <w:spacing w:after="80"/>
      </w:pPr>
      <w:r>
        <w:t xml:space="preserve">ERP-01 Phase A.1 — Enterprise Physical Data Model Realization Assessment</w:t>
      </w:r>
    </w:p>
    <w:p>
      <w:pPr>
        <w:pStyle w:val="ListParagraph"/>
        <w:numPr>
          <w:ilvl w:val="0"/>
          <w:numId w:val="1"/>
        </w:numPr>
        <w:spacing w:after="80"/>
      </w:pPr>
      <w:r>
        <w:t xml:space="preserve">ERP-01 Phase A.2 — Enterprise Architecture Governance &amp; Disposition Assessment</w:t>
      </w:r>
    </w:p>
    <w:p>
      <w:pPr>
        <w:pStyle w:val="ListParagraph"/>
        <w:numPr>
          <w:ilvl w:val="0"/>
          <w:numId w:val="1"/>
        </w:numPr>
        <w:spacing w:after="80"/>
      </w:pPr>
      <w:r>
        <w:t xml:space="preserve">ERP-01 Phase A.3 — Enterprise Architecture Baseline &amp; Resolution Repository</w:t>
      </w:r>
    </w:p>
    <w:p>
      <w:pPr>
        <w:pStyle w:val="ListParagraph"/>
        <w:numPr>
          <w:ilvl w:val="0"/>
          <w:numId w:val="1"/>
        </w:numPr>
        <w:spacing w:after="80"/>
      </w:pPr>
      <w:r>
        <w:t xml:space="preserve">ERP-01 Phase B — Enterprise Architecture Realization Roadmap &amp; Portfolio Plan</w:t>
      </w:r>
    </w:p>
    <w:p>
      <w:pPr>
        <w:pStyle w:val="ListParagraph"/>
        <w:numPr>
          <w:ilvl w:val="0"/>
          <w:numId w:val="1"/>
        </w:numPr>
        <w:spacing w:after="80"/>
      </w:pPr>
      <w:r>
        <w:t xml:space="preserve">ERP-01 Phase C — Section 1 — Enterprise Work Package Execution Strategy</w:t>
      </w:r>
    </w:p>
    <w:p>
      <w:pPr>
        <w:pStyle w:val="ListParagraph"/>
        <w:numPr>
          <w:ilvl w:val="0"/>
          <w:numId w:val="1"/>
        </w:numPr>
        <w:spacing w:after="80"/>
      </w:pPr>
      <w:r>
        <w:t xml:space="preserve">ERP-01 Phase C — Section 2 — Enterprise Work Package Engineering Catalog</w:t>
      </w:r>
    </w:p>
    <w:p>
      <w:pPr>
        <w:pStyle w:val="ListParagraph"/>
        <w:numPr>
          <w:ilvl w:val="0"/>
          <w:numId w:val="1"/>
        </w:numPr>
        <w:spacing w:after="80"/>
      </w:pPr>
      <w:r>
        <w:t xml:space="preserve">ERP-01 Phase C — Section 3 — Repository Impact Assessment</w:t>
      </w:r>
    </w:p>
    <w:p>
      <w:pPr>
        <w:pStyle w:val="ListParagraph"/>
        <w:numPr>
          <w:ilvl w:val="0"/>
          <w:numId w:val="1"/>
        </w:numPr>
        <w:spacing w:after="80"/>
      </w:pPr>
      <w:r>
        <w:t xml:space="preserve">ERP-01 Phase C — Section 4 — Engineering Design Specification</w:t>
      </w:r>
    </w:p>
    <w:p>
      <w:pPr>
        <w:pStyle w:val="ListParagraph"/>
        <w:numPr>
          <w:ilvl w:val="0"/>
          <w:numId w:val="1"/>
        </w:numPr>
        <w:spacing w:after="80"/>
      </w:pPr>
      <w:r>
        <w:t xml:space="preserve">ERP-01 Phase C — Section 5 — Implementation Blueprint</w:t>
      </w:r>
    </w:p>
    <w:p>
      <w:pPr>
        <w:pStyle w:val="ListParagraph"/>
        <w:numPr>
          <w:ilvl w:val="0"/>
          <w:numId w:val="1"/>
        </w:numPr>
        <w:spacing w:after="80"/>
      </w:pPr>
      <w:r>
        <w:t xml:space="preserve">ERP-01 Phase C — Section 6 — Architecture Conformance Plan</w:t>
      </w:r>
    </w:p>
    <w:p>
      <w:pPr>
        <w:spacing w:after="160" w:before="100"/>
      </w:pPr>
      <w:r>
        <w:rPr>
          <w:b/>
          <w:bCs/>
          <w:i/>
          <w:iCs/>
        </w:rPr>
        <w:t xml:space="preserve">Evidence-First Principle: </w:t>
      </w:r>
      <w:r>
        <w:rPr>
          <w:i/>
          <w:iCs/>
        </w:rPr>
        <w:t xml:space="preserve">No Work Package, Architecture Requirement, Enterprise Governance Decision, repository, software component, API, infrastructure element, testing environment, or verification authority is invented in this document. Where a testing activity is not evidenced in the approved repositories, this document states "Not Evidenced in Current Baseline." Where a future testing capability is anticipated but not yet approved, this document states "Reserved for Future Realization Phases."</w:t>
      </w:r>
    </w:p>
    <w:p>
      <w:pPr>
        <w:pStyle w:val="Heading1"/>
        <w:spacing w:after="160" w:before="360"/>
      </w:pPr>
      <w:r>
        <w:t xml:space="preserve">1. Executive Overview</w:t>
      </w:r>
    </w:p>
    <w:p>
      <w:pPr>
        <w:spacing w:after="140"/>
      </w:pPr>
      <w:r>
        <w:t xml:space="preserve">Purpose. This Enterprise Testing &amp; Verification Strategy defines how engineering execution of WP-0001–WP-0006 is technically verified — through review, inspection, query-based checking, and documentation verification — before the governance-level conformance certification Section 6 defines is applied. Where Section 6 asks whether the approved architecture, governance, and repositories are being honored, this section asks the narrower, prior question: whether the engineering work itself was correctly and repeatably tested.</w:t>
      </w:r>
    </w:p>
    <w:p>
      <w:pPr>
        <w:spacing w:after="140"/>
      </w:pPr>
      <w:r>
        <w:t xml:space="preserve">Relationship with Sections 1–6. This document introduces no new Work Package, Architecture Requirement, Enterprise Governance Decision, repository, or KPI. It reuses the verification methods already defined per Work Package in Section 4 (Engineering Design) and Section 5 (Implementation Blueprint), and the checkpoints and evidence categories Section 6 (Architecture Conformance Plan) already established, reorganizing them around engineering test discipline rather than governance discipline. Where Section 6 asked "is this conformant," this document asks "was this correctly verified, and can the verification be repeated."</w:t>
      </w:r>
    </w:p>
    <w:p>
      <w:pPr>
        <w:spacing w:after="140"/>
      </w:pPr>
      <w:r>
        <w:t xml:space="preserve">Verification objectives.</w:t>
      </w:r>
    </w:p>
    <w:p>
      <w:pPr>
        <w:pStyle w:val="ListParagraph"/>
        <w:numPr>
          <w:ilvl w:val="0"/>
          <w:numId w:val="1"/>
        </w:numPr>
        <w:spacing w:after="80"/>
      </w:pPr>
      <w:r>
        <w:t xml:space="preserve">Confirm each Work Package's approved verification method (Section 4/Section 5) was executed as designed, against the correct repository scope (Section 3), producing the specific evidence artifact Section 5 §8 and Section 6 §4 already name.</w:t>
      </w:r>
    </w:p>
    <w:p>
      <w:pPr>
        <w:pStyle w:val="ListParagraph"/>
        <w:numPr>
          <w:ilvl w:val="0"/>
          <w:numId w:val="1"/>
        </w:numPr>
        <w:spacing w:after="80"/>
      </w:pPr>
      <w:r>
        <w:t xml:space="preserve">Confirm verification evidence is reproducible — the same method, run again, would produce the same result — rather than a one-time, unrepeatable claim.</w:t>
      </w:r>
    </w:p>
    <w:p>
      <w:pPr>
        <w:pStyle w:val="ListParagraph"/>
        <w:numPr>
          <w:ilvl w:val="0"/>
          <w:numId w:val="1"/>
        </w:numPr>
        <w:spacing w:after="80"/>
      </w:pPr>
      <w:r>
        <w:t xml:space="preserve">Confirm every verification activity remains traceable through to the Certification Level movement Section 6 §4 records.</w:t>
      </w:r>
    </w:p>
    <w:p>
      <w:pPr>
        <w:spacing w:after="140"/>
      </w:pPr>
      <w:r>
        <w:t xml:space="preserve">Engineering quality objectives. Apply ISO/IEC/IEEE 29119 verification discipline (test planning, execution, evidence, defect management) to the six approved Work Packages, without expanding their already-approved scope, and without asserting a testing capability (a dedicated test environment, an automated regression suite, a performance-testing harness) the baseline does not evidence.</w:t>
      </w:r>
    </w:p>
    <w:p>
      <w:pPr>
        <w:spacing w:after="140"/>
      </w:pPr>
      <w:r>
        <w:t xml:space="preserve">Scope. Verification and testing guidance in this document is produced only for WP-0001 through WP-0006, within Portfolios 1, 2, and 8, exactly as scoped in Section 1 and Section 6. No testing guidance is introduced for Portfolios 3–7.</w:t>
      </w:r>
    </w:p>
    <w:p>
      <w:pPr>
        <w:spacing w:after="160" w:before="100"/>
      </w:pPr>
      <w:r>
        <w:rPr>
          <w:b/>
          <w:bCs/>
          <w:i/>
          <w:iCs/>
        </w:rPr>
        <w:t xml:space="preserve">Reserved for Future Realization Phases: </w:t>
      </w:r>
      <w:r>
        <w:rPr>
          <w:i/>
          <w:iCs/>
        </w:rPr>
        <w:t xml:space="preserve">Testing strategy for Portfolios 3–7 (Enterprise AI, Business Capabilities, Knowledge Platform, Integration Platform, and others the Phase C master template anticipates), consistent with Sections 1 and 6's own scope declarations.</w:t>
      </w:r>
    </w:p>
    <w:p>
      <w:pPr>
        <w:spacing w:after="140"/>
      </w:pPr>
      <w:r>
        <w:t xml:space="preserve">Evidence limitations. A dedicated test environment distinct from production, an automated regression-test suite, and a performance-testing harness are not evidenced anywhere in Phase A.1–A.3, Phase B, or Sections 1–6. Repository Impact Assessment (Section 3) evidences a "Test" repository category only in the sense of WP-0002's query-based verification method and its reuse by WP-0004 and WP-0005 — not a separate automated test-suite codebase. This document does not infer more than that.</w:t>
      </w:r>
    </w:p>
    <w:p>
      <w:pPr>
        <w:spacing w:after="140"/>
      </w:pPr>
      <w:r>
        <w:t xml:space="preserve">Guiding principles. This strategy inherits, without modification, the nine permanent engineering principles (AP-001–AP-009) established in Phase A.3 §2 and consistently applied across Sections 1–6. No new principle is introduced.</w:t>
      </w:r>
    </w:p>
    <w:p>
      <w:pPr>
        <w:pStyle w:val="Heading1"/>
        <w:spacing w:after="160" w:before="360"/>
      </w:pPr>
      <w:r>
        <w:t xml:space="preserve">2. Enterprise Testing Principles</w:t>
      </w:r>
    </w:p>
    <w:p>
      <w:pPr>
        <w:spacing w:after="140"/>
      </w:pPr>
      <w:r>
        <w:t xml:space="preserve">The following testing principles govern verification activity in this document. Each maps to a permanent principle already approved in Phase A.3 §2, or to a pattern Section 6 already established; none is newly introduced here.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5400"/>
      </w:tblGrid>
      <w:tr>
        <w:trPr>
          <w:tblHeader/>
        </w:trPr>
        <w:tc>
          <w:tcPr>
            <w:tcW w:type="dxa" w:w="2500"/>
            <w:shd w:fill="D9D9D9" w:val="clear"/>
            <w:tcMar>
              <w:top w:type="dxa" w:w="80"/>
              <w:left w:type="dxa" w:w="100"/>
              <w:bottom w:type="dxa" w:w="80"/>
              <w:right w:type="dxa" w:w="100"/>
            </w:tcMar>
          </w:tcPr>
          <w:p>
            <w:pPr>
              <w:jc w:val="left"/>
            </w:pPr>
            <w:r>
              <w:rPr>
                <w:b/>
                <w:bCs/>
              </w:rPr>
              <w:t xml:space="preserve">Testing Principle</w:t>
            </w:r>
          </w:p>
        </w:tc>
        <w:tc>
          <w:tcPr>
            <w:tcW w:type="dxa" w:w="1900"/>
            <w:shd w:fill="D9D9D9" w:val="clear"/>
            <w:tcMar>
              <w:top w:type="dxa" w:w="80"/>
              <w:left w:type="dxa" w:w="100"/>
              <w:bottom w:type="dxa" w:w="80"/>
              <w:right w:type="dxa" w:w="100"/>
            </w:tcMar>
          </w:tcPr>
          <w:p>
            <w:pPr>
              <w:jc w:val="left"/>
            </w:pPr>
            <w:r>
              <w:rPr>
                <w:b/>
                <w:bCs/>
              </w:rPr>
              <w:t xml:space="preserve">Governing Basis</w:t>
            </w:r>
          </w:p>
        </w:tc>
        <w:tc>
          <w:tcPr>
            <w:tcW w:type="dxa" w:w="5400"/>
            <w:shd w:fill="D9D9D9" w:val="clear"/>
            <w:tcMar>
              <w:top w:type="dxa" w:w="80"/>
              <w:left w:type="dxa" w:w="100"/>
              <w:bottom w:type="dxa" w:w="80"/>
              <w:right w:type="dxa" w:w="100"/>
            </w:tcMar>
          </w:tcPr>
          <w:p>
            <w:pPr>
              <w:jc w:val="left"/>
            </w:pPr>
            <w:r>
              <w:rPr>
                <w:b/>
                <w:bCs/>
              </w:rPr>
              <w:t xml:space="preserve">Application in This Strategy</w:t>
            </w:r>
          </w:p>
        </w:tc>
      </w:tr>
      <w:tr>
        <w:tc>
          <w:tcPr>
            <w:tcW w:type="dxa" w:w="2500"/>
            <w:tcMar>
              <w:top w:type="dxa" w:w="80"/>
              <w:left w:type="dxa" w:w="100"/>
              <w:bottom w:type="dxa" w:w="80"/>
              <w:right w:type="dxa" w:w="100"/>
            </w:tcMar>
          </w:tcPr>
          <w:p>
            <w:pPr>
              <w:jc w:val="left"/>
            </w:pPr>
            <w:r>
              <w:rPr>
                <w:b w:val="false"/>
                <w:bCs w:val="false"/>
              </w:rPr>
              <w:t xml:space="preserve">Evidence-based verification</w:t>
            </w:r>
          </w:p>
        </w:tc>
        <w:tc>
          <w:tcPr>
            <w:tcW w:type="dxa" w:w="1900"/>
            <w:tcMar>
              <w:top w:type="dxa" w:w="80"/>
              <w:left w:type="dxa" w:w="100"/>
              <w:bottom w:type="dxa" w:w="80"/>
              <w:right w:type="dxa" w:w="100"/>
            </w:tcMar>
          </w:tcPr>
          <w:p>
            <w:pPr>
              <w:jc w:val="left"/>
            </w:pPr>
            <w:r>
              <w:rPr>
                <w:b w:val="false"/>
                <w:bCs w:val="false"/>
              </w:rPr>
              <w:t xml:space="preserve">AP-002 / AP-005</w:t>
            </w:r>
          </w:p>
        </w:tc>
        <w:tc>
          <w:tcPr>
            <w:tcW w:type="dxa" w:w="5400"/>
            <w:tcMar>
              <w:top w:type="dxa" w:w="80"/>
              <w:left w:type="dxa" w:w="100"/>
              <w:bottom w:type="dxa" w:w="80"/>
              <w:right w:type="dxa" w:w="100"/>
            </w:tcMar>
          </w:tcPr>
          <w:p>
            <w:pPr>
              <w:jc w:val="left"/>
            </w:pPr>
            <w:r>
              <w:rPr>
                <w:b w:val="false"/>
                <w:bCs w:val="false"/>
              </w:rPr>
              <w:t xml:space="preserve">No verification result is admitted without a repository file/line citation, query output, or published document — identical evidentiary standard to Section 6 §2.</w:t>
            </w:r>
          </w:p>
        </w:tc>
      </w:tr>
      <w:tr>
        <w:tc>
          <w:tcPr>
            <w:tcW w:type="dxa" w:w="2500"/>
            <w:tcMar>
              <w:top w:type="dxa" w:w="80"/>
              <w:left w:type="dxa" w:w="100"/>
              <w:bottom w:type="dxa" w:w="80"/>
              <w:right w:type="dxa" w:w="100"/>
            </w:tcMar>
          </w:tcPr>
          <w:p>
            <w:pPr>
              <w:jc w:val="left"/>
            </w:pPr>
            <w:r>
              <w:rPr>
                <w:b w:val="false"/>
                <w:bCs w:val="false"/>
              </w:rPr>
              <w:t xml:space="preserve">Verification-before-certification</w:t>
            </w:r>
          </w:p>
        </w:tc>
        <w:tc>
          <w:tcPr>
            <w:tcW w:type="dxa" w:w="1900"/>
            <w:tcMar>
              <w:top w:type="dxa" w:w="80"/>
              <w:left w:type="dxa" w:w="100"/>
              <w:bottom w:type="dxa" w:w="80"/>
              <w:right w:type="dxa" w:w="100"/>
            </w:tcMar>
          </w:tcPr>
          <w:p>
            <w:pPr>
              <w:jc w:val="left"/>
            </w:pPr>
            <w:r>
              <w:rPr>
                <w:b w:val="false"/>
                <w:bCs w:val="false"/>
              </w:rPr>
              <w:t xml:space="preserve">Section 6 §3 (Certification stage)</w:t>
            </w:r>
          </w:p>
        </w:tc>
        <w:tc>
          <w:tcPr>
            <w:tcW w:type="dxa" w:w="5400"/>
            <w:tcMar>
              <w:top w:type="dxa" w:w="80"/>
              <w:left w:type="dxa" w:w="100"/>
              <w:bottom w:type="dxa" w:w="80"/>
              <w:right w:type="dxa" w:w="100"/>
            </w:tcMar>
          </w:tcPr>
          <w:p>
            <w:pPr>
              <w:jc w:val="left"/>
            </w:pPr>
            <w:r>
              <w:rPr>
                <w:b w:val="false"/>
                <w:bCs w:val="false"/>
              </w:rPr>
              <w:t xml:space="preserve">A Certification Level (Phase A.3 §11) is updated only after this document's verification evidence exists, never before.</w:t>
            </w:r>
          </w:p>
        </w:tc>
      </w:tr>
      <w:tr>
        <w:tc>
          <w:tcPr>
            <w:tcW w:type="dxa" w:w="2500"/>
            <w:tcMar>
              <w:top w:type="dxa" w:w="80"/>
              <w:left w:type="dxa" w:w="100"/>
              <w:bottom w:type="dxa" w:w="80"/>
              <w:right w:type="dxa" w:w="100"/>
            </w:tcMar>
          </w:tcPr>
          <w:p>
            <w:pPr>
              <w:jc w:val="left"/>
            </w:pPr>
            <w:r>
              <w:rPr>
                <w:b w:val="false"/>
                <w:bCs w:val="false"/>
              </w:rPr>
              <w:t xml:space="preserve">Architecture-aligned testing</w:t>
            </w:r>
          </w:p>
        </w:tc>
        <w:tc>
          <w:tcPr>
            <w:tcW w:type="dxa" w:w="1900"/>
            <w:tcMar>
              <w:top w:type="dxa" w:w="80"/>
              <w:left w:type="dxa" w:w="100"/>
              <w:bottom w:type="dxa" w:w="80"/>
              <w:right w:type="dxa" w:w="100"/>
            </w:tcMar>
          </w:tcPr>
          <w:p>
            <w:pPr>
              <w:jc w:val="left"/>
            </w:pPr>
            <w:r>
              <w:rPr>
                <w:b w:val="false"/>
                <w:bCs w:val="false"/>
              </w:rPr>
              <w:t xml:space="preserve">AP-001</w:t>
            </w:r>
          </w:p>
        </w:tc>
        <w:tc>
          <w:tcPr>
            <w:tcW w:type="dxa" w:w="5400"/>
            <w:tcMar>
              <w:top w:type="dxa" w:w="80"/>
              <w:left w:type="dxa" w:w="100"/>
              <w:bottom w:type="dxa" w:w="80"/>
              <w:right w:type="dxa" w:w="100"/>
            </w:tcMar>
          </w:tcPr>
          <w:p>
            <w:pPr>
              <w:jc w:val="left"/>
            </w:pPr>
            <w:r>
              <w:rPr>
                <w:b w:val="false"/>
                <w:bCs w:val="false"/>
              </w:rPr>
              <w:t xml:space="preserve">Every test target is the Architecture Requirement / Enterprise Governance Decision pair the Work Package executes (Section 4 §A per WP) — testing validates architecture conformance, it does not define it.</w:t>
            </w:r>
          </w:p>
        </w:tc>
      </w:tr>
      <w:tr>
        <w:tc>
          <w:tcPr>
            <w:tcW w:type="dxa" w:w="2500"/>
            <w:tcMar>
              <w:top w:type="dxa" w:w="80"/>
              <w:left w:type="dxa" w:w="100"/>
              <w:bottom w:type="dxa" w:w="80"/>
              <w:right w:type="dxa" w:w="100"/>
            </w:tcMar>
          </w:tcPr>
          <w:p>
            <w:pPr>
              <w:jc w:val="left"/>
            </w:pPr>
            <w:r>
              <w:rPr>
                <w:b w:val="false"/>
                <w:bCs w:val="false"/>
              </w:rPr>
              <w:t xml:space="preserve">Repository-aware verification</w:t>
            </w:r>
          </w:p>
        </w:tc>
        <w:tc>
          <w:tcPr>
            <w:tcW w:type="dxa" w:w="1900"/>
            <w:tcMar>
              <w:top w:type="dxa" w:w="80"/>
              <w:left w:type="dxa" w:w="100"/>
              <w:bottom w:type="dxa" w:w="80"/>
              <w:right w:type="dxa" w:w="100"/>
            </w:tcMar>
          </w:tcPr>
          <w:p>
            <w:pPr>
              <w:jc w:val="left"/>
            </w:pPr>
            <w:r>
              <w:rPr>
                <w:b w:val="false"/>
                <w:bCs w:val="false"/>
              </w:rPr>
              <w:t xml:space="preserve">AP-002</w:t>
            </w:r>
          </w:p>
        </w:tc>
        <w:tc>
          <w:tcPr>
            <w:tcW w:type="dxa" w:w="5400"/>
            <w:tcMar>
              <w:top w:type="dxa" w:w="80"/>
              <w:left w:type="dxa" w:w="100"/>
              <w:bottom w:type="dxa" w:w="80"/>
              <w:right w:type="dxa" w:w="100"/>
            </w:tcMar>
          </w:tcPr>
          <w:p>
            <w:pPr>
              <w:jc w:val="left"/>
            </w:pPr>
            <w:r>
              <w:rPr>
                <w:b w:val="false"/>
                <w:bCs w:val="false"/>
              </w:rPr>
              <w:t xml:space="preserve">Testing scope is confined to the three repository categories with approved impact — Documentation, Database, and Test (Section 3) — with no testing claim for Backend, Frontend, Integration, AI, or Infrastructure.</w:t>
            </w:r>
          </w:p>
        </w:tc>
      </w:tr>
      <w:tr>
        <w:tc>
          <w:tcPr>
            <w:tcW w:type="dxa" w:w="2500"/>
            <w:tcMar>
              <w:top w:type="dxa" w:w="80"/>
              <w:left w:type="dxa" w:w="100"/>
              <w:bottom w:type="dxa" w:w="80"/>
              <w:right w:type="dxa" w:w="100"/>
            </w:tcMar>
          </w:tcPr>
          <w:p>
            <w:pPr>
              <w:jc w:val="left"/>
            </w:pPr>
            <w:r>
              <w:rPr>
                <w:b w:val="false"/>
                <w:bCs w:val="false"/>
              </w:rPr>
              <w:t xml:space="preserve">Risk-based testing</w:t>
            </w:r>
          </w:p>
        </w:tc>
        <w:tc>
          <w:tcPr>
            <w:tcW w:type="dxa" w:w="1900"/>
            <w:tcMar>
              <w:top w:type="dxa" w:w="80"/>
              <w:left w:type="dxa" w:w="100"/>
              <w:bottom w:type="dxa" w:w="80"/>
              <w:right w:type="dxa" w:w="100"/>
            </w:tcMar>
          </w:tcPr>
          <w:p>
            <w:pPr>
              <w:jc w:val="left"/>
            </w:pPr>
            <w:r>
              <w:rPr>
                <w:b w:val="false"/>
                <w:bCs w:val="false"/>
              </w:rPr>
              <w:t xml:space="preserve">Phase B §2 (risk-first)</w:t>
            </w:r>
          </w:p>
        </w:tc>
        <w:tc>
          <w:tcPr>
            <w:tcW w:type="dxa" w:w="5400"/>
            <w:tcMar>
              <w:top w:type="dxa" w:w="80"/>
              <w:left w:type="dxa" w:w="100"/>
              <w:bottom w:type="dxa" w:w="80"/>
              <w:right w:type="dxa" w:w="100"/>
            </w:tcMar>
          </w:tcPr>
          <w:p>
            <w:pPr>
              <w:jc w:val="left"/>
            </w:pPr>
            <w:r>
              <w:rPr>
                <w:b w:val="false"/>
                <w:bCs w:val="false"/>
              </w:rPr>
              <w:t xml:space="preserve">Verification effort concentrates on WP-0002 (unverified security gap) and WP-0006 (blocking governance/resource-readiness gap), matching their Wave 1 sequencing.</w:t>
            </w:r>
          </w:p>
        </w:tc>
      </w:tr>
      <w:tr>
        <w:tc>
          <w:tcPr>
            <w:tcW w:type="dxa" w:w="2500"/>
            <w:tcMar>
              <w:top w:type="dxa" w:w="80"/>
              <w:left w:type="dxa" w:w="100"/>
              <w:bottom w:type="dxa" w:w="80"/>
              <w:right w:type="dxa" w:w="100"/>
            </w:tcMar>
          </w:tcPr>
          <w:p>
            <w:pPr>
              <w:jc w:val="left"/>
            </w:pPr>
            <w:r>
              <w:rPr>
                <w:b w:val="false"/>
                <w:bCs w:val="false"/>
              </w:rPr>
              <w:t xml:space="preserve">Governance-supported verification</w:t>
            </w:r>
          </w:p>
        </w:tc>
        <w:tc>
          <w:tcPr>
            <w:tcW w:type="dxa" w:w="1900"/>
            <w:tcMar>
              <w:top w:type="dxa" w:w="80"/>
              <w:left w:type="dxa" w:w="100"/>
              <w:bottom w:type="dxa" w:w="80"/>
              <w:right w:type="dxa" w:w="100"/>
            </w:tcMar>
          </w:tcPr>
          <w:p>
            <w:pPr>
              <w:jc w:val="left"/>
            </w:pPr>
            <w:r>
              <w:rPr>
                <w:b w:val="false"/>
                <w:bCs w:val="false"/>
              </w:rPr>
              <w:t xml:space="preserve">AP-003 / AP-006</w:t>
            </w:r>
          </w:p>
        </w:tc>
        <w:tc>
          <w:tcPr>
            <w:tcW w:type="dxa" w:w="5400"/>
            <w:tcMar>
              <w:top w:type="dxa" w:w="80"/>
              <w:left w:type="dxa" w:w="100"/>
              <w:bottom w:type="dxa" w:w="80"/>
              <w:right w:type="dxa" w:w="100"/>
            </w:tcMar>
          </w:tcPr>
          <w:p>
            <w:pPr>
              <w:jc w:val="left"/>
            </w:pPr>
            <w:r>
              <w:rPr>
                <w:b w:val="false"/>
                <w:bCs w:val="false"/>
              </w:rPr>
              <w:t xml:space="preserve">Verification findings that surface an architecture or governance gap are routed to a new or amended EGD entry, exactly as Section 6 §8 (Non-Conformance Management) already establishes; testing does not self-authorize architecture change.</w:t>
            </w:r>
          </w:p>
        </w:tc>
      </w:tr>
      <w:tr>
        <w:tc>
          <w:tcPr>
            <w:tcW w:type="dxa" w:w="2500"/>
            <w:tcMar>
              <w:top w:type="dxa" w:w="80"/>
              <w:left w:type="dxa" w:w="100"/>
              <w:bottom w:type="dxa" w:w="80"/>
              <w:right w:type="dxa" w:w="100"/>
            </w:tcMar>
          </w:tcPr>
          <w:p>
            <w:pPr>
              <w:jc w:val="left"/>
            </w:pPr>
            <w:r>
              <w:rPr>
                <w:b w:val="false"/>
                <w:bCs w:val="false"/>
              </w:rPr>
              <w:t xml:space="preserve">Continuous verification</w:t>
            </w:r>
          </w:p>
        </w:tc>
        <w:tc>
          <w:tcPr>
            <w:tcW w:type="dxa" w:w="1900"/>
            <w:tcMar>
              <w:top w:type="dxa" w:w="80"/>
              <w:left w:type="dxa" w:w="100"/>
              <w:bottom w:type="dxa" w:w="80"/>
              <w:right w:type="dxa" w:w="100"/>
            </w:tcMar>
          </w:tcPr>
          <w:p>
            <w:pPr>
              <w:jc w:val="left"/>
            </w:pPr>
            <w:r>
              <w:rPr>
                <w:b w:val="false"/>
                <w:bCs w:val="false"/>
              </w:rPr>
              <w:t xml:space="preserve">Phase B §2 pattern</w:t>
            </w:r>
          </w:p>
        </w:tc>
        <w:tc>
          <w:tcPr>
            <w:tcW w:type="dxa" w:w="5400"/>
            <w:tcMar>
              <w:top w:type="dxa" w:w="80"/>
              <w:left w:type="dxa" w:w="100"/>
              <w:bottom w:type="dxa" w:w="80"/>
              <w:right w:type="dxa" w:w="100"/>
            </w:tcMar>
          </w:tcPr>
          <w:p>
            <w:pPr>
              <w:jc w:val="left"/>
            </w:pPr>
            <w:r>
              <w:rPr>
                <w:b w:val="false"/>
                <w:bCs w:val="false"/>
              </w:rPr>
              <w:t xml:space="preserve">KPI-01, KPI-06, KPI-07, and KPI-09 are re-measured at each milestone as the verification cycle repeats, consistent with Sections 1, 4, 5, and 6.</w:t>
            </w:r>
          </w:p>
        </w:tc>
      </w:tr>
      <w:tr>
        <w:tc>
          <w:tcPr>
            <w:tcW w:type="dxa" w:w="2500"/>
            <w:tcMar>
              <w:top w:type="dxa" w:w="80"/>
              <w:left w:type="dxa" w:w="100"/>
              <w:bottom w:type="dxa" w:w="80"/>
              <w:right w:type="dxa" w:w="100"/>
            </w:tcMar>
          </w:tcPr>
          <w:p>
            <w:pPr>
              <w:jc w:val="left"/>
            </w:pPr>
            <w:r>
              <w:rPr>
                <w:b w:val="false"/>
                <w:bCs w:val="false"/>
              </w:rPr>
              <w:t xml:space="preserve">Repeatable verification</w:t>
            </w:r>
          </w:p>
        </w:tc>
        <w:tc>
          <w:tcPr>
            <w:tcW w:type="dxa" w:w="1900"/>
            <w:tcMar>
              <w:top w:type="dxa" w:w="80"/>
              <w:left w:type="dxa" w:w="100"/>
              <w:bottom w:type="dxa" w:w="80"/>
              <w:right w:type="dxa" w:w="100"/>
            </w:tcMar>
          </w:tcPr>
          <w:p>
            <w:pPr>
              <w:jc w:val="left"/>
            </w:pPr>
            <w:r>
              <w:rPr>
                <w:b w:val="false"/>
                <w:bCs w:val="false"/>
              </w:rPr>
              <w:t xml:space="preserve">ISO/IEC/IEEE 29119</w:t>
            </w:r>
          </w:p>
        </w:tc>
        <w:tc>
          <w:tcPr>
            <w:tcW w:type="dxa" w:w="5400"/>
            <w:tcMar>
              <w:top w:type="dxa" w:w="80"/>
              <w:left w:type="dxa" w:w="100"/>
              <w:bottom w:type="dxa" w:w="80"/>
              <w:right w:type="dxa" w:w="100"/>
            </w:tcMar>
          </w:tcPr>
          <w:p>
            <w:pPr>
              <w:jc w:val="left"/>
            </w:pPr>
            <w:r>
              <w:rPr>
                <w:b w:val="false"/>
                <w:bCs w:val="false"/>
              </w:rPr>
              <w:t xml:space="preserve">Every verification method named in Section 4/Section 5 (e.g., WP-0002's query-based RLS check) is designed to be re-run with the same result — the standing template Section 1 §7 already designates it as.</w:t>
            </w:r>
          </w:p>
        </w:tc>
      </w:tr>
      <w:tr>
        <w:tc>
          <w:tcPr>
            <w:tcW w:type="dxa" w:w="2500"/>
            <w:tcMar>
              <w:top w:type="dxa" w:w="80"/>
              <w:left w:type="dxa" w:w="100"/>
              <w:bottom w:type="dxa" w:w="80"/>
              <w:right w:type="dxa" w:w="100"/>
            </w:tcMar>
          </w:tcPr>
          <w:p>
            <w:pPr>
              <w:jc w:val="left"/>
            </w:pPr>
            <w:r>
              <w:rPr>
                <w:b w:val="false"/>
                <w:bCs w:val="false"/>
              </w:rPr>
              <w:t xml:space="preserve">Traceable verification</w:t>
            </w:r>
          </w:p>
        </w:tc>
        <w:tc>
          <w:tcPr>
            <w:tcW w:type="dxa" w:w="1900"/>
            <w:tcMar>
              <w:top w:type="dxa" w:w="80"/>
              <w:left w:type="dxa" w:w="100"/>
              <w:bottom w:type="dxa" w:w="80"/>
              <w:right w:type="dxa" w:w="100"/>
            </w:tcMar>
          </w:tcPr>
          <w:p>
            <w:pPr>
              <w:jc w:val="left"/>
            </w:pPr>
            <w:r>
              <w:rPr>
                <w:b w:val="false"/>
                <w:bCs w:val="false"/>
              </w:rPr>
              <w:t xml:space="preserve">Phase A.3 §7 chain</w:t>
            </w:r>
          </w:p>
        </w:tc>
        <w:tc>
          <w:tcPr>
            <w:tcW w:type="dxa" w:w="5400"/>
            <w:tcMar>
              <w:top w:type="dxa" w:w="80"/>
              <w:left w:type="dxa" w:w="100"/>
              <w:bottom w:type="dxa" w:w="80"/>
              <w:right w:type="dxa" w:w="100"/>
            </w:tcMar>
          </w:tcPr>
          <w:p>
            <w:pPr>
              <w:jc w:val="left"/>
            </w:pPr>
            <w:r>
              <w:rPr>
                <w:b w:val="false"/>
                <w:bCs w:val="false"/>
              </w:rPr>
              <w:t xml:space="preserve">Every verification record in Section 4 of this document preserves the full chain through to Certification Level, adding no new link and skipping none.</w:t>
            </w:r>
          </w:p>
        </w:tc>
      </w:tr>
      <w:tr>
        <w:tc>
          <w:tcPr>
            <w:tcW w:type="dxa" w:w="2500"/>
            <w:tcMar>
              <w:top w:type="dxa" w:w="80"/>
              <w:left w:type="dxa" w:w="100"/>
              <w:bottom w:type="dxa" w:w="80"/>
              <w:right w:type="dxa" w:w="100"/>
            </w:tcMar>
          </w:tcPr>
          <w:p>
            <w:pPr>
              <w:jc w:val="left"/>
            </w:pPr>
            <w:r>
              <w:rPr>
                <w:b w:val="false"/>
                <w:bCs w:val="false"/>
              </w:rPr>
              <w:t xml:space="preserve">Incremental quality assurance</w:t>
            </w:r>
          </w:p>
        </w:tc>
        <w:tc>
          <w:tcPr>
            <w:tcW w:type="dxa" w:w="1900"/>
            <w:tcMar>
              <w:top w:type="dxa" w:w="80"/>
              <w:left w:type="dxa" w:w="100"/>
              <w:bottom w:type="dxa" w:w="80"/>
              <w:right w:type="dxa" w:w="100"/>
            </w:tcMar>
          </w:tcPr>
          <w:p>
            <w:pPr>
              <w:jc w:val="left"/>
            </w:pPr>
            <w:r>
              <w:rPr>
                <w:b w:val="false"/>
                <w:bCs w:val="false"/>
              </w:rPr>
              <w:t xml:space="preserve">Phase A.3 §11 (L1–L4)</w:t>
            </w:r>
          </w:p>
        </w:tc>
        <w:tc>
          <w:tcPr>
            <w:tcW w:type="dxa" w:w="5400"/>
            <w:tcMar>
              <w:top w:type="dxa" w:w="80"/>
              <w:left w:type="dxa" w:w="100"/>
              <w:bottom w:type="dxa" w:w="80"/>
              <w:right w:type="dxa" w:w="100"/>
            </w:tcMar>
          </w:tcPr>
          <w:p>
            <w:pPr>
              <w:jc w:val="left"/>
            </w:pPr>
            <w:r>
              <w:rPr>
                <w:b w:val="false"/>
                <w:bCs w:val="false"/>
              </w:rPr>
              <w:t xml:space="preserve">Quality assurance is confirmed per Work Package and per Certification Level increment, not asserted in aggregate across the six Work Packages.</w:t>
            </w:r>
          </w:p>
        </w:tc>
      </w:tr>
    </w:tbl>
    <w:p>
      <w:pPr>
        <w:pStyle w:val="Heading1"/>
        <w:spacing w:after="160" w:before="360"/>
      </w:pPr>
      <w:r>
        <w:t xml:space="preserve">3. Enterprise Verification Framework</w:t>
      </w:r>
    </w:p>
    <w:p>
      <w:pPr>
        <w:spacing w:after="140"/>
      </w:pPr>
      <w:r>
        <w:t xml:space="preserve">The verification lifecycle below applies to WP-0001–WP-0006 with stage applicability scaled to each Work Package's own scope, consistent with Section 1 §3 and Section 6 §3's finding that several lifecycle stages are compressed or not applicable for the current, intentionally lightweight Work Package set.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D9D9D9" w:val="clear"/>
            <w:tcMar>
              <w:top w:type="dxa" w:w="80"/>
              <w:left w:type="dxa" w:w="100"/>
              <w:bottom w:type="dxa" w:w="80"/>
              <w:right w:type="dxa" w:w="100"/>
            </w:tcMar>
          </w:tcPr>
          <w:p>
            <w:pPr>
              <w:jc w:val="left"/>
            </w:pPr>
            <w:r>
              <w:rPr>
                <w:b/>
                <w:bCs/>
              </w:rPr>
              <w:t xml:space="preserve">Stage</w:t>
            </w:r>
          </w:p>
        </w:tc>
        <w:tc>
          <w:tcPr>
            <w:tcW w:type="dxa" w:w="7400"/>
            <w:shd w:fill="D9D9D9" w:val="clear"/>
            <w:tcMar>
              <w:top w:type="dxa" w:w="80"/>
              <w:left w:type="dxa" w:w="100"/>
              <w:bottom w:type="dxa" w:w="80"/>
              <w:right w:type="dxa" w:w="100"/>
            </w:tcMar>
          </w:tcPr>
          <w:p>
            <w:pPr>
              <w:jc w:val="left"/>
            </w:pPr>
            <w:r>
              <w:rPr>
                <w:b/>
                <w:bCs/>
              </w:rPr>
              <w:t xml:space="preserve">Objective</w:t>
            </w:r>
          </w:p>
        </w:tc>
      </w:tr>
      <w:tr>
        <w:tc>
          <w:tcPr>
            <w:tcW w:type="dxa" w:w="2400"/>
            <w:tcMar>
              <w:top w:type="dxa" w:w="80"/>
              <w:left w:type="dxa" w:w="100"/>
              <w:bottom w:type="dxa" w:w="80"/>
              <w:right w:type="dxa" w:w="100"/>
            </w:tcMar>
          </w:tcPr>
          <w:p>
            <w:pPr>
              <w:jc w:val="left"/>
            </w:pPr>
            <w:r>
              <w:rPr>
                <w:b w:val="false"/>
                <w:bCs w:val="false"/>
              </w:rPr>
              <w:t xml:space="preserve">Verification planning</w:t>
            </w:r>
          </w:p>
        </w:tc>
        <w:tc>
          <w:tcPr>
            <w:tcW w:type="dxa" w:w="7400"/>
            <w:tcMar>
              <w:top w:type="dxa" w:w="80"/>
              <w:left w:type="dxa" w:w="100"/>
              <w:bottom w:type="dxa" w:w="80"/>
              <w:right w:type="dxa" w:w="100"/>
            </w:tcMar>
          </w:tcPr>
          <w:p>
            <w:pPr>
              <w:jc w:val="left"/>
            </w:pPr>
            <w:r>
              <w:rPr>
                <w:b w:val="false"/>
                <w:bCs w:val="false"/>
              </w:rPr>
              <w:t xml:space="preserve">Identify, for each Work Package, the AR/EGD pair under test and the verification method (Section 4/Section 5) that will serve as the test procedure, before execution begins.</w:t>
            </w:r>
          </w:p>
        </w:tc>
      </w:tr>
      <w:tr>
        <w:tc>
          <w:tcPr>
            <w:tcW w:type="dxa" w:w="2400"/>
            <w:tcMar>
              <w:top w:type="dxa" w:w="80"/>
              <w:left w:type="dxa" w:w="100"/>
              <w:bottom w:type="dxa" w:w="80"/>
              <w:right w:type="dxa" w:w="100"/>
            </w:tcMar>
          </w:tcPr>
          <w:p>
            <w:pPr>
              <w:jc w:val="left"/>
            </w:pPr>
            <w:r>
              <w:rPr>
                <w:b w:val="false"/>
                <w:bCs w:val="false"/>
              </w:rPr>
              <w:t xml:space="preserve">Test preparation</w:t>
            </w:r>
          </w:p>
        </w:tc>
        <w:tc>
          <w:tcPr>
            <w:tcW w:type="dxa" w:w="7400"/>
            <w:tcMar>
              <w:top w:type="dxa" w:w="80"/>
              <w:left w:type="dxa" w:w="100"/>
              <w:bottom w:type="dxa" w:w="80"/>
              <w:right w:type="dxa" w:w="100"/>
            </w:tcMar>
          </w:tcPr>
          <w:p>
            <w:pPr>
              <w:jc w:val="left"/>
            </w:pPr>
            <w:r>
              <w:rPr>
                <w:b w:val="false"/>
                <w:bCs w:val="false"/>
              </w:rPr>
              <w:t xml:space="preserve">Confirm preconditions the verification method requires are met — e.g., database access and the four named table groups available before WP-0002's query-based check runs.</w:t>
            </w:r>
          </w:p>
        </w:tc>
      </w:tr>
      <w:tr>
        <w:tc>
          <w:tcPr>
            <w:tcW w:type="dxa" w:w="2400"/>
            <w:tcMar>
              <w:top w:type="dxa" w:w="80"/>
              <w:left w:type="dxa" w:w="100"/>
              <w:bottom w:type="dxa" w:w="80"/>
              <w:right w:type="dxa" w:w="100"/>
            </w:tcMar>
          </w:tcPr>
          <w:p>
            <w:pPr>
              <w:jc w:val="left"/>
            </w:pPr>
            <w:r>
              <w:rPr>
                <w:b w:val="false"/>
                <w:bCs w:val="false"/>
              </w:rPr>
              <w:t xml:space="preserve">Test execution</w:t>
            </w:r>
          </w:p>
        </w:tc>
        <w:tc>
          <w:tcPr>
            <w:tcW w:type="dxa" w:w="7400"/>
            <w:tcMar>
              <w:top w:type="dxa" w:w="80"/>
              <w:left w:type="dxa" w:w="100"/>
              <w:bottom w:type="dxa" w:w="80"/>
              <w:right w:type="dxa" w:w="100"/>
            </w:tcMar>
          </w:tcPr>
          <w:p>
            <w:pPr>
              <w:jc w:val="left"/>
            </w:pPr>
            <w:r>
              <w:rPr>
                <w:b w:val="false"/>
                <w:bCs w:val="false"/>
              </w:rPr>
              <w:t xml:space="preserve">Execute the approved verification method exactly as Section 4 designed it — e.g., the table-inventory diff for WP-0001, or the per-release automated denormalization check for WP-0004.</w:t>
            </w:r>
          </w:p>
        </w:tc>
      </w:tr>
      <w:tr>
        <w:tc>
          <w:tcPr>
            <w:tcW w:type="dxa" w:w="2400"/>
            <w:tcMar>
              <w:top w:type="dxa" w:w="80"/>
              <w:left w:type="dxa" w:w="100"/>
              <w:bottom w:type="dxa" w:w="80"/>
              <w:right w:type="dxa" w:w="100"/>
            </w:tcMar>
          </w:tcPr>
          <w:p>
            <w:pPr>
              <w:jc w:val="left"/>
            </w:pPr>
            <w:r>
              <w:rPr>
                <w:b w:val="false"/>
                <w:bCs w:val="false"/>
              </w:rPr>
              <w:t xml:space="preserve">Evidence collection</w:t>
            </w:r>
          </w:p>
        </w:tc>
        <w:tc>
          <w:tcPr>
            <w:tcW w:type="dxa" w:w="7400"/>
            <w:tcMar>
              <w:top w:type="dxa" w:w="80"/>
              <w:left w:type="dxa" w:w="100"/>
              <w:bottom w:type="dxa" w:w="80"/>
              <w:right w:type="dxa" w:w="100"/>
            </w:tcMar>
          </w:tcPr>
          <w:p>
            <w:pPr>
              <w:jc w:val="left"/>
            </w:pPr>
            <w:r>
              <w:rPr>
                <w:b w:val="false"/>
                <w:bCs w:val="false"/>
              </w:rPr>
              <w:t xml:space="preserve">Collect the specific evidence artifact Section 5 §8 and Section 6 §4 both name for the Work Package (e.g., zero-discrepancy diff for WP-0001; per-table verification ledger for WP-0002).</w:t>
            </w:r>
          </w:p>
        </w:tc>
      </w:tr>
      <w:tr>
        <w:tc>
          <w:tcPr>
            <w:tcW w:type="dxa" w:w="2400"/>
            <w:tcMar>
              <w:top w:type="dxa" w:w="80"/>
              <w:left w:type="dxa" w:w="100"/>
              <w:bottom w:type="dxa" w:w="80"/>
              <w:right w:type="dxa" w:w="100"/>
            </w:tcMar>
          </w:tcPr>
          <w:p>
            <w:pPr>
              <w:jc w:val="left"/>
            </w:pPr>
            <w:r>
              <w:rPr>
                <w:b w:val="false"/>
                <w:bCs w:val="false"/>
              </w:rPr>
              <w:t xml:space="preserve">Defect identification</w:t>
            </w:r>
          </w:p>
        </w:tc>
        <w:tc>
          <w:tcPr>
            <w:tcW w:type="dxa" w:w="7400"/>
            <w:tcMar>
              <w:top w:type="dxa" w:w="80"/>
              <w:left w:type="dxa" w:w="100"/>
              <w:bottom w:type="dxa" w:w="80"/>
              <w:right w:type="dxa" w:w="100"/>
            </w:tcMar>
          </w:tcPr>
          <w:p>
            <w:pPr>
              <w:jc w:val="left"/>
            </w:pPr>
            <w:r>
              <w:rPr>
                <w:b w:val="false"/>
                <w:bCs w:val="false"/>
              </w:rPr>
              <w:t xml:space="preserve">Identify any deviation the verification method surfaces — a documentation discrepancy, an RLS coverage gap, a denormalization-check violation, or an unassigned governance role.</w:t>
            </w:r>
          </w:p>
        </w:tc>
      </w:tr>
      <w:tr>
        <w:tc>
          <w:tcPr>
            <w:tcW w:type="dxa" w:w="2400"/>
            <w:tcMar>
              <w:top w:type="dxa" w:w="80"/>
              <w:left w:type="dxa" w:w="100"/>
              <w:bottom w:type="dxa" w:w="80"/>
              <w:right w:type="dxa" w:w="100"/>
            </w:tcMar>
          </w:tcPr>
          <w:p>
            <w:pPr>
              <w:jc w:val="left"/>
            </w:pPr>
            <w:r>
              <w:rPr>
                <w:b w:val="false"/>
                <w:bCs w:val="false"/>
              </w:rPr>
              <w:t xml:space="preserve">Corrective verification</w:t>
            </w:r>
          </w:p>
        </w:tc>
        <w:tc>
          <w:tcPr>
            <w:tcW w:type="dxa" w:w="7400"/>
            <w:tcMar>
              <w:top w:type="dxa" w:w="80"/>
              <w:left w:type="dxa" w:w="100"/>
              <w:bottom w:type="dxa" w:w="80"/>
              <w:right w:type="dxa" w:w="100"/>
            </w:tcMar>
          </w:tcPr>
          <w:p>
            <w:pPr>
              <w:jc w:val="left"/>
            </w:pPr>
            <w:r>
              <w:rPr>
                <w:b w:val="false"/>
                <w:bCs w:val="false"/>
              </w:rPr>
              <w:t xml:space="preserve">Where Section 4/Section 5 already pre-approve a contingency action (WP-0002's RLS policy correction; WP-0005's column-level policy or REVOKE change), apply it and re-verify; otherwise escalate per Section 6 §8's non-conformance path.</w:t>
            </w:r>
          </w:p>
        </w:tc>
      </w:tr>
      <w:tr>
        <w:tc>
          <w:tcPr>
            <w:tcW w:type="dxa" w:w="2400"/>
            <w:tcMar>
              <w:top w:type="dxa" w:w="80"/>
              <w:left w:type="dxa" w:w="100"/>
              <w:bottom w:type="dxa" w:w="80"/>
              <w:right w:type="dxa" w:w="100"/>
            </w:tcMar>
          </w:tcPr>
          <w:p>
            <w:pPr>
              <w:jc w:val="left"/>
            </w:pPr>
            <w:r>
              <w:rPr>
                <w:b w:val="false"/>
                <w:bCs w:val="false"/>
              </w:rPr>
              <w:t xml:space="preserve">Re-testing</w:t>
            </w:r>
          </w:p>
        </w:tc>
        <w:tc>
          <w:tcPr>
            <w:tcW w:type="dxa" w:w="7400"/>
            <w:tcMar>
              <w:top w:type="dxa" w:w="80"/>
              <w:left w:type="dxa" w:w="100"/>
              <w:bottom w:type="dxa" w:w="80"/>
              <w:right w:type="dxa" w:w="100"/>
            </w:tcMar>
          </w:tcPr>
          <w:p>
            <w:pPr>
              <w:jc w:val="left"/>
            </w:pPr>
            <w:r>
              <w:rPr>
                <w:b w:val="false"/>
                <w:bCs w:val="false"/>
              </w:rPr>
              <w:t xml:space="preserve">Re-run the same verification method after a corrective action, confirming the same evidence artifact now shows a clean result — the only re-testing approach evidenced in the baseline (Section 6 §8).</w:t>
            </w:r>
          </w:p>
        </w:tc>
      </w:tr>
      <w:tr>
        <w:tc>
          <w:tcPr>
            <w:tcW w:type="dxa" w:w="2400"/>
            <w:tcMar>
              <w:top w:type="dxa" w:w="80"/>
              <w:left w:type="dxa" w:w="100"/>
              <w:bottom w:type="dxa" w:w="80"/>
              <w:right w:type="dxa" w:w="100"/>
            </w:tcMar>
          </w:tcPr>
          <w:p>
            <w:pPr>
              <w:jc w:val="left"/>
            </w:pPr>
            <w:r>
              <w:rPr>
                <w:b w:val="false"/>
                <w:bCs w:val="false"/>
              </w:rPr>
              <w:t xml:space="preserve">Verification approval</w:t>
            </w:r>
          </w:p>
        </w:tc>
        <w:tc>
          <w:tcPr>
            <w:tcW w:type="dxa" w:w="7400"/>
            <w:tcMar>
              <w:top w:type="dxa" w:w="80"/>
              <w:left w:type="dxa" w:w="100"/>
              <w:bottom w:type="dxa" w:w="80"/>
              <w:right w:type="dxa" w:w="100"/>
            </w:tcMar>
          </w:tcPr>
          <w:p>
            <w:pPr>
              <w:jc w:val="left"/>
            </w:pPr>
            <w:r>
              <w:rPr>
                <w:b w:val="false"/>
                <w:bCs w:val="false"/>
              </w:rPr>
              <w:t xml:space="preserve">Confirm the Executive Sponsor / Governance Board role (Phase B §9) — Not Evidenced in Current Baseline as a distinct verification authority — records approval of the verification result.</w:t>
            </w:r>
          </w:p>
        </w:tc>
      </w:tr>
      <w:tr>
        <w:tc>
          <w:tcPr>
            <w:tcW w:type="dxa" w:w="2400"/>
            <w:tcMar>
              <w:top w:type="dxa" w:w="80"/>
              <w:left w:type="dxa" w:w="100"/>
              <w:bottom w:type="dxa" w:w="80"/>
              <w:right w:type="dxa" w:w="100"/>
            </w:tcMar>
          </w:tcPr>
          <w:p>
            <w:pPr>
              <w:jc w:val="left"/>
            </w:pPr>
            <w:r>
              <w:rPr>
                <w:b w:val="false"/>
                <w:bCs w:val="false"/>
              </w:rPr>
              <w:t xml:space="preserve">Verification closure</w:t>
            </w:r>
          </w:p>
        </w:tc>
        <w:tc>
          <w:tcPr>
            <w:tcW w:type="dxa" w:w="7400"/>
            <w:tcMar>
              <w:top w:type="dxa" w:w="80"/>
              <w:left w:type="dxa" w:w="100"/>
              <w:bottom w:type="dxa" w:w="80"/>
              <w:right w:type="dxa" w:w="100"/>
            </w:tcMar>
          </w:tcPr>
          <w:p>
            <w:pPr>
              <w:jc w:val="left"/>
            </w:pPr>
            <w:r>
              <w:rPr>
                <w:b w:val="false"/>
                <w:bCs w:val="false"/>
              </w:rPr>
              <w:t xml:space="preserve">Confirm the KPI associated with the Work Package (KPI-01, KPI-02, KPI-06, KPI-07, KPI-08, or KPI-09) is measured and recorded, and hand the closed verification record to Section 6's certification step.</w:t>
            </w:r>
          </w:p>
        </w:tc>
      </w:tr>
    </w:tbl>
    <w:p>
      <w:r>
        <w:br w:type="page"/>
      </w:r>
    </w:p>
    <w:p>
      <w:pPr>
        <w:pStyle w:val="Heading1"/>
        <w:spacing w:after="160" w:before="360"/>
      </w:pPr>
      <w:r>
        <w:t xml:space="preserve">4. Work Package Verification Profiles</w:t>
      </w:r>
    </w:p>
    <w:p>
      <w:pPr>
        <w:spacing w:after="140"/>
      </w:pPr>
      <w:r>
        <w:t xml:space="preserve">Each profile below reuses, without alteration, the verification method, repository scope, and evidence already established for the corresponding Work Package in Section 4 (Engineering Design), Section 5 (Implementation Blueprint), and Section 6 (Architecture Conformance Plan). No new test type, tool, or environment is introduced.</w:t>
      </w:r>
    </w:p>
    <w:p>
      <w:pPr>
        <w:pStyle w:val="Heading2"/>
        <w:spacing w:after="140" w:before="280"/>
      </w:pPr>
      <w:r>
        <w:t xml:space="preserve">WP-0001 — Revise EEP-01 Phase A Architecture Document to the Canonical Live-Schema Baseline</w:t>
      </w:r>
    </w:p>
    <w:p>
      <w:pPr>
        <w:spacing w:after="140"/>
      </w:pPr>
      <w:r>
        <w:rPr>
          <w:b/>
          <w:bCs/>
        </w:rPr>
        <w:t xml:space="preserve">Architecture Requirement: </w:t>
      </w:r>
      <w:r>
        <w:t xml:space="preserve">AR-0002 (Naming Governance)</w:t>
      </w:r>
      <w:r>
        <w:rPr>
          <w:b/>
          <w:bCs/>
        </w:rPr>
        <w:t xml:space="preserve">   Enterprise Governance Decision: </w:t>
      </w:r>
      <w:r>
        <w:t xml:space="preserve">EGD-0002 (Supersede)</w:t>
      </w:r>
    </w:p>
    <w:p>
      <w:pPr>
        <w:pStyle w:val="Heading3"/>
        <w:spacing w:after="120" w:before="220"/>
      </w:pPr>
      <w:r>
        <w:t xml:space="preserve">A. Verification Objective</w:t>
      </w:r>
    </w:p>
    <w:p>
      <w:pPr>
        <w:spacing w:after="140"/>
      </w:pPr>
      <w:r>
        <w:rPr>
          <w:b/>
          <w:bCs/>
        </w:rPr>
        <w:t xml:space="preserve">Verification purpose: </w:t>
      </w:r>
      <w:r>
        <w:t xml:space="preserve">Verify that the revised EEP-01 Phase A document accurately and completely describes the live public-schema student-academic table set, with zero discrepancy against the six live table groups (Phase A.3 §1.1).</w:t>
      </w:r>
    </w:p>
    <w:p>
      <w:pPr>
        <w:spacing w:after="140"/>
      </w:pPr>
      <w:r>
        <w:rPr>
          <w:b/>
          <w:bCs/>
        </w:rPr>
        <w:t xml:space="preserve">Expected verification outcome: </w:t>
      </w:r>
      <w:r>
        <w:t xml:space="preserve">Zero-discrepancy table-inventory diff between the revised document and the live schema.</w:t>
      </w:r>
    </w:p>
    <w:p>
      <w:pPr>
        <w:spacing w:after="140"/>
      </w:pPr>
      <w:r>
        <w:rPr>
          <w:b/>
          <w:bCs/>
        </w:rPr>
        <w:t xml:space="preserve">Quality objective: </w:t>
      </w:r>
      <w:r>
        <w:t xml:space="preserve">Documentation accuracy, measured directly by KPI-02.</w:t>
      </w:r>
    </w:p>
    <w:p>
      <w:pPr>
        <w:pStyle w:val="Heading3"/>
        <w:spacing w:after="120" w:before="220"/>
      </w:pPr>
      <w:r>
        <w:t xml:space="preserve">B. Verification Scope</w:t>
      </w:r>
    </w:p>
    <w:p>
      <w:pPr>
        <w:spacing w:after="140"/>
      </w:pPr>
      <w:r>
        <w:rPr>
          <w:b/>
          <w:bCs/>
        </w:rPr>
        <w:t xml:space="preserve">Architecture Requirements verified: </w:t>
      </w:r>
      <w:r>
        <w:t xml:space="preserve">AR-0002.</w:t>
      </w:r>
    </w:p>
    <w:p>
      <w:pPr>
        <w:spacing w:after="140"/>
      </w:pPr>
      <w:r>
        <w:rPr>
          <w:b/>
          <w:bCs/>
        </w:rPr>
        <w:t xml:space="preserve">Enterprise Governance Decisions verified: </w:t>
      </w:r>
      <w:r>
        <w:t xml:space="preserve">EGD-0002 (Supersede).</w:t>
      </w:r>
    </w:p>
    <w:p>
      <w:pPr>
        <w:spacing w:after="140"/>
      </w:pPr>
      <w:r>
        <w:rPr>
          <w:b/>
          <w:bCs/>
        </w:rPr>
        <w:t xml:space="preserve">Repository scope: </w:t>
      </w:r>
      <w:r>
        <w:t xml:space="preserve">Documentation repository only; no database or code repository scope.</w:t>
      </w:r>
    </w:p>
    <w:p>
      <w:pPr>
        <w:spacing w:after="140"/>
      </w:pPr>
      <w:r>
        <w:rPr>
          <w:b/>
          <w:bCs/>
        </w:rPr>
        <w:t xml:space="preserve">Documentation scope: </w:t>
      </w:r>
      <w:r>
        <w:t xml:space="preserve">Full — the revised document itself is both the subject and the object of verification.</w:t>
      </w:r>
    </w:p>
    <w:p>
      <w:pPr>
        <w:spacing w:after="140"/>
      </w:pPr>
      <w:r>
        <w:rPr>
          <w:b/>
          <w:bCs/>
        </w:rPr>
        <w:t xml:space="preserve">Database scope: </w:t>
      </w:r>
      <w:r>
        <w:t xml:space="preserve">Not Applicable.</w:t>
      </w:r>
    </w:p>
    <w:p>
      <w:pPr>
        <w:spacing w:after="140"/>
      </w:pPr>
      <w:r>
        <w:rPr>
          <w:b/>
          <w:bCs/>
        </w:rPr>
        <w:t xml:space="preserve">Security scope: </w:t>
      </w:r>
      <w:r>
        <w:t xml:space="preserve">Not Applicable.</w:t>
      </w:r>
    </w:p>
    <w:p>
      <w:pPr>
        <w:pStyle w:val="Heading3"/>
        <w:spacing w:after="120" w:before="220"/>
      </w:pPr>
      <w:r>
        <w:t xml:space="preserve">C. Verification Method</w:t>
      </w:r>
    </w:p>
    <w:p>
      <w:pPr>
        <w:spacing w:after="140"/>
      </w:pPr>
      <w:r>
        <w:t xml:space="preserve">Documentation verification via table-inventory diff — a manual inspection method comparing the revised document's table descriptions against the six live table groups; not an automated or query-based method.</w:t>
      </w:r>
    </w:p>
    <w:p>
      <w:pPr>
        <w:pStyle w:val="Heading3"/>
        <w:spacing w:after="120" w:before="220"/>
      </w:pPr>
      <w:r>
        <w:t xml:space="preserve">D. Verification Evidence</w:t>
      </w:r>
    </w:p>
    <w:p>
      <w:pPr>
        <w:pStyle w:val="ListParagraph"/>
        <w:numPr>
          <w:ilvl w:val="0"/>
          <w:numId w:val="1"/>
        </w:numPr>
        <w:spacing w:after="80"/>
      </w:pPr>
      <w:r>
        <w:t xml:space="preserve">Zero-discrepancy table-inventory diff report</w:t>
      </w:r>
    </w:p>
    <w:p>
      <w:pPr>
        <w:pStyle w:val="ListParagraph"/>
        <w:numPr>
          <w:ilvl w:val="0"/>
          <w:numId w:val="1"/>
        </w:numPr>
        <w:spacing w:after="80"/>
      </w:pPr>
      <w:r>
        <w:t xml:space="preserve">Published revised EEP-01 Phase A document</w:t>
      </w:r>
    </w:p>
    <w:p>
      <w:pPr>
        <w:pStyle w:val="ListParagraph"/>
        <w:numPr>
          <w:ilvl w:val="0"/>
          <w:numId w:val="1"/>
        </w:numPr>
        <w:spacing w:after="80"/>
      </w:pPr>
      <w:r>
        <w:t xml:space="preserve">ER-0002 and VAR-02 closure records</w:t>
      </w:r>
    </w:p>
    <w:p>
      <w:pPr>
        <w:pStyle w:val="ListParagraph"/>
        <w:numPr>
          <w:ilvl w:val="0"/>
          <w:numId w:val="1"/>
        </w:numPr>
        <w:spacing w:after="80"/>
      </w:pPr>
      <w:r>
        <w:t xml:space="preserve">KPI-02 (Documentation Accuracy %) measurement = 100</w:t>
      </w:r>
    </w:p>
    <w:p>
      <w:pPr>
        <w:pStyle w:val="Heading3"/>
        <w:spacing w:after="120" w:before="220"/>
      </w:pPr>
      <w:r>
        <w:t xml:space="preserve">E. Defect Management</w:t>
      </w:r>
    </w:p>
    <w:p>
      <w:pPr>
        <w:spacing w:after="140"/>
      </w:pPr>
      <w:r>
        <w:t xml:space="preserve">A discrepancy the diff surfaces is recorded directly in the diff report; severity is binary (discrepancy present / zero discrepancy) — no graduated severity scale is evidenced. Corrective verification is a document revision followed by a re-run of the same diff. A discrepancy pattern requiring an architecture change (not just a documentation fix) is Not Evidenced in Current Baseline as a defined path — it would require a new or amended EGD per AP-003.</w:t>
      </w:r>
    </w:p>
    <w:p>
      <w:pPr>
        <w:pStyle w:val="Heading3"/>
        <w:spacing w:after="120" w:before="220"/>
      </w:pPr>
      <w:r>
        <w:t xml:space="preserve">F. Verification Completion Criteria</w:t>
      </w:r>
    </w:p>
    <w:p>
      <w:pPr>
        <w:spacing w:after="140"/>
      </w:pPr>
      <w:r>
        <w:t xml:space="preserve">KPI-02 = 100; zero discrepancies confirmed; Certification Level advances toward L4 (currently L4 pending, per Section 6 §4).</w:t>
      </w:r>
    </w:p>
    <w:p>
      <w:pPr>
        <w:pBdr>
          <w:bottom w:val="single" w:color="999999" w:sz="6" w:space="1"/>
        </w:pBdr>
        <w:spacing w:after="200"/>
      </w:pPr>
    </w:p>
    <w:p>
      <w:pPr>
        <w:pStyle w:val="Heading2"/>
        <w:spacing w:after="140" w:before="280"/>
      </w:pPr>
      <w:r>
        <w:t xml:space="preserve">WP-0002 — Verify Row-Level Security Coverage on Student-Owned Tables</w:t>
      </w:r>
    </w:p>
    <w:p>
      <w:pPr>
        <w:spacing w:after="140"/>
      </w:pPr>
      <w:r>
        <w:rPr>
          <w:b/>
          <w:bCs/>
        </w:rPr>
        <w:t xml:space="preserve">Architecture Requirement: </w:t>
      </w:r>
      <w:r>
        <w:t xml:space="preserve">AR-0007</w:t>
      </w:r>
      <w:r>
        <w:rPr>
          <w:b/>
          <w:bCs/>
        </w:rPr>
        <w:t xml:space="preserve">   Enterprise Governance Decision: </w:t>
      </w:r>
      <w:r>
        <w:t xml:space="preserve">EGD-0007 (Realize)</w:t>
      </w:r>
    </w:p>
    <w:p>
      <w:pPr>
        <w:pStyle w:val="Heading3"/>
        <w:spacing w:after="120" w:before="220"/>
      </w:pPr>
      <w:r>
        <w:t xml:space="preserve">A. Verification Objective</w:t>
      </w:r>
    </w:p>
    <w:p>
      <w:pPr>
        <w:spacing w:after="140"/>
      </w:pPr>
      <w:r>
        <w:rPr>
          <w:b/>
          <w:bCs/>
        </w:rPr>
        <w:t xml:space="preserve">Verification purpose: </w:t>
      </w:r>
      <w:r>
        <w:t xml:space="preserve">Verify RLS ownership-check coverage on student_activities, student_cognitive_responses, student_signal_vectors, and related tables, using the same pattern already confirmed working on student_academic_records/student_academic_subjects (Phase A.1 §8).</w:t>
      </w:r>
    </w:p>
    <w:p>
      <w:pPr>
        <w:spacing w:after="140"/>
      </w:pPr>
      <w:r>
        <w:rPr>
          <w:b/>
          <w:bCs/>
        </w:rPr>
        <w:t xml:space="preserve">Expected verification outcome: </w:t>
      </w:r>
      <w:r>
        <w:t xml:space="preserve">Per-table RLS coverage ledger confirming policy presence and policy-function correctness for all four in-scope table groups.</w:t>
      </w:r>
    </w:p>
    <w:p>
      <w:pPr>
        <w:spacing w:after="140"/>
      </w:pPr>
      <w:r>
        <w:rPr>
          <w:b/>
          <w:bCs/>
        </w:rPr>
        <w:t xml:space="preserve">Quality objective: </w:t>
      </w:r>
      <w:r>
        <w:t xml:space="preserve">Security assurance, measured by KPI-06 (RLS Coverage %) and KPI-09 (Critical technical-debt class).</w:t>
      </w:r>
    </w:p>
    <w:p>
      <w:pPr>
        <w:pStyle w:val="Heading3"/>
        <w:spacing w:after="120" w:before="220"/>
      </w:pPr>
      <w:r>
        <w:t xml:space="preserve">B. Verification Scope</w:t>
      </w:r>
    </w:p>
    <w:p>
      <w:pPr>
        <w:spacing w:after="140"/>
      </w:pPr>
      <w:r>
        <w:rPr>
          <w:b/>
          <w:bCs/>
        </w:rPr>
        <w:t xml:space="preserve">Architecture Requirements verified: </w:t>
      </w:r>
      <w:r>
        <w:t xml:space="preserve">AR-0007.</w:t>
      </w:r>
    </w:p>
    <w:p>
      <w:pPr>
        <w:spacing w:after="140"/>
      </w:pPr>
      <w:r>
        <w:rPr>
          <w:b/>
          <w:bCs/>
        </w:rPr>
        <w:t xml:space="preserve">Enterprise Governance Decisions verified: </w:t>
      </w:r>
      <w:r>
        <w:t xml:space="preserve">EGD-0007 (Realize).</w:t>
      </w:r>
    </w:p>
    <w:p>
      <w:pPr>
        <w:spacing w:after="140"/>
      </w:pPr>
      <w:r>
        <w:rPr>
          <w:b/>
          <w:bCs/>
        </w:rPr>
        <w:t xml:space="preserve">Repository scope: </w:t>
      </w:r>
      <w:r>
        <w:t xml:space="preserve">Database and Test repositories carry approved scope; Documentation repository carries the published verification record.</w:t>
      </w:r>
    </w:p>
    <w:p>
      <w:pPr>
        <w:spacing w:after="140"/>
      </w:pPr>
      <w:r>
        <w:rPr>
          <w:b/>
          <w:bCs/>
        </w:rPr>
        <w:t xml:space="preserve">Documentation scope: </w:t>
      </w:r>
      <w:r>
        <w:t xml:space="preserve">Published RLS verification document only.</w:t>
      </w:r>
    </w:p>
    <w:p>
      <w:pPr>
        <w:spacing w:after="140"/>
      </w:pPr>
      <w:r>
        <w:rPr>
          <w:b/>
          <w:bCs/>
        </w:rPr>
        <w:t xml:space="preserve">Database scope: </w:t>
      </w:r>
      <w:r>
        <w:t xml:space="preserve">Full — policy-presence and policy-function query checks against the four named table groups.</w:t>
      </w:r>
    </w:p>
    <w:p>
      <w:pPr>
        <w:spacing w:after="140"/>
      </w:pPr>
      <w:r>
        <w:rPr>
          <w:b/>
          <w:bCs/>
        </w:rPr>
        <w:t xml:space="preserve">Security scope: </w:t>
      </w:r>
      <w:r>
        <w:t xml:space="preserve">Direct and primary — the central verification activity of this Work Package.</w:t>
      </w:r>
    </w:p>
    <w:p>
      <w:pPr>
        <w:pStyle w:val="Heading3"/>
        <w:spacing w:after="120" w:before="220"/>
      </w:pPr>
      <w:r>
        <w:t xml:space="preserve">C. Verification Method</w:t>
      </w:r>
    </w:p>
    <w:p>
      <w:pPr>
        <w:spacing w:after="140"/>
      </w:pPr>
      <w:r>
        <w:t xml:space="preserve">Query-based verification with written evidence — the standing template Section 1 §7 and Section 6 §2 both designate for every future Realize-class verification; repeatable by design.</w:t>
      </w:r>
    </w:p>
    <w:p>
      <w:pPr>
        <w:pStyle w:val="Heading3"/>
        <w:spacing w:after="120" w:before="220"/>
      </w:pPr>
      <w:r>
        <w:t xml:space="preserve">D. Verification Evidence</w:t>
      </w:r>
    </w:p>
    <w:p>
      <w:pPr>
        <w:pStyle w:val="ListParagraph"/>
        <w:numPr>
          <w:ilvl w:val="0"/>
          <w:numId w:val="1"/>
        </w:numPr>
        <w:spacing w:after="80"/>
      </w:pPr>
      <w:r>
        <w:t xml:space="preserve">Per-table RLS coverage verification ledger</w:t>
      </w:r>
    </w:p>
    <w:p>
      <w:pPr>
        <w:pStyle w:val="ListParagraph"/>
        <w:numPr>
          <w:ilvl w:val="0"/>
          <w:numId w:val="1"/>
        </w:numPr>
        <w:spacing w:after="80"/>
      </w:pPr>
      <w:r>
        <w:t xml:space="preserve">Query outputs confirming policy presence/function per table</w:t>
      </w:r>
    </w:p>
    <w:p>
      <w:pPr>
        <w:pStyle w:val="ListParagraph"/>
        <w:numPr>
          <w:ilvl w:val="0"/>
          <w:numId w:val="1"/>
        </w:numPr>
        <w:spacing w:after="80"/>
      </w:pPr>
      <w:r>
        <w:t xml:space="preserve">Published RLS verification document</w:t>
      </w:r>
    </w:p>
    <w:p>
      <w:pPr>
        <w:pStyle w:val="ListParagraph"/>
        <w:numPr>
          <w:ilvl w:val="0"/>
          <w:numId w:val="1"/>
        </w:numPr>
        <w:spacing w:after="80"/>
      </w:pPr>
      <w:r>
        <w:t xml:space="preserve">KPI-06 measurement = 100%</w:t>
      </w:r>
    </w:p>
    <w:p>
      <w:pPr>
        <w:pStyle w:val="ListParagraph"/>
        <w:numPr>
          <w:ilvl w:val="0"/>
          <w:numId w:val="1"/>
        </w:numPr>
        <w:spacing w:after="80"/>
      </w:pPr>
      <w:r>
        <w:t xml:space="preserve">KPI-09 Critical class closure record</w:t>
      </w:r>
    </w:p>
    <w:p>
      <w:pPr>
        <w:pStyle w:val="Heading3"/>
        <w:spacing w:after="120" w:before="220"/>
      </w:pPr>
      <w:r>
        <w:t xml:space="preserve">E. Defect Management</w:t>
      </w:r>
    </w:p>
    <w:p>
      <w:pPr>
        <w:spacing w:after="140"/>
      </w:pPr>
      <w:r>
        <w:t xml:space="preserve">A confirmed coverage gap on any in-scope table is recorded in the verification ledger and triggers immediate, pre-approved contingency-only corrective policy action (Phase B §10) — the one severity/corrective path the baseline evidences explicitly. Re-testing is the same query-based check re-run against the corrected policy.</w:t>
      </w:r>
    </w:p>
    <w:p>
      <w:pPr>
        <w:pStyle w:val="Heading3"/>
        <w:spacing w:after="120" w:before="220"/>
      </w:pPr>
      <w:r>
        <w:t xml:space="preserve">F. Verification Completion Criteria</w:t>
      </w:r>
    </w:p>
    <w:p>
      <w:pPr>
        <w:spacing w:after="140"/>
      </w:pPr>
      <w:r>
        <w:t xml:space="preserve">KPI-06 = 100% confirmed; KPI-09 Critical class → 0; Certification Level L4 (pending, per Section 6 §4).</w:t>
      </w:r>
    </w:p>
    <w:p>
      <w:pPr>
        <w:pBdr>
          <w:bottom w:val="single" w:color="999999" w:sz="6" w:space="1"/>
        </w:pBdr>
        <w:spacing w:after="200"/>
      </w:pPr>
    </w:p>
    <w:p>
      <w:pPr>
        <w:pStyle w:val="Heading2"/>
        <w:spacing w:after="140" w:before="280"/>
      </w:pPr>
      <w:r>
        <w:t xml:space="preserve">WP-0003 — Partitioning Assessment and Plan for High-Growth Tables</w:t>
      </w:r>
    </w:p>
    <w:p>
      <w:pPr>
        <w:spacing w:after="140"/>
      </w:pPr>
      <w:r>
        <w:rPr>
          <w:b/>
          <w:bCs/>
        </w:rPr>
        <w:t xml:space="preserve">Architecture Requirement: </w:t>
      </w:r>
      <w:r>
        <w:t xml:space="preserve">AR-0004 / AR-0010</w:t>
      </w:r>
      <w:r>
        <w:rPr>
          <w:b/>
          <w:bCs/>
        </w:rPr>
        <w:t xml:space="preserve">   Enterprise Governance Decision: </w:t>
      </w:r>
      <w:r>
        <w:t xml:space="preserve">EGD-0004 (Defer, conditional)</w:t>
      </w:r>
    </w:p>
    <w:p>
      <w:pPr>
        <w:pStyle w:val="Heading3"/>
        <w:spacing w:after="120" w:before="220"/>
      </w:pPr>
      <w:r>
        <w:t xml:space="preserve">A. Verification Objective</w:t>
      </w:r>
    </w:p>
    <w:p>
      <w:pPr>
        <w:spacing w:after="140"/>
      </w:pPr>
      <w:r>
        <w:rPr>
          <w:b/>
          <w:bCs/>
        </w:rPr>
        <w:t xml:space="preserve">Verification purpose: </w:t>
      </w:r>
      <w:r>
        <w:t xml:space="preserve">Verify current row-count and query-latency status against EGD-0004's thresholds each quarter, and, only if triggered, verify a partitioning migration's correctness and rollback readiness.</w:t>
      </w:r>
    </w:p>
    <w:p>
      <w:pPr>
        <w:spacing w:after="140"/>
      </w:pPr>
      <w:r>
        <w:rPr>
          <w:b/>
          <w:bCs/>
        </w:rPr>
        <w:t xml:space="preserve">Expected verification outcome: </w:t>
      </w:r>
      <w:r>
        <w:t xml:space="preserve">Current quarterly monitoring evidence; migration and rollback verification produced only if and when the trigger fires.</w:t>
      </w:r>
    </w:p>
    <w:p>
      <w:pPr>
        <w:spacing w:after="140"/>
      </w:pPr>
      <w:r>
        <w:rPr>
          <w:b/>
          <w:bCs/>
        </w:rPr>
        <w:t xml:space="preserve">Quality objective: </w:t>
      </w:r>
      <w:r>
        <w:t xml:space="preserve">Performance/scalability assurance — the one Work Package where a performance dimension is evidenced (AR-0004), consistent with Section 1 §9's finding that no performance-validation dimension applies elsewhere.</w:t>
      </w:r>
    </w:p>
    <w:p>
      <w:pPr>
        <w:pStyle w:val="Heading3"/>
        <w:spacing w:after="120" w:before="220"/>
      </w:pPr>
      <w:r>
        <w:t xml:space="preserve">B. Verification Scope</w:t>
      </w:r>
    </w:p>
    <w:p>
      <w:pPr>
        <w:spacing w:after="140"/>
      </w:pPr>
      <w:r>
        <w:rPr>
          <w:b/>
          <w:bCs/>
        </w:rPr>
        <w:t xml:space="preserve">Architecture Requirements verified: </w:t>
      </w:r>
      <w:r>
        <w:t xml:space="preserve">AR-0004 (baseline); AR-0010 (rollback-readiness standard, conditional).</w:t>
      </w:r>
    </w:p>
    <w:p>
      <w:pPr>
        <w:spacing w:after="140"/>
      </w:pPr>
      <w:r>
        <w:rPr>
          <w:b/>
          <w:bCs/>
        </w:rPr>
        <w:t xml:space="preserve">Enterprise Governance Decisions verified: </w:t>
      </w:r>
      <w:r>
        <w:t xml:space="preserve">EGD-0004 (Defer, conditional on trigger).</w:t>
      </w:r>
    </w:p>
    <w:p>
      <w:pPr>
        <w:spacing w:after="140"/>
      </w:pPr>
      <w:r>
        <w:rPr>
          <w:b/>
          <w:bCs/>
        </w:rPr>
        <w:t xml:space="preserve">Repository scope: </w:t>
      </w:r>
      <w:r>
        <w:t xml:space="preserve">Database repository only, and only once triggered.</w:t>
      </w:r>
    </w:p>
    <w:p>
      <w:pPr>
        <w:spacing w:after="140"/>
      </w:pPr>
      <w:r>
        <w:rPr>
          <w:b/>
          <w:bCs/>
        </w:rPr>
        <w:t xml:space="preserve">Documentation scope: </w:t>
      </w:r>
      <w:r>
        <w:t xml:space="preserve">Quarterly assessment report only.</w:t>
      </w:r>
    </w:p>
    <w:p>
      <w:pPr>
        <w:spacing w:after="140"/>
      </w:pPr>
      <w:r>
        <w:rPr>
          <w:b/>
          <w:bCs/>
        </w:rPr>
        <w:t xml:space="preserve">Database scope: </w:t>
      </w:r>
      <w:r>
        <w:t xml:space="preserve">Not Applicable until triggered; migration and rollback verification once triggered.</w:t>
      </w:r>
    </w:p>
    <w:p>
      <w:pPr>
        <w:spacing w:after="140"/>
      </w:pPr>
      <w:r>
        <w:rPr>
          <w:b/>
          <w:bCs/>
        </w:rPr>
        <w:t xml:space="preserve">Security scope: </w:t>
      </w:r>
      <w:r>
        <w:t xml:space="preserve">Not Applicable.</w:t>
      </w:r>
    </w:p>
    <w:p>
      <w:pPr>
        <w:pStyle w:val="Heading3"/>
        <w:spacing w:after="120" w:before="220"/>
      </w:pPr>
      <w:r>
        <w:t xml:space="preserve">C. Verification Method</w:t>
      </w:r>
    </w:p>
    <w:p>
      <w:pPr>
        <w:spacing w:after="140"/>
      </w:pPr>
      <w:r>
        <w:t xml:space="preserve">Quarterly row-count/query-latency check against the AR-0010/EGD-0004 thresholds (dormant, monitoring-level method); migration verification and rollback-script verification, conditionally, only once triggered — designed as idempotent and rollback-ready before execution (Section 5 §F, citing the AR-0010/EGD-0009 accepted standard).</w:t>
      </w:r>
    </w:p>
    <w:p>
      <w:pPr>
        <w:pStyle w:val="Heading3"/>
        <w:spacing w:after="120" w:before="220"/>
      </w:pPr>
      <w:r>
        <w:t xml:space="preserve">D. Verification Evidence</w:t>
      </w:r>
    </w:p>
    <w:p>
      <w:pPr>
        <w:pStyle w:val="ListParagraph"/>
        <w:numPr>
          <w:ilvl w:val="0"/>
          <w:numId w:val="1"/>
        </w:numPr>
        <w:spacing w:after="80"/>
      </w:pPr>
      <w:r>
        <w:t xml:space="preserve">Current quarterly row-count/latency assessment report</w:t>
      </w:r>
    </w:p>
    <w:p>
      <w:pPr>
        <w:pStyle w:val="ListParagraph"/>
        <w:numPr>
          <w:ilvl w:val="0"/>
          <w:numId w:val="1"/>
        </w:numPr>
        <w:spacing w:after="80"/>
      </w:pPr>
      <w:r>
        <w:t xml:space="preserve">Migration and rollback verification evidence — conditional, produced only if triggered</w:t>
      </w:r>
    </w:p>
    <w:p>
      <w:pPr>
        <w:pStyle w:val="Heading3"/>
        <w:spacing w:after="120" w:before="220"/>
      </w:pPr>
      <w:r>
        <w:t xml:space="preserve">E. Defect Management</w:t>
      </w:r>
    </w:p>
    <w:p>
      <w:pPr>
        <w:spacing w:after="140"/>
      </w:pPr>
      <w:r>
        <w:t xml:space="preserve">Rollback trigger conditions are evidenced explicitly: a failed partitioning migration, unexpected query-plan regression, or a rollback request during verification (Section 5 §F). Rollback approach: execute the migration's accompanying rollback script to restore the pre-partition table structure, then amend the assessment report and the EGD-0004 trigger-monitoring log to record the event. Outside a triggered migration, no defect-management activity beyond quarterly status recording is evidenced.</w:t>
      </w:r>
    </w:p>
    <w:p>
      <w:pPr>
        <w:pStyle w:val="Heading3"/>
        <w:spacing w:after="120" w:before="220"/>
      </w:pPr>
      <w:r>
        <w:t xml:space="preserve">F. Verification Completion Criteria</w:t>
      </w:r>
    </w:p>
    <w:p>
      <w:pPr>
        <w:spacing w:after="140"/>
      </w:pPr>
      <w:r>
        <w:t xml:space="preserve">Certification Level L3 (standing) while dormant; L4 only if triggered and verified — matching Section 6 §4 exactly.</w:t>
      </w:r>
    </w:p>
    <w:p>
      <w:pPr>
        <w:pBdr>
          <w:bottom w:val="single" w:color="999999" w:sz="6" w:space="1"/>
        </w:pBdr>
        <w:spacing w:after="200"/>
      </w:pPr>
    </w:p>
    <w:p>
      <w:pPr>
        <w:pStyle w:val="Heading2"/>
        <w:spacing w:after="140" w:before="280"/>
      </w:pPr>
      <w:r>
        <w:t xml:space="preserve">WP-0004 — Document the Accepted Direct-FK Taxonomy Pattern and Establish a Per-Release Denormalization Check</w:t>
      </w:r>
    </w:p>
    <w:p>
      <w:pPr>
        <w:spacing w:after="140"/>
      </w:pPr>
      <w:r>
        <w:rPr>
          <w:b/>
          <w:bCs/>
        </w:rPr>
        <w:t xml:space="preserve">Architecture Requirement: </w:t>
      </w:r>
      <w:r>
        <w:t xml:space="preserve">AR-0003</w:t>
      </w:r>
      <w:r>
        <w:rPr>
          <w:b/>
          <w:bCs/>
        </w:rPr>
        <w:t xml:space="preserve">   Enterprise Governance Decision: </w:t>
      </w:r>
      <w:r>
        <w:t xml:space="preserve">EGD-0003 (conditional acceptance)</w:t>
      </w:r>
    </w:p>
    <w:p>
      <w:pPr>
        <w:pStyle w:val="Heading3"/>
        <w:spacing w:after="120" w:before="220"/>
      </w:pPr>
      <w:r>
        <w:t xml:space="preserve">A. Verification Objective</w:t>
      </w:r>
    </w:p>
    <w:p>
      <w:pPr>
        <w:spacing w:after="140"/>
      </w:pPr>
      <w:r>
        <w:rPr>
          <w:b/>
          <w:bCs/>
        </w:rPr>
        <w:t xml:space="preserve">Verification purpose: </w:t>
      </w:r>
      <w:r>
        <w:t xml:space="preserve">Verify, on a per-release cadence, that no student-owned table has denormalized a taxonomy fact onto its own rows — the one harm pattern EGD-0003's acceptance of the direct-FK pattern is conditioned on.</w:t>
      </w:r>
    </w:p>
    <w:p>
      <w:pPr>
        <w:spacing w:after="140"/>
      </w:pPr>
      <w:r>
        <w:rPr>
          <w:b/>
          <w:bCs/>
        </w:rPr>
        <w:t xml:space="preserve">Expected verification outcome: </w:t>
      </w:r>
      <w:r>
        <w:t xml:space="preserve">An operating, repeatable per-release check with zero violations in its operating history.</w:t>
      </w:r>
    </w:p>
    <w:p>
      <w:pPr>
        <w:spacing w:after="140"/>
      </w:pPr>
      <w:r>
        <w:rPr>
          <w:b/>
          <w:bCs/>
        </w:rPr>
        <w:t xml:space="preserve">Quality objective: </w:t>
      </w:r>
      <w:r>
        <w:t xml:space="preserve">Architecture-pattern conformance, measured indirectly via KPI-04 (Approved Variances count) stability.</w:t>
      </w:r>
    </w:p>
    <w:p>
      <w:pPr>
        <w:pStyle w:val="Heading3"/>
        <w:spacing w:after="120" w:before="220"/>
      </w:pPr>
      <w:r>
        <w:t xml:space="preserve">B. Verification Scope</w:t>
      </w:r>
    </w:p>
    <w:p>
      <w:pPr>
        <w:spacing w:after="140"/>
      </w:pPr>
      <w:r>
        <w:rPr>
          <w:b/>
          <w:bCs/>
        </w:rPr>
        <w:t xml:space="preserve">Architecture Requirements verified: </w:t>
      </w:r>
      <w:r>
        <w:t xml:space="preserve">AR-0003.</w:t>
      </w:r>
    </w:p>
    <w:p>
      <w:pPr>
        <w:spacing w:after="140"/>
      </w:pPr>
      <w:r>
        <w:rPr>
          <w:b/>
          <w:bCs/>
        </w:rPr>
        <w:t xml:space="preserve">Enterprise Governance Decisions verified: </w:t>
      </w:r>
      <w:r>
        <w:t xml:space="preserve">EGD-0003 (conditional acceptance).</w:t>
      </w:r>
    </w:p>
    <w:p>
      <w:pPr>
        <w:spacing w:after="140"/>
      </w:pPr>
      <w:r>
        <w:rPr>
          <w:b/>
          <w:bCs/>
        </w:rPr>
        <w:t xml:space="preserve">Repository scope: </w:t>
      </w:r>
      <w:r>
        <w:t xml:space="preserve">Documentation and Test repositories carry approved scope.</w:t>
      </w:r>
    </w:p>
    <w:p>
      <w:pPr>
        <w:spacing w:after="140"/>
      </w:pPr>
      <w:r>
        <w:rPr>
          <w:b/>
          <w:bCs/>
        </w:rPr>
        <w:t xml:space="preserve">Documentation scope: </w:t>
      </w:r>
      <w:r>
        <w:t xml:space="preserve">Published pattern documentation covering references such as academic_boards.country_id → countries_master.id.</w:t>
      </w:r>
    </w:p>
    <w:p>
      <w:pPr>
        <w:spacing w:after="140"/>
      </w:pPr>
      <w:r>
        <w:rPr>
          <w:b/>
          <w:bCs/>
        </w:rPr>
        <w:t xml:space="preserve">Database scope: </w:t>
      </w:r>
      <w:r>
        <w:t xml:space="preserve">Not Applicable — no retrofit to the _code + taxonomy_version_id pattern unless the check finds a violation (contingency only).</w:t>
      </w:r>
    </w:p>
    <w:p>
      <w:pPr>
        <w:spacing w:after="140"/>
      </w:pPr>
      <w:r>
        <w:rPr>
          <w:b/>
          <w:bCs/>
        </w:rPr>
        <w:t xml:space="preserve">Security scope: </w:t>
      </w:r>
      <w:r>
        <w:t xml:space="preserve">Not Applicable.</w:t>
      </w:r>
    </w:p>
    <w:p>
      <w:pPr>
        <w:pStyle w:val="Heading3"/>
        <w:spacing w:after="120" w:before="220"/>
      </w:pPr>
      <w:r>
        <w:t xml:space="preserve">C. Verification Method</w:t>
      </w:r>
    </w:p>
    <w:p>
      <w:pPr>
        <w:spacing w:after="140"/>
      </w:pPr>
      <w:r>
        <w:t xml:space="preserve">Automated verification — a per-release check scanning student-owned tables for the specific denormalization harm pattern, not the accepted direct-FK pattern itself; the one Work Package in this catalog whose verification method is evidenced as automated rather than manual or query-based-on-demand.</w:t>
      </w:r>
    </w:p>
    <w:p>
      <w:pPr>
        <w:pStyle w:val="Heading3"/>
        <w:spacing w:after="120" w:before="220"/>
      </w:pPr>
      <w:r>
        <w:t xml:space="preserve">D. Verification Evidence</w:t>
      </w:r>
    </w:p>
    <w:p>
      <w:pPr>
        <w:pStyle w:val="ListParagraph"/>
        <w:numPr>
          <w:ilvl w:val="0"/>
          <w:numId w:val="1"/>
        </w:numPr>
        <w:spacing w:after="80"/>
      </w:pPr>
      <w:r>
        <w:t xml:space="preserve">Published pattern documentation</w:t>
      </w:r>
    </w:p>
    <w:p>
      <w:pPr>
        <w:pStyle w:val="ListParagraph"/>
        <w:numPr>
          <w:ilvl w:val="0"/>
          <w:numId w:val="1"/>
        </w:numPr>
        <w:spacing w:after="80"/>
      </w:pPr>
      <w:r>
        <w:t xml:space="preserve">Operating per-release automated check output</w:t>
      </w:r>
    </w:p>
    <w:p>
      <w:pPr>
        <w:pStyle w:val="ListParagraph"/>
        <w:numPr>
          <w:ilvl w:val="0"/>
          <w:numId w:val="1"/>
        </w:numPr>
        <w:spacing w:after="80"/>
      </w:pPr>
      <w:r>
        <w:t xml:space="preserve">VAR-03 log entries</w:t>
      </w:r>
    </w:p>
    <w:p>
      <w:pPr>
        <w:pStyle w:val="ListParagraph"/>
        <w:numPr>
          <w:ilvl w:val="0"/>
          <w:numId w:val="1"/>
        </w:numPr>
        <w:spacing w:after="80"/>
      </w:pPr>
      <w:r>
        <w:t xml:space="preserve">KPI-04 stability record</w:t>
      </w:r>
    </w:p>
    <w:p>
      <w:pPr>
        <w:pStyle w:val="Heading3"/>
        <w:spacing w:after="120" w:before="220"/>
      </w:pPr>
      <w:r>
        <w:t xml:space="preserve">E. Defect Management</w:t>
      </w:r>
    </w:p>
    <w:p>
      <w:pPr>
        <w:spacing w:after="140"/>
      </w:pPr>
      <w:r>
        <w:t xml:space="preserve">A violation the check surfaces is logged in VAR-03 and triggers contingency-only retrofit to the _code + taxonomy_version_id pattern — applied only if the check finds a protection gap, per Section 4's engineering boundary. Re-testing is the same automated check re-run on the next release.</w:t>
      </w:r>
    </w:p>
    <w:p>
      <w:pPr>
        <w:pStyle w:val="Heading3"/>
        <w:spacing w:after="120" w:before="220"/>
      </w:pPr>
      <w:r>
        <w:t xml:space="preserve">F. Verification Completion Criteria</w:t>
      </w:r>
    </w:p>
    <w:p>
      <w:pPr>
        <w:spacing w:after="140"/>
      </w:pPr>
      <w:r>
        <w:t xml:space="preserve">Zero violations in the check's operating history; KPI-04 stable or declining; Certification Level L4 (pending, per Section 6 §4).</w:t>
      </w:r>
    </w:p>
    <w:p>
      <w:pPr>
        <w:pBdr>
          <w:bottom w:val="single" w:color="999999" w:sz="6" w:space="1"/>
        </w:pBdr>
        <w:spacing w:after="200"/>
      </w:pPr>
    </w:p>
    <w:p>
      <w:pPr>
        <w:pStyle w:val="Heading2"/>
        <w:spacing w:after="140" w:before="280"/>
      </w:pPr>
      <w:r>
        <w:t xml:space="preserve">WP-0005 — Column-Level Access Review for Free-Text/JSON Payload Columns</w:t>
      </w:r>
    </w:p>
    <w:p>
      <w:pPr>
        <w:spacing w:after="140"/>
      </w:pPr>
      <w:r>
        <w:rPr>
          <w:b/>
          <w:bCs/>
        </w:rPr>
        <w:t xml:space="preserve">Architecture Requirement: </w:t>
      </w:r>
      <w:r>
        <w:t xml:space="preserve">AR-0007 (extension)</w:t>
      </w:r>
      <w:r>
        <w:rPr>
          <w:b/>
          <w:bCs/>
        </w:rPr>
        <w:t xml:space="preserve">   Enterprise Governance Decision: </w:t>
      </w:r>
      <w:r>
        <w:t xml:space="preserve">EGD-0007 (Realize, extension)</w:t>
      </w:r>
    </w:p>
    <w:p>
      <w:pPr>
        <w:pStyle w:val="Heading3"/>
        <w:spacing w:after="120" w:before="220"/>
      </w:pPr>
      <w:r>
        <w:t xml:space="preserve">A. Verification Objective</w:t>
      </w:r>
    </w:p>
    <w:p>
      <w:pPr>
        <w:spacing w:after="140"/>
      </w:pPr>
      <w:r>
        <w:rPr>
          <w:b/>
          <w:bCs/>
        </w:rPr>
        <w:t xml:space="preserve">Verification purpose: </w:t>
      </w:r>
      <w:r>
        <w:t xml:space="preserve">Verify, for each free-text/JSON payload column (e.g., cognitive raw responses), whether WP-0002's already-verified table-level RLS is sufficient protection or whether column-level restriction is separately warranted.</w:t>
      </w:r>
    </w:p>
    <w:p>
      <w:pPr>
        <w:spacing w:after="140"/>
      </w:pPr>
      <w:r>
        <w:rPr>
          <w:b/>
          <w:bCs/>
        </w:rPr>
        <w:t xml:space="preserve">Expected verification outcome: </w:t>
      </w:r>
      <w:r>
        <w:t xml:space="preserve">A documented decision for every reviewed column, with zero unreviewed columns.</w:t>
      </w:r>
    </w:p>
    <w:p>
      <w:pPr>
        <w:spacing w:after="140"/>
      </w:pPr>
      <w:r>
        <w:rPr>
          <w:b/>
          <w:bCs/>
        </w:rPr>
        <w:t xml:space="preserve">Quality objective: </w:t>
      </w:r>
      <w:r>
        <w:t xml:space="preserve">Security assurance, extending WP-0002's quality objective to column granularity.</w:t>
      </w:r>
    </w:p>
    <w:p>
      <w:pPr>
        <w:pStyle w:val="Heading3"/>
        <w:spacing w:after="120" w:before="220"/>
      </w:pPr>
      <w:r>
        <w:t xml:space="preserve">B. Verification Scope</w:t>
      </w:r>
    </w:p>
    <w:p>
      <w:pPr>
        <w:spacing w:after="140"/>
      </w:pPr>
      <w:r>
        <w:rPr>
          <w:b/>
          <w:bCs/>
        </w:rPr>
        <w:t xml:space="preserve">Architecture Requirements verified: </w:t>
      </w:r>
      <w:r>
        <w:t xml:space="preserve">AR-0007 (extension).</w:t>
      </w:r>
    </w:p>
    <w:p>
      <w:pPr>
        <w:spacing w:after="140"/>
      </w:pPr>
      <w:r>
        <w:rPr>
          <w:b/>
          <w:bCs/>
        </w:rPr>
        <w:t xml:space="preserve">Enterprise Governance Decisions verified: </w:t>
      </w:r>
      <w:r>
        <w:t xml:space="preserve">EGD-0007 (Realize, extension).</w:t>
      </w:r>
    </w:p>
    <w:p>
      <w:pPr>
        <w:spacing w:after="140"/>
      </w:pPr>
      <w:r>
        <w:rPr>
          <w:b/>
          <w:bCs/>
        </w:rPr>
        <w:t xml:space="preserve">Repository scope: </w:t>
      </w:r>
      <w:r>
        <w:t xml:space="preserve">Database and Test repositories carry approved scope.</w:t>
      </w:r>
    </w:p>
    <w:p>
      <w:pPr>
        <w:spacing w:after="140"/>
      </w:pPr>
      <w:r>
        <w:rPr>
          <w:b/>
          <w:bCs/>
        </w:rPr>
        <w:t xml:space="preserve">Documentation scope: </w:t>
      </w:r>
      <w:r>
        <w:t xml:space="preserve">Published column-level review report.</w:t>
      </w:r>
    </w:p>
    <w:p>
      <w:pPr>
        <w:spacing w:after="140"/>
      </w:pPr>
      <w:r>
        <w:rPr>
          <w:b/>
          <w:bCs/>
        </w:rPr>
        <w:t xml:space="preserve">Database scope: </w:t>
      </w:r>
      <w:r>
        <w:t xml:space="preserve">Review only in baseline scope; a column-level policy or REVOKE change is contingency-only.</w:t>
      </w:r>
    </w:p>
    <w:p>
      <w:pPr>
        <w:spacing w:after="140"/>
      </w:pPr>
      <w:r>
        <w:rPr>
          <w:b/>
          <w:bCs/>
        </w:rPr>
        <w:t xml:space="preserve">Security scope: </w:t>
      </w:r>
      <w:r>
        <w:t xml:space="preserve">Direct, extending WP-0002.</w:t>
      </w:r>
    </w:p>
    <w:p>
      <w:pPr>
        <w:pStyle w:val="Heading3"/>
        <w:spacing w:after="120" w:before="220"/>
      </w:pPr>
      <w:r>
        <w:t xml:space="preserve">C. Verification Method</w:t>
      </w:r>
    </w:p>
    <w:p>
      <w:pPr>
        <w:spacing w:after="140"/>
      </w:pPr>
      <w:r>
        <w:t xml:space="preserve">Manual review reusing the WP-0002 verification template at column granularity, rather than a new method — the same repeatability property WP-0002 established.</w:t>
      </w:r>
    </w:p>
    <w:p>
      <w:pPr>
        <w:pStyle w:val="Heading3"/>
        <w:spacing w:after="120" w:before="220"/>
      </w:pPr>
      <w:r>
        <w:t xml:space="preserve">D. Verification Evidence</w:t>
      </w:r>
    </w:p>
    <w:p>
      <w:pPr>
        <w:pStyle w:val="ListParagraph"/>
        <w:numPr>
          <w:ilvl w:val="0"/>
          <w:numId w:val="1"/>
        </w:numPr>
        <w:spacing w:after="80"/>
      </w:pPr>
      <w:r>
        <w:t xml:space="preserve">Per-column decision ledger</w:t>
      </w:r>
    </w:p>
    <w:p>
      <w:pPr>
        <w:pStyle w:val="ListParagraph"/>
        <w:numPr>
          <w:ilvl w:val="0"/>
          <w:numId w:val="1"/>
        </w:numPr>
        <w:spacing w:after="80"/>
      </w:pPr>
      <w:r>
        <w:t xml:space="preserve">Published column-level review report</w:t>
      </w:r>
    </w:p>
    <w:p>
      <w:pPr>
        <w:pStyle w:val="ListParagraph"/>
        <w:numPr>
          <w:ilvl w:val="0"/>
          <w:numId w:val="1"/>
        </w:numPr>
        <w:spacing w:after="80"/>
      </w:pPr>
      <w:r>
        <w:t xml:space="preserve">Verification evidence for each reviewed column</w:t>
      </w:r>
    </w:p>
    <w:p>
      <w:pPr>
        <w:pStyle w:val="Heading3"/>
        <w:spacing w:after="120" w:before="220"/>
      </w:pPr>
      <w:r>
        <w:t xml:space="preserve">E. Defect Management</w:t>
      </w:r>
    </w:p>
    <w:p>
      <w:pPr>
        <w:spacing w:after="140"/>
      </w:pPr>
      <w:r>
        <w:t xml:space="preserve">A confirmed column-level protection gap triggers contingency-only policy or REVOKE action, applied only if the review finds a gap, per Section 4's engineering boundary — the identical corrective pattern WP-0002 established, extended to column scope.</w:t>
      </w:r>
    </w:p>
    <w:p>
      <w:pPr>
        <w:pStyle w:val="Heading3"/>
        <w:spacing w:after="120" w:before="220"/>
      </w:pPr>
      <w:r>
        <w:t xml:space="preserve">F. Verification Completion Criteria</w:t>
      </w:r>
    </w:p>
    <w:p>
      <w:pPr>
        <w:spacing w:after="140"/>
      </w:pPr>
      <w:r>
        <w:t xml:space="preserve">Documented decision for every reviewed column; zero unreviewed columns; Certification Level L4 (pending, extension of AR-0007, per Section 6 §4).</w:t>
      </w:r>
    </w:p>
    <w:p>
      <w:pPr>
        <w:pBdr>
          <w:bottom w:val="single" w:color="999999" w:sz="6" w:space="1"/>
        </w:pBdr>
        <w:spacing w:after="200"/>
      </w:pPr>
    </w:p>
    <w:p>
      <w:pPr>
        <w:pStyle w:val="Heading2"/>
        <w:spacing w:after="140" w:before="280"/>
      </w:pPr>
      <w:r>
        <w:t xml:space="preserve">WP-0006 — Assign Named, Accountable Owners to Every Unassigned Role</w:t>
      </w:r>
    </w:p>
    <w:p>
      <w:pPr>
        <w:spacing w:after="140"/>
      </w:pPr>
      <w:r>
        <w:rPr>
          <w:b/>
          <w:bCs/>
        </w:rPr>
        <w:t xml:space="preserve">Architecture Requirement: </w:t>
      </w:r>
      <w:r>
        <w:t xml:space="preserve">AP-009 (all)</w:t>
      </w:r>
      <w:r>
        <w:rPr>
          <w:b/>
          <w:bCs/>
        </w:rPr>
        <w:t xml:space="preserve">   Enterprise Governance Decision: </w:t>
      </w:r>
      <w:r>
        <w:t xml:space="preserve">All EGD-0001–EGD-0009</w:t>
      </w:r>
    </w:p>
    <w:p>
      <w:pPr>
        <w:pStyle w:val="Heading3"/>
        <w:spacing w:after="120" w:before="220"/>
      </w:pPr>
      <w:r>
        <w:t xml:space="preserve">A. Verification Objective</w:t>
      </w:r>
    </w:p>
    <w:p>
      <w:pPr>
        <w:spacing w:after="140"/>
      </w:pPr>
      <w:r>
        <w:rPr>
          <w:b/>
          <w:bCs/>
        </w:rPr>
        <w:t xml:space="preserve">Verification purpose: </w:t>
      </w:r>
      <w:r>
        <w:t xml:space="preserve">Verify that each of the five roles Phase B §9 identifies has a named, accountable individual, closing the AP-009 gap across all nine Enterprise Governance Decisions and all six Work Packages.</w:t>
      </w:r>
    </w:p>
    <w:p>
      <w:pPr>
        <w:spacing w:after="140"/>
      </w:pPr>
      <w:r>
        <w:rPr>
          <w:b/>
          <w:bCs/>
        </w:rPr>
        <w:t xml:space="preserve">Expected verification outcome: </w:t>
      </w:r>
      <w:r>
        <w:t xml:space="preserve">KPI-08 (Ownership Assignment %) confirmed at 100%, with zero unassigned owner fields.</w:t>
      </w:r>
    </w:p>
    <w:p>
      <w:pPr>
        <w:spacing w:after="140"/>
      </w:pPr>
      <w:r>
        <w:rPr>
          <w:b/>
          <w:bCs/>
        </w:rPr>
        <w:t xml:space="preserve">Quality objective: </w:t>
      </w:r>
      <w:r>
        <w:t xml:space="preserve">Governance/organizational assurance — not an engineering-quality dimension (Section 4 §WP-0006 already notes this Work Package carries a governance-record design, not an engineering one).</w:t>
      </w:r>
    </w:p>
    <w:p>
      <w:pPr>
        <w:pStyle w:val="Heading3"/>
        <w:spacing w:after="120" w:before="220"/>
      </w:pPr>
      <w:r>
        <w:t xml:space="preserve">B. Verification Scope</w:t>
      </w:r>
    </w:p>
    <w:p>
      <w:pPr>
        <w:spacing w:after="140"/>
      </w:pPr>
      <w:r>
        <w:rPr>
          <w:b/>
          <w:bCs/>
        </w:rPr>
        <w:t xml:space="preserve">Architecture Requirements verified: </w:t>
      </w:r>
      <w:r>
        <w:t xml:space="preserve">Not Applicable — no Architecture Requirement is directly verified; AP-009 (a permanent principle, not an AR) is the object of verification.</w:t>
      </w:r>
    </w:p>
    <w:p>
      <w:pPr>
        <w:spacing w:after="140"/>
      </w:pPr>
      <w:r>
        <w:rPr>
          <w:b/>
          <w:bCs/>
        </w:rPr>
        <w:t xml:space="preserve">Enterprise Governance Decisions verified: </w:t>
      </w:r>
      <w:r>
        <w:t xml:space="preserve">All nine Enterprise Governance Decisions depend on this Work Package's ownership assignment, though none is re-adjudicated by it.</w:t>
      </w:r>
    </w:p>
    <w:p>
      <w:pPr>
        <w:spacing w:after="140"/>
      </w:pPr>
      <w:r>
        <w:rPr>
          <w:b/>
          <w:bCs/>
        </w:rPr>
        <w:t xml:space="preserve">Repository scope: </w:t>
      </w:r>
      <w:r>
        <w:t xml:space="preserve">Not Applicable — governance record only; no repository, database, or code artifact is in scope (Section 3 §4).</w:t>
      </w:r>
    </w:p>
    <w:p>
      <w:pPr>
        <w:spacing w:after="140"/>
      </w:pPr>
      <w:r>
        <w:rPr>
          <w:b/>
          <w:bCs/>
        </w:rPr>
        <w:t xml:space="preserve">Documentation scope: </w:t>
      </w:r>
      <w:r>
        <w:t xml:space="preserve">Governance record documenting each named assignment.</w:t>
      </w:r>
    </w:p>
    <w:p>
      <w:pPr>
        <w:spacing w:after="140"/>
      </w:pPr>
      <w:r>
        <w:rPr>
          <w:b/>
          <w:bCs/>
        </w:rPr>
        <w:t xml:space="preserve">Database scope: </w:t>
      </w:r>
      <w:r>
        <w:t xml:space="preserve">Not Applicable.</w:t>
      </w:r>
    </w:p>
    <w:p>
      <w:pPr>
        <w:spacing w:after="140"/>
      </w:pPr>
      <w:r>
        <w:rPr>
          <w:b/>
          <w:bCs/>
        </w:rPr>
        <w:t xml:space="preserve">Security scope: </w:t>
      </w:r>
      <w:r>
        <w:t xml:space="preserve">Not Applicable.</w:t>
      </w:r>
    </w:p>
    <w:p>
      <w:pPr>
        <w:pStyle w:val="Heading3"/>
        <w:spacing w:after="120" w:before="220"/>
      </w:pPr>
      <w:r>
        <w:t xml:space="preserve">C. Verification Method</w:t>
      </w:r>
    </w:p>
    <w:p>
      <w:pPr>
        <w:spacing w:after="140"/>
      </w:pPr>
      <w:r>
        <w:t xml:space="preserve">Direct measurement — KPI-08 is measured against the five named roles; not a review, inspection, or query-based method in the engineering sense, since there is no technical artifact to inspect.</w:t>
      </w:r>
    </w:p>
    <w:p>
      <w:pPr>
        <w:pStyle w:val="Heading3"/>
        <w:spacing w:after="120" w:before="220"/>
      </w:pPr>
      <w:r>
        <w:t xml:space="preserve">D. Verification Evidence</w:t>
      </w:r>
    </w:p>
    <w:p>
      <w:pPr>
        <w:pStyle w:val="ListParagraph"/>
        <w:numPr>
          <w:ilvl w:val="0"/>
          <w:numId w:val="1"/>
        </w:numPr>
        <w:spacing w:after="80"/>
      </w:pPr>
      <w:r>
        <w:t xml:space="preserve">Named-owner governance record</w:t>
      </w:r>
    </w:p>
    <w:p>
      <w:pPr>
        <w:pStyle w:val="ListParagraph"/>
        <w:numPr>
          <w:ilvl w:val="0"/>
          <w:numId w:val="1"/>
        </w:numPr>
        <w:spacing w:after="80"/>
      </w:pPr>
      <w:r>
        <w:t xml:space="preserve">KPI-08 measurement record = 100%</w:t>
      </w:r>
    </w:p>
    <w:p>
      <w:pPr>
        <w:pStyle w:val="ListParagraph"/>
        <w:numPr>
          <w:ilvl w:val="0"/>
          <w:numId w:val="1"/>
        </w:numPr>
        <w:spacing w:after="80"/>
      </w:pPr>
      <w:r>
        <w:t xml:space="preserve">AP-009 closure record</w:t>
      </w:r>
    </w:p>
    <w:p>
      <w:pPr>
        <w:pStyle w:val="Heading3"/>
        <w:spacing w:after="120" w:before="220"/>
      </w:pPr>
      <w:r>
        <w:t xml:space="preserve">E. Defect Management</w:t>
      </w:r>
    </w:p>
    <w:p>
      <w:pPr>
        <w:spacing w:after="140"/>
      </w:pPr>
      <w:r>
        <w:t xml:space="preserve">Not Evidenced in Current Baseline as a graduated defect-management process — an unassigned role is a binary gap (assigned / unassigned), and its only evidenced resolution path is the Executive Sponsor / Governance Board naming an individual; there is no corrective-verification or re-testing cycle beyond that single action.</w:t>
      </w:r>
    </w:p>
    <w:p>
      <w:pPr>
        <w:pStyle w:val="Heading3"/>
        <w:spacing w:after="120" w:before="220"/>
      </w:pPr>
      <w:r>
        <w:t xml:space="preserve">F. Verification Completion Criteria</w:t>
      </w:r>
    </w:p>
    <w:p>
      <w:pPr>
        <w:spacing w:after="140"/>
      </w:pPr>
      <w:r>
        <w:t xml:space="preserve">KPI-08 = 100%; zero unassigned owner fields; Certification Level Not Applicable — organizational precondition, not itself certified, per Section 6 §4.</w:t>
      </w:r>
    </w:p>
    <w:p>
      <w:pPr>
        <w:pBdr>
          <w:bottom w:val="single" w:color="999999" w:sz="6" w:space="1"/>
        </w:pBdr>
        <w:spacing w:after="200"/>
      </w:pPr>
    </w:p>
    <w:p>
      <w:r>
        <w:br w:type="page"/>
      </w:r>
    </w:p>
    <w:p>
      <w:pPr>
        <w:pStyle w:val="Heading1"/>
        <w:spacing w:after="160" w:before="360"/>
      </w:pPr>
      <w:r>
        <w:t xml:space="preserve">5. Enterprise Test Categories</w:t>
      </w:r>
    </w:p>
    <w:p>
      <w:pPr>
        <w:spacing w:after="140"/>
      </w:pPr>
      <w:r>
        <w:t xml:space="preserve">Applicability below is assessed strictly against evidenced scope in Section 3 (Repository Impact) and Section 4/Section 5 (verification methods); no category is marked Applicable without a specific Work Package citation.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D9D9D9" w:val="clear"/>
            <w:tcMar>
              <w:top w:type="dxa" w:w="80"/>
              <w:left w:type="dxa" w:w="100"/>
              <w:bottom w:type="dxa" w:w="80"/>
              <w:right w:type="dxa" w:w="100"/>
            </w:tcMar>
          </w:tcPr>
          <w:p>
            <w:pPr>
              <w:jc w:val="left"/>
            </w:pPr>
            <w:r>
              <w:rPr>
                <w:b/>
                <w:bCs/>
              </w:rPr>
              <w:t xml:space="preserve">Test Category</w:t>
            </w:r>
          </w:p>
        </w:tc>
        <w:tc>
          <w:tcPr>
            <w:tcW w:type="dxa" w:w="1800"/>
            <w:shd w:fill="D9D9D9" w:val="clear"/>
            <w:tcMar>
              <w:top w:type="dxa" w:w="80"/>
              <w:left w:type="dxa" w:w="100"/>
              <w:bottom w:type="dxa" w:w="80"/>
              <w:right w:type="dxa" w:w="100"/>
            </w:tcMar>
          </w:tcPr>
          <w:p>
            <w:pPr>
              <w:jc w:val="left"/>
            </w:pPr>
            <w:r>
              <w:rPr>
                <w:b/>
                <w:bCs/>
              </w:rPr>
              <w:t xml:space="preserve">Applicability</w:t>
            </w:r>
          </w:p>
        </w:tc>
        <w:tc>
          <w:tcPr>
            <w:tcW w:type="dxa" w:w="5400"/>
            <w:shd w:fill="D9D9D9" w:val="clear"/>
            <w:tcMar>
              <w:top w:type="dxa" w:w="80"/>
              <w:left w:type="dxa" w:w="100"/>
              <w:bottom w:type="dxa" w:w="80"/>
              <w:right w:type="dxa" w:w="100"/>
            </w:tcMar>
          </w:tcPr>
          <w:p>
            <w:pPr>
              <w:jc w:val="left"/>
            </w:pPr>
            <w:r>
              <w:rPr>
                <w:b/>
                <w:bCs/>
              </w:rPr>
              <w:t xml:space="preserve">Basis</w:t>
            </w:r>
          </w:p>
        </w:tc>
      </w:tr>
      <w:tr>
        <w:tc>
          <w:tcPr>
            <w:tcW w:type="dxa" w:w="2200"/>
            <w:tcMar>
              <w:top w:type="dxa" w:w="80"/>
              <w:left w:type="dxa" w:w="100"/>
              <w:bottom w:type="dxa" w:w="80"/>
              <w:right w:type="dxa" w:w="100"/>
            </w:tcMar>
          </w:tcPr>
          <w:p>
            <w:pPr>
              <w:jc w:val="left"/>
            </w:pPr>
            <w:r>
              <w:rPr>
                <w:b w:val="false"/>
                <w:bCs w:val="false"/>
              </w:rPr>
              <w:t xml:space="preserve">Documentation verification</w:t>
            </w:r>
          </w:p>
        </w:tc>
        <w:tc>
          <w:tcPr>
            <w:tcW w:type="dxa" w:w="1800"/>
            <w:tcMar>
              <w:top w:type="dxa" w:w="80"/>
              <w:left w:type="dxa" w:w="100"/>
              <w:bottom w:type="dxa" w:w="80"/>
              <w:right w:type="dxa" w:w="100"/>
            </w:tcMar>
          </w:tcPr>
          <w:p>
            <w:pPr>
              <w:jc w:val="left"/>
            </w:pPr>
            <w:r>
              <w:rPr>
                <w:b w:val="false"/>
                <w:bCs w:val="false"/>
              </w:rPr>
              <w:t xml:space="preserve">Applicable — WP-0001, WP-0004</w:t>
            </w:r>
          </w:p>
        </w:tc>
        <w:tc>
          <w:tcPr>
            <w:tcW w:type="dxa" w:w="5400"/>
            <w:tcMar>
              <w:top w:type="dxa" w:w="80"/>
              <w:left w:type="dxa" w:w="100"/>
              <w:bottom w:type="dxa" w:w="80"/>
              <w:right w:type="dxa" w:w="100"/>
            </w:tcMar>
          </w:tcPr>
          <w:p>
            <w:pPr>
              <w:jc w:val="left"/>
            </w:pPr>
            <w:r>
              <w:rPr>
                <w:b w:val="false"/>
                <w:bCs w:val="false"/>
              </w:rPr>
              <w:t xml:space="preserve">WP-0001's table-inventory diff; WP-0004's published pattern documentation.</w:t>
            </w:r>
          </w:p>
        </w:tc>
      </w:tr>
      <w:tr>
        <w:tc>
          <w:tcPr>
            <w:tcW w:type="dxa" w:w="2200"/>
            <w:tcMar>
              <w:top w:type="dxa" w:w="80"/>
              <w:left w:type="dxa" w:w="100"/>
              <w:bottom w:type="dxa" w:w="80"/>
              <w:right w:type="dxa" w:w="100"/>
            </w:tcMar>
          </w:tcPr>
          <w:p>
            <w:pPr>
              <w:jc w:val="left"/>
            </w:pPr>
            <w:r>
              <w:rPr>
                <w:b w:val="false"/>
                <w:bCs w:val="false"/>
              </w:rPr>
              <w:t xml:space="preserve">Database verification</w:t>
            </w:r>
          </w:p>
        </w:tc>
        <w:tc>
          <w:tcPr>
            <w:tcW w:type="dxa" w:w="1800"/>
            <w:tcMar>
              <w:top w:type="dxa" w:w="80"/>
              <w:left w:type="dxa" w:w="100"/>
              <w:bottom w:type="dxa" w:w="80"/>
              <w:right w:type="dxa" w:w="100"/>
            </w:tcMar>
          </w:tcPr>
          <w:p>
            <w:pPr>
              <w:jc w:val="left"/>
            </w:pPr>
            <w:r>
              <w:rPr>
                <w:b w:val="false"/>
                <w:bCs w:val="false"/>
              </w:rPr>
              <w:t xml:space="preserve">Applicable — WP-0002, WP-0003 (conditional), WP-0005</w:t>
            </w:r>
          </w:p>
        </w:tc>
        <w:tc>
          <w:tcPr>
            <w:tcW w:type="dxa" w:w="5400"/>
            <w:tcMar>
              <w:top w:type="dxa" w:w="80"/>
              <w:left w:type="dxa" w:w="100"/>
              <w:bottom w:type="dxa" w:w="80"/>
              <w:right w:type="dxa" w:w="100"/>
            </w:tcMar>
          </w:tcPr>
          <w:p>
            <w:pPr>
              <w:jc w:val="left"/>
            </w:pPr>
            <w:r>
              <w:rPr>
                <w:b w:val="false"/>
                <w:bCs w:val="false"/>
              </w:rPr>
              <w:t xml:space="preserve">WP-0002's RLS policy query checks; WP-0003's row-count/latency and migration checks once triggered; WP-0005's column-level review.</w:t>
            </w:r>
          </w:p>
        </w:tc>
      </w:tr>
      <w:tr>
        <w:tc>
          <w:tcPr>
            <w:tcW w:type="dxa" w:w="2200"/>
            <w:tcMar>
              <w:top w:type="dxa" w:w="80"/>
              <w:left w:type="dxa" w:w="100"/>
              <w:bottom w:type="dxa" w:w="80"/>
              <w:right w:type="dxa" w:w="100"/>
            </w:tcMar>
          </w:tcPr>
          <w:p>
            <w:pPr>
              <w:jc w:val="left"/>
            </w:pPr>
            <w:r>
              <w:rPr>
                <w:b w:val="false"/>
                <w:bCs w:val="false"/>
              </w:rPr>
              <w:t xml:space="preserve">Security verification</w:t>
            </w:r>
          </w:p>
        </w:tc>
        <w:tc>
          <w:tcPr>
            <w:tcW w:type="dxa" w:w="1800"/>
            <w:tcMar>
              <w:top w:type="dxa" w:w="80"/>
              <w:left w:type="dxa" w:w="100"/>
              <w:bottom w:type="dxa" w:w="80"/>
              <w:right w:type="dxa" w:w="100"/>
            </w:tcMar>
          </w:tcPr>
          <w:p>
            <w:pPr>
              <w:jc w:val="left"/>
            </w:pPr>
            <w:r>
              <w:rPr>
                <w:b w:val="false"/>
                <w:bCs w:val="false"/>
              </w:rPr>
              <w:t xml:space="preserve">Applicable — WP-0002, WP-0005</w:t>
            </w:r>
          </w:p>
        </w:tc>
        <w:tc>
          <w:tcPr>
            <w:tcW w:type="dxa" w:w="5400"/>
            <w:tcMar>
              <w:top w:type="dxa" w:w="80"/>
              <w:left w:type="dxa" w:w="100"/>
              <w:bottom w:type="dxa" w:w="80"/>
              <w:right w:type="dxa" w:w="100"/>
            </w:tcMar>
          </w:tcPr>
          <w:p>
            <w:pPr>
              <w:jc w:val="left"/>
            </w:pPr>
            <w:r>
              <w:rPr>
                <w:b w:val="false"/>
                <w:bCs w:val="false"/>
              </w:rPr>
              <w:t xml:space="preserve">RLS coverage (WP-0002) and column-level access review (WP-0005) are the only evidenced security-verification scope.</w:t>
            </w:r>
          </w:p>
        </w:tc>
      </w:tr>
      <w:tr>
        <w:tc>
          <w:tcPr>
            <w:tcW w:type="dxa" w:w="2200"/>
            <w:tcMar>
              <w:top w:type="dxa" w:w="80"/>
              <w:left w:type="dxa" w:w="100"/>
              <w:bottom w:type="dxa" w:w="80"/>
              <w:right w:type="dxa" w:w="100"/>
            </w:tcMar>
          </w:tcPr>
          <w:p>
            <w:pPr>
              <w:jc w:val="left"/>
            </w:pPr>
            <w:r>
              <w:rPr>
                <w:b w:val="false"/>
                <w:bCs w:val="false"/>
              </w:rPr>
              <w:t xml:space="preserve">Repository verification</w:t>
            </w:r>
          </w:p>
        </w:tc>
        <w:tc>
          <w:tcPr>
            <w:tcW w:type="dxa" w:w="1800"/>
            <w:tcMar>
              <w:top w:type="dxa" w:w="80"/>
              <w:left w:type="dxa" w:w="100"/>
              <w:bottom w:type="dxa" w:w="80"/>
              <w:right w:type="dxa" w:w="100"/>
            </w:tcMar>
          </w:tcPr>
          <w:p>
            <w:pPr>
              <w:jc w:val="left"/>
            </w:pPr>
            <w:r>
              <w:rPr>
                <w:b w:val="false"/>
                <w:bCs w:val="false"/>
              </w:rPr>
              <w:t xml:space="preserve">Applicable — all six Work Packages, scoped to Documentation, Database, and Test repositories only</w:t>
            </w:r>
          </w:p>
        </w:tc>
        <w:tc>
          <w:tcPr>
            <w:tcW w:type="dxa" w:w="5400"/>
            <w:tcMar>
              <w:top w:type="dxa" w:w="80"/>
              <w:left w:type="dxa" w:w="100"/>
              <w:bottom w:type="dxa" w:w="80"/>
              <w:right w:type="dxa" w:w="100"/>
            </w:tcMar>
          </w:tcPr>
          <w:p>
            <w:pPr>
              <w:jc w:val="left"/>
            </w:pPr>
            <w:r>
              <w:rPr>
                <w:b w:val="false"/>
                <w:bCs w:val="false"/>
              </w:rPr>
              <w:t xml:space="preserve">Section 3's finding that only these three of eight anticipated repository categories carry approved impact.</w:t>
            </w:r>
          </w:p>
        </w:tc>
      </w:tr>
      <w:tr>
        <w:tc>
          <w:tcPr>
            <w:tcW w:type="dxa" w:w="2200"/>
            <w:tcMar>
              <w:top w:type="dxa" w:w="80"/>
              <w:left w:type="dxa" w:w="100"/>
              <w:bottom w:type="dxa" w:w="80"/>
              <w:right w:type="dxa" w:w="100"/>
            </w:tcMar>
          </w:tcPr>
          <w:p>
            <w:pPr>
              <w:jc w:val="left"/>
            </w:pPr>
            <w:r>
              <w:rPr>
                <w:b w:val="false"/>
                <w:bCs w:val="false"/>
              </w:rPr>
              <w:t xml:space="preserve">Governance verification</w:t>
            </w:r>
          </w:p>
        </w:tc>
        <w:tc>
          <w:tcPr>
            <w:tcW w:type="dxa" w:w="1800"/>
            <w:tcMar>
              <w:top w:type="dxa" w:w="80"/>
              <w:left w:type="dxa" w:w="100"/>
              <w:bottom w:type="dxa" w:w="80"/>
              <w:right w:type="dxa" w:w="100"/>
            </w:tcMar>
          </w:tcPr>
          <w:p>
            <w:pPr>
              <w:jc w:val="left"/>
            </w:pPr>
            <w:r>
              <w:rPr>
                <w:b w:val="false"/>
                <w:bCs w:val="false"/>
              </w:rPr>
              <w:t xml:space="preserve">Applicable — WP-0006; supporting role for all others</w:t>
            </w:r>
          </w:p>
        </w:tc>
        <w:tc>
          <w:tcPr>
            <w:tcW w:type="dxa" w:w="5400"/>
            <w:tcMar>
              <w:top w:type="dxa" w:w="80"/>
              <w:left w:type="dxa" w:w="100"/>
              <w:bottom w:type="dxa" w:w="80"/>
              <w:right w:type="dxa" w:w="100"/>
            </w:tcMar>
          </w:tcPr>
          <w:p>
            <w:pPr>
              <w:jc w:val="left"/>
            </w:pPr>
            <w:r>
              <w:rPr>
                <w:b w:val="false"/>
                <w:bCs w:val="false"/>
              </w:rPr>
              <w:t xml:space="preserve">WP-0006's KPI-08 measurement is the direct governance-verification activity; every other Work Package's approval step depends on the roles WP-0006 assigns.</w:t>
            </w:r>
          </w:p>
        </w:tc>
      </w:tr>
      <w:tr>
        <w:tc>
          <w:tcPr>
            <w:tcW w:type="dxa" w:w="2200"/>
            <w:tcMar>
              <w:top w:type="dxa" w:w="80"/>
              <w:left w:type="dxa" w:w="100"/>
              <w:bottom w:type="dxa" w:w="80"/>
              <w:right w:type="dxa" w:w="100"/>
            </w:tcMar>
          </w:tcPr>
          <w:p>
            <w:pPr>
              <w:jc w:val="left"/>
            </w:pPr>
            <w:r>
              <w:rPr>
                <w:b w:val="false"/>
                <w:bCs w:val="false"/>
              </w:rPr>
              <w:t xml:space="preserve">Regression verification</w:t>
            </w:r>
          </w:p>
        </w:tc>
        <w:tc>
          <w:tcPr>
            <w:tcW w:type="dxa" w:w="1800"/>
            <w:tcMar>
              <w:top w:type="dxa" w:w="80"/>
              <w:left w:type="dxa" w:w="100"/>
              <w:bottom w:type="dxa" w:w="80"/>
              <w:right w:type="dxa" w:w="100"/>
            </w:tcMar>
          </w:tcPr>
          <w:p>
            <w:pPr>
              <w:jc w:val="left"/>
            </w:pPr>
            <w:r>
              <w:rPr>
                <w:b w:val="false"/>
                <w:bCs w:val="false"/>
              </w:rPr>
              <w:t xml:space="preserve">Conditional — WP-0003 only, and only if a partitioning migration is triggered</w:t>
            </w:r>
          </w:p>
        </w:tc>
        <w:tc>
          <w:tcPr>
            <w:tcW w:type="dxa" w:w="5400"/>
            <w:tcMar>
              <w:top w:type="dxa" w:w="80"/>
              <w:left w:type="dxa" w:w="100"/>
              <w:bottom w:type="dxa" w:w="80"/>
              <w:right w:type="dxa" w:w="100"/>
            </w:tcMar>
          </w:tcPr>
          <w:p>
            <w:pPr>
              <w:jc w:val="left"/>
            </w:pPr>
            <w:r>
              <w:rPr>
                <w:b w:val="false"/>
                <w:bCs w:val="false"/>
              </w:rPr>
              <w:t xml:space="preserve">Section 5 §F's rollback trigger explicitly names "unexpected query-plan regression" as one condition; no regression-testing activity is evidenced for any other Work Package.</w:t>
            </w:r>
          </w:p>
        </w:tc>
      </w:tr>
      <w:tr>
        <w:tc>
          <w:tcPr>
            <w:tcW w:type="dxa" w:w="2200"/>
            <w:tcMar>
              <w:top w:type="dxa" w:w="80"/>
              <w:left w:type="dxa" w:w="100"/>
              <w:bottom w:type="dxa" w:w="80"/>
              <w:right w:type="dxa" w:w="100"/>
            </w:tcMar>
          </w:tcPr>
          <w:p>
            <w:pPr>
              <w:jc w:val="left"/>
            </w:pPr>
            <w:r>
              <w:rPr>
                <w:b w:val="false"/>
                <w:bCs w:val="false"/>
              </w:rPr>
              <w:t xml:space="preserve">Performance verification</w:t>
            </w:r>
          </w:p>
        </w:tc>
        <w:tc>
          <w:tcPr>
            <w:tcW w:type="dxa" w:w="1800"/>
            <w:tcMar>
              <w:top w:type="dxa" w:w="80"/>
              <w:left w:type="dxa" w:w="100"/>
              <w:bottom w:type="dxa" w:w="80"/>
              <w:right w:type="dxa" w:w="100"/>
            </w:tcMar>
          </w:tcPr>
          <w:p>
            <w:pPr>
              <w:jc w:val="left"/>
            </w:pPr>
            <w:r>
              <w:rPr>
                <w:b w:val="false"/>
                <w:bCs w:val="false"/>
              </w:rPr>
              <w:t xml:space="preserve">Conditional — WP-0003 only</w:t>
            </w:r>
          </w:p>
        </w:tc>
        <w:tc>
          <w:tcPr>
            <w:tcW w:type="dxa" w:w="5400"/>
            <w:tcMar>
              <w:top w:type="dxa" w:w="80"/>
              <w:left w:type="dxa" w:w="100"/>
              <w:bottom w:type="dxa" w:w="80"/>
              <w:right w:type="dxa" w:w="100"/>
            </w:tcMar>
          </w:tcPr>
          <w:p>
            <w:pPr>
              <w:jc w:val="left"/>
            </w:pPr>
            <w:r>
              <w:rPr>
                <w:b w:val="false"/>
                <w:bCs w:val="false"/>
              </w:rPr>
              <w:t xml:space="preserve">AR-0004's performance/scalability basis and the quarterly row-count/latency check; Section 1 §9 confirms no performance-validation dimension applies elsewhere.</w:t>
            </w:r>
          </w:p>
        </w:tc>
      </w:tr>
      <w:tr>
        <w:tc>
          <w:tcPr>
            <w:tcW w:type="dxa" w:w="2200"/>
            <w:tcMar>
              <w:top w:type="dxa" w:w="80"/>
              <w:left w:type="dxa" w:w="100"/>
              <w:bottom w:type="dxa" w:w="80"/>
              <w:right w:type="dxa" w:w="100"/>
            </w:tcMar>
          </w:tcPr>
          <w:p>
            <w:pPr>
              <w:jc w:val="left"/>
            </w:pPr>
            <w:r>
              <w:rPr>
                <w:b w:val="false"/>
                <w:bCs w:val="false"/>
              </w:rPr>
              <w:t xml:space="preserve">Architecture verification</w:t>
            </w:r>
          </w:p>
        </w:tc>
        <w:tc>
          <w:tcPr>
            <w:tcW w:type="dxa" w:w="1800"/>
            <w:tcMar>
              <w:top w:type="dxa" w:w="80"/>
              <w:left w:type="dxa" w:w="100"/>
              <w:bottom w:type="dxa" w:w="80"/>
              <w:right w:type="dxa" w:w="100"/>
            </w:tcMar>
          </w:tcPr>
          <w:p>
            <w:pPr>
              <w:jc w:val="left"/>
            </w:pPr>
            <w:r>
              <w:rPr>
                <w:b w:val="false"/>
                <w:bCs w:val="false"/>
              </w:rPr>
              <w:t xml:space="preserve">Applicable — all six Work Packages, via Section 6's Architecture Conformance Plan</w:t>
            </w:r>
          </w:p>
        </w:tc>
        <w:tc>
          <w:tcPr>
            <w:tcW w:type="dxa" w:w="5400"/>
            <w:tcMar>
              <w:top w:type="dxa" w:w="80"/>
              <w:left w:type="dxa" w:w="100"/>
              <w:bottom w:type="dxa" w:w="80"/>
              <w:right w:type="dxa" w:w="100"/>
            </w:tcMar>
          </w:tcPr>
          <w:p>
            <w:pPr>
              <w:jc w:val="left"/>
            </w:pPr>
            <w:r>
              <w:rPr>
                <w:b w:val="false"/>
                <w:bCs w:val="false"/>
              </w:rPr>
              <w:t xml:space="preserve">Every Work Package's verification method in this document feeds directly into the corresponding conformance profile in Section 6 §4.</w:t>
            </w:r>
          </w:p>
        </w:tc>
      </w:tr>
    </w:tbl>
    <w:p>
      <w:pPr>
        <w:spacing w:after="160" w:before="100"/>
      </w:pPr>
      <w:r>
        <w:rPr>
          <w:b/>
          <w:bCs/>
          <w:i/>
          <w:iCs/>
        </w:rPr>
        <w:t xml:space="preserve">Not Evidenced in Current Baseline: </w:t>
      </w:r>
      <w:r>
        <w:rPr>
          <w:i/>
          <w:iCs/>
        </w:rPr>
        <w:t xml:space="preserve">A dedicated automated regression-test suite, a load/performance-testing harness, and a separate test environment distinct from production are not evidenced for any Work Package. This document does not infer their existence from the presence of a "Test" repository category, which Section 3 ties specifically to WP-0002's query-based verification method.</w:t>
      </w:r>
    </w:p>
    <w:p>
      <w:pPr>
        <w:pStyle w:val="Heading1"/>
        <w:spacing w:after="160" w:before="360"/>
      </w:pPr>
      <w:r>
        <w:t xml:space="preserve">6. Verification Checkpoints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200"/>
      </w:tblGrid>
      <w:tr>
        <w:trPr>
          <w:tblHeader/>
        </w:trPr>
        <w:tc>
          <w:tcPr>
            <w:tcW w:type="dxa" w:w="2000"/>
            <w:shd w:fill="D9D9D9" w:val="clear"/>
            <w:tcMar>
              <w:top w:type="dxa" w:w="80"/>
              <w:left w:type="dxa" w:w="100"/>
              <w:bottom w:type="dxa" w:w="80"/>
              <w:right w:type="dxa" w:w="100"/>
            </w:tcMar>
          </w:tcPr>
          <w:p>
            <w:pPr>
              <w:jc w:val="left"/>
            </w:pPr>
            <w:r>
              <w:rPr>
                <w:b/>
                <w:bCs/>
              </w:rPr>
              <w:t xml:space="preserve">Checkpoint</w:t>
            </w:r>
          </w:p>
        </w:tc>
        <w:tc>
          <w:tcPr>
            <w:tcW w:type="dxa" w:w="2600"/>
            <w:shd w:fill="D9D9D9" w:val="clear"/>
            <w:tcMar>
              <w:top w:type="dxa" w:w="80"/>
              <w:left w:type="dxa" w:w="100"/>
              <w:bottom w:type="dxa" w:w="80"/>
              <w:right w:type="dxa" w:w="100"/>
            </w:tcMar>
          </w:tcPr>
          <w:p>
            <w:pPr>
              <w:jc w:val="left"/>
            </w:pPr>
            <w:r>
              <w:rPr>
                <w:b/>
                <w:bCs/>
              </w:rPr>
              <w:t xml:space="preserve">Entry Criteria</w:t>
            </w:r>
          </w:p>
        </w:tc>
        <w:tc>
          <w:tcPr>
            <w:tcW w:type="dxa" w:w="2600"/>
            <w:shd w:fill="D9D9D9" w:val="clear"/>
            <w:tcMar>
              <w:top w:type="dxa" w:w="80"/>
              <w:left w:type="dxa" w:w="100"/>
              <w:bottom w:type="dxa" w:w="80"/>
              <w:right w:type="dxa" w:w="100"/>
            </w:tcMar>
          </w:tcPr>
          <w:p>
            <w:pPr>
              <w:jc w:val="left"/>
            </w:pPr>
            <w:r>
              <w:rPr>
                <w:b/>
                <w:bCs/>
              </w:rPr>
              <w:t xml:space="preserve">Exit Criteria</w:t>
            </w:r>
          </w:p>
        </w:tc>
        <w:tc>
          <w:tcPr>
            <w:tcW w:type="dxa" w:w="2200"/>
            <w:shd w:fill="D9D9D9" w:val="clear"/>
            <w:tcMar>
              <w:top w:type="dxa" w:w="80"/>
              <w:left w:type="dxa" w:w="100"/>
              <w:bottom w:type="dxa" w:w="80"/>
              <w:right w:type="dxa" w:w="100"/>
            </w:tcMar>
          </w:tcPr>
          <w:p>
            <w:pPr>
              <w:jc w:val="left"/>
            </w:pPr>
            <w:r>
              <w:rPr>
                <w:b/>
                <w:bCs/>
              </w:rPr>
              <w:t xml:space="preserve">Required Evidence</w:t>
            </w:r>
          </w:p>
        </w:tc>
      </w:tr>
      <w:tr>
        <w:tc>
          <w:tcPr>
            <w:tcW w:type="dxa" w:w="2000"/>
            <w:tcMar>
              <w:top w:type="dxa" w:w="80"/>
              <w:left w:type="dxa" w:w="100"/>
              <w:bottom w:type="dxa" w:w="80"/>
              <w:right w:type="dxa" w:w="100"/>
            </w:tcMar>
          </w:tcPr>
          <w:p>
            <w:pPr>
              <w:jc w:val="left"/>
            </w:pPr>
            <w:r>
              <w:rPr>
                <w:b w:val="false"/>
                <w:bCs w:val="false"/>
              </w:rPr>
              <w:t xml:space="preserve">Pre-verification readiness</w:t>
            </w:r>
          </w:p>
        </w:tc>
        <w:tc>
          <w:tcPr>
            <w:tcW w:type="dxa" w:w="2600"/>
            <w:tcMar>
              <w:top w:type="dxa" w:w="80"/>
              <w:left w:type="dxa" w:w="100"/>
              <w:bottom w:type="dxa" w:w="80"/>
              <w:right w:type="dxa" w:w="100"/>
            </w:tcMar>
          </w:tcPr>
          <w:p>
            <w:pPr>
              <w:jc w:val="left"/>
            </w:pPr>
            <w:r>
              <w:rPr>
                <w:b w:val="false"/>
                <w:bCs w:val="false"/>
              </w:rPr>
              <w:t xml:space="preserve">Engineering design (Section 4) exists; verification method is defined for the Work Package.</w:t>
            </w:r>
          </w:p>
        </w:tc>
        <w:tc>
          <w:tcPr>
            <w:tcW w:type="dxa" w:w="2600"/>
            <w:tcMar>
              <w:top w:type="dxa" w:w="80"/>
              <w:left w:type="dxa" w:w="100"/>
              <w:bottom w:type="dxa" w:w="80"/>
              <w:right w:type="dxa" w:w="100"/>
            </w:tcMar>
          </w:tcPr>
          <w:p>
            <w:pPr>
              <w:jc w:val="left"/>
            </w:pPr>
            <w:r>
              <w:rPr>
                <w:b w:val="false"/>
                <w:bCs w:val="false"/>
              </w:rPr>
              <w:t xml:space="preserve">Preconditions confirmed (e.g., database access and table groups available for WP-0002).</w:t>
            </w:r>
          </w:p>
        </w:tc>
        <w:tc>
          <w:tcPr>
            <w:tcW w:type="dxa" w:w="2200"/>
            <w:tcMar>
              <w:top w:type="dxa" w:w="80"/>
              <w:left w:type="dxa" w:w="100"/>
              <w:bottom w:type="dxa" w:w="80"/>
              <w:right w:type="dxa" w:w="100"/>
            </w:tcMar>
          </w:tcPr>
          <w:p>
            <w:pPr>
              <w:jc w:val="left"/>
            </w:pPr>
            <w:r>
              <w:rPr>
                <w:b w:val="false"/>
                <w:bCs w:val="false"/>
              </w:rPr>
              <w:t xml:space="preserve">Confirmed method definition; access/precondition record.</w:t>
            </w:r>
          </w:p>
        </w:tc>
      </w:tr>
      <w:tr>
        <w:tc>
          <w:tcPr>
            <w:tcW w:type="dxa" w:w="2000"/>
            <w:tcMar>
              <w:top w:type="dxa" w:w="80"/>
              <w:left w:type="dxa" w:w="100"/>
              <w:bottom w:type="dxa" w:w="80"/>
              <w:right w:type="dxa" w:w="100"/>
            </w:tcMar>
          </w:tcPr>
          <w:p>
            <w:pPr>
              <w:jc w:val="left"/>
            </w:pPr>
            <w:r>
              <w:rPr>
                <w:b w:val="false"/>
                <w:bCs w:val="false"/>
              </w:rPr>
              <w:t xml:space="preserve">Verification execution</w:t>
            </w:r>
          </w:p>
        </w:tc>
        <w:tc>
          <w:tcPr>
            <w:tcW w:type="dxa" w:w="2600"/>
            <w:tcMar>
              <w:top w:type="dxa" w:w="80"/>
              <w:left w:type="dxa" w:w="100"/>
              <w:bottom w:type="dxa" w:w="80"/>
              <w:right w:type="dxa" w:w="100"/>
            </w:tcMar>
          </w:tcPr>
          <w:p>
            <w:pPr>
              <w:jc w:val="left"/>
            </w:pPr>
            <w:r>
              <w:rPr>
                <w:b w:val="false"/>
                <w:bCs w:val="false"/>
              </w:rPr>
              <w:t xml:space="preserve">Pre-verification readiness confirmed.</w:t>
            </w:r>
          </w:p>
        </w:tc>
        <w:tc>
          <w:tcPr>
            <w:tcW w:type="dxa" w:w="2600"/>
            <w:tcMar>
              <w:top w:type="dxa" w:w="80"/>
              <w:left w:type="dxa" w:w="100"/>
              <w:bottom w:type="dxa" w:w="80"/>
              <w:right w:type="dxa" w:w="100"/>
            </w:tcMar>
          </w:tcPr>
          <w:p>
            <w:pPr>
              <w:jc w:val="left"/>
            </w:pPr>
            <w:r>
              <w:rPr>
                <w:b w:val="false"/>
                <w:bCs w:val="false"/>
              </w:rPr>
              <w:t xml:space="preserve">Verification method executed exactly as designed, with no scope expansion.</w:t>
            </w:r>
          </w:p>
        </w:tc>
        <w:tc>
          <w:tcPr>
            <w:tcW w:type="dxa" w:w="2200"/>
            <w:tcMar>
              <w:top w:type="dxa" w:w="80"/>
              <w:left w:type="dxa" w:w="100"/>
              <w:bottom w:type="dxa" w:w="80"/>
              <w:right w:type="dxa" w:w="100"/>
            </w:tcMar>
          </w:tcPr>
          <w:p>
            <w:pPr>
              <w:jc w:val="left"/>
            </w:pPr>
            <w:r>
              <w:rPr>
                <w:b w:val="false"/>
                <w:bCs w:val="false"/>
              </w:rPr>
              <w:t xml:space="preserve">Raw verification output (diff, query result, or review notes).</w:t>
            </w:r>
          </w:p>
        </w:tc>
      </w:tr>
      <w:tr>
        <w:tc>
          <w:tcPr>
            <w:tcW w:type="dxa" w:w="2000"/>
            <w:tcMar>
              <w:top w:type="dxa" w:w="80"/>
              <w:left w:type="dxa" w:w="100"/>
              <w:bottom w:type="dxa" w:w="80"/>
              <w:right w:type="dxa" w:w="100"/>
            </w:tcMar>
          </w:tcPr>
          <w:p>
            <w:pPr>
              <w:jc w:val="left"/>
            </w:pPr>
            <w:r>
              <w:rPr>
                <w:b w:val="false"/>
                <w:bCs w:val="false"/>
              </w:rPr>
              <w:t xml:space="preserve">Evidence validation</w:t>
            </w:r>
          </w:p>
        </w:tc>
        <w:tc>
          <w:tcPr>
            <w:tcW w:type="dxa" w:w="2600"/>
            <w:tcMar>
              <w:top w:type="dxa" w:w="80"/>
              <w:left w:type="dxa" w:w="100"/>
              <w:bottom w:type="dxa" w:w="80"/>
              <w:right w:type="dxa" w:w="100"/>
            </w:tcMar>
          </w:tcPr>
          <w:p>
            <w:pPr>
              <w:jc w:val="left"/>
            </w:pPr>
            <w:r>
              <w:rPr>
                <w:b w:val="false"/>
                <w:bCs w:val="false"/>
              </w:rPr>
              <w:t xml:space="preserve">Verification execution complete.</w:t>
            </w:r>
          </w:p>
        </w:tc>
        <w:tc>
          <w:tcPr>
            <w:tcW w:type="dxa" w:w="2600"/>
            <w:tcMar>
              <w:top w:type="dxa" w:w="80"/>
              <w:left w:type="dxa" w:w="100"/>
              <w:bottom w:type="dxa" w:w="80"/>
              <w:right w:type="dxa" w:w="100"/>
            </w:tcMar>
          </w:tcPr>
          <w:p>
            <w:pPr>
              <w:jc w:val="left"/>
            </w:pPr>
            <w:r>
              <w:rPr>
                <w:b w:val="false"/>
                <w:bCs w:val="false"/>
              </w:rPr>
              <w:t xml:space="preserve">Evidence artifact matches the specific description in Section 5 §8 and Section 6 §4 (e.g., zero-discrepancy diff for WP-0001).</w:t>
            </w:r>
          </w:p>
        </w:tc>
        <w:tc>
          <w:tcPr>
            <w:tcW w:type="dxa" w:w="2200"/>
            <w:tcMar>
              <w:top w:type="dxa" w:w="80"/>
              <w:left w:type="dxa" w:w="100"/>
              <w:bottom w:type="dxa" w:w="80"/>
              <w:right w:type="dxa" w:w="100"/>
            </w:tcMar>
          </w:tcPr>
          <w:p>
            <w:pPr>
              <w:jc w:val="left"/>
            </w:pPr>
            <w:r>
              <w:rPr>
                <w:b w:val="false"/>
                <w:bCs w:val="false"/>
              </w:rPr>
              <w:t xml:space="preserve">Named evidence artifact (ledger, report, or record).</w:t>
            </w:r>
          </w:p>
        </w:tc>
      </w:tr>
      <w:tr>
        <w:tc>
          <w:tcPr>
            <w:tcW w:type="dxa" w:w="2000"/>
            <w:tcMar>
              <w:top w:type="dxa" w:w="80"/>
              <w:left w:type="dxa" w:w="100"/>
              <w:bottom w:type="dxa" w:w="80"/>
              <w:right w:type="dxa" w:w="100"/>
            </w:tcMar>
          </w:tcPr>
          <w:p>
            <w:pPr>
              <w:jc w:val="left"/>
            </w:pPr>
            <w:r>
              <w:rPr>
                <w:b w:val="false"/>
                <w:bCs w:val="false"/>
              </w:rPr>
              <w:t xml:space="preserve">Repository validation</w:t>
            </w:r>
          </w:p>
        </w:tc>
        <w:tc>
          <w:tcPr>
            <w:tcW w:type="dxa" w:w="2600"/>
            <w:tcMar>
              <w:top w:type="dxa" w:w="80"/>
              <w:left w:type="dxa" w:w="100"/>
              <w:bottom w:type="dxa" w:w="80"/>
              <w:right w:type="dxa" w:w="100"/>
            </w:tcMar>
          </w:tcPr>
          <w:p>
            <w:pPr>
              <w:jc w:val="left"/>
            </w:pPr>
            <w:r>
              <w:rPr>
                <w:b w:val="false"/>
                <w:bCs w:val="false"/>
              </w:rPr>
              <w:t xml:space="preserve">Evidence validation complete.</w:t>
            </w:r>
          </w:p>
        </w:tc>
        <w:tc>
          <w:tcPr>
            <w:tcW w:type="dxa" w:w="2600"/>
            <w:tcMar>
              <w:top w:type="dxa" w:w="80"/>
              <w:left w:type="dxa" w:w="100"/>
              <w:bottom w:type="dxa" w:w="80"/>
              <w:right w:type="dxa" w:w="100"/>
            </w:tcMar>
          </w:tcPr>
          <w:p>
            <w:pPr>
              <w:jc w:val="left"/>
            </w:pPr>
            <w:r>
              <w:rPr>
                <w:b w:val="false"/>
                <w:bCs w:val="false"/>
              </w:rPr>
              <w:t xml:space="preserve">Repository evidence confirmed at the specific location Section 3 identifies, within an approved category only.</w:t>
            </w:r>
          </w:p>
        </w:tc>
        <w:tc>
          <w:tcPr>
            <w:tcW w:type="dxa" w:w="2200"/>
            <w:tcMar>
              <w:top w:type="dxa" w:w="80"/>
              <w:left w:type="dxa" w:w="100"/>
              <w:bottom w:type="dxa" w:w="80"/>
              <w:right w:type="dxa" w:w="100"/>
            </w:tcMar>
          </w:tcPr>
          <w:p>
            <w:pPr>
              <w:jc w:val="left"/>
            </w:pPr>
            <w:r>
              <w:rPr>
                <w:b w:val="false"/>
                <w:bCs w:val="false"/>
              </w:rPr>
              <w:t xml:space="preserve">Repository file/line or query citation.</w:t>
            </w:r>
          </w:p>
        </w:tc>
      </w:tr>
      <w:tr>
        <w:tc>
          <w:tcPr>
            <w:tcW w:type="dxa" w:w="2000"/>
            <w:tcMar>
              <w:top w:type="dxa" w:w="80"/>
              <w:left w:type="dxa" w:w="100"/>
              <w:bottom w:type="dxa" w:w="80"/>
              <w:right w:type="dxa" w:w="100"/>
            </w:tcMar>
          </w:tcPr>
          <w:p>
            <w:pPr>
              <w:jc w:val="left"/>
            </w:pPr>
            <w:r>
              <w:rPr>
                <w:b w:val="false"/>
                <w:bCs w:val="false"/>
              </w:rPr>
              <w:t xml:space="preserve">Documentation validation</w:t>
            </w:r>
          </w:p>
        </w:tc>
        <w:tc>
          <w:tcPr>
            <w:tcW w:type="dxa" w:w="2600"/>
            <w:tcMar>
              <w:top w:type="dxa" w:w="80"/>
              <w:left w:type="dxa" w:w="100"/>
              <w:bottom w:type="dxa" w:w="80"/>
              <w:right w:type="dxa" w:w="100"/>
            </w:tcMar>
          </w:tcPr>
          <w:p>
            <w:pPr>
              <w:jc w:val="left"/>
            </w:pPr>
            <w:r>
              <w:rPr>
                <w:b w:val="false"/>
                <w:bCs w:val="false"/>
              </w:rPr>
              <w:t xml:space="preserve">Repository validation complete.</w:t>
            </w:r>
          </w:p>
        </w:tc>
        <w:tc>
          <w:tcPr>
            <w:tcW w:type="dxa" w:w="2600"/>
            <w:tcMar>
              <w:top w:type="dxa" w:w="80"/>
              <w:left w:type="dxa" w:w="100"/>
              <w:bottom w:type="dxa" w:w="80"/>
              <w:right w:type="dxa" w:w="100"/>
            </w:tcMar>
          </w:tcPr>
          <w:p>
            <w:pPr>
              <w:jc w:val="left"/>
            </w:pPr>
            <w:r>
              <w:rPr>
                <w:b w:val="false"/>
                <w:bCs w:val="false"/>
              </w:rPr>
              <w:t xml:space="preserve">Published document (where applicable) matches the approved Completion Evidence description exactly.</w:t>
            </w:r>
          </w:p>
        </w:tc>
        <w:tc>
          <w:tcPr>
            <w:tcW w:type="dxa" w:w="2200"/>
            <w:tcMar>
              <w:top w:type="dxa" w:w="80"/>
              <w:left w:type="dxa" w:w="100"/>
              <w:bottom w:type="dxa" w:w="80"/>
              <w:right w:type="dxa" w:w="100"/>
            </w:tcMar>
          </w:tcPr>
          <w:p>
            <w:pPr>
              <w:jc w:val="left"/>
            </w:pPr>
            <w:r>
              <w:rPr>
                <w:b w:val="false"/>
                <w:bCs w:val="false"/>
              </w:rPr>
              <w:t xml:space="preserve">Published document reference.</w:t>
            </w:r>
          </w:p>
        </w:tc>
      </w:tr>
      <w:tr>
        <w:tc>
          <w:tcPr>
            <w:tcW w:type="dxa" w:w="2000"/>
            <w:tcMar>
              <w:top w:type="dxa" w:w="80"/>
              <w:left w:type="dxa" w:w="100"/>
              <w:bottom w:type="dxa" w:w="80"/>
              <w:right w:type="dxa" w:w="100"/>
            </w:tcMar>
          </w:tcPr>
          <w:p>
            <w:pPr>
              <w:jc w:val="left"/>
            </w:pPr>
            <w:r>
              <w:rPr>
                <w:b w:val="false"/>
                <w:bCs w:val="false"/>
              </w:rPr>
              <w:t xml:space="preserve">Governance validation</w:t>
            </w:r>
          </w:p>
        </w:tc>
        <w:tc>
          <w:tcPr>
            <w:tcW w:type="dxa" w:w="2600"/>
            <w:tcMar>
              <w:top w:type="dxa" w:w="80"/>
              <w:left w:type="dxa" w:w="100"/>
              <w:bottom w:type="dxa" w:w="80"/>
              <w:right w:type="dxa" w:w="100"/>
            </w:tcMar>
          </w:tcPr>
          <w:p>
            <w:pPr>
              <w:jc w:val="left"/>
            </w:pPr>
            <w:r>
              <w:rPr>
                <w:b w:val="false"/>
                <w:bCs w:val="false"/>
              </w:rPr>
              <w:t xml:space="preserve">Documentation validation complete.</w:t>
            </w:r>
          </w:p>
        </w:tc>
        <w:tc>
          <w:tcPr>
            <w:tcW w:type="dxa" w:w="2600"/>
            <w:tcMar>
              <w:top w:type="dxa" w:w="80"/>
              <w:left w:type="dxa" w:w="100"/>
              <w:bottom w:type="dxa" w:w="80"/>
              <w:right w:type="dxa" w:w="100"/>
            </w:tcMar>
          </w:tcPr>
          <w:p>
            <w:pPr>
              <w:jc w:val="left"/>
            </w:pPr>
            <w:r>
              <w:rPr>
                <w:b w:val="false"/>
                <w:bCs w:val="false"/>
              </w:rPr>
              <w:t xml:space="preserve">Enterprise Governance Decision(s) named in Section 4/5/6 confirmed satisfied; exceptions logged per Section 6 §8.</w:t>
            </w:r>
          </w:p>
        </w:tc>
        <w:tc>
          <w:tcPr>
            <w:tcW w:type="dxa" w:w="2200"/>
            <w:tcMar>
              <w:top w:type="dxa" w:w="80"/>
              <w:left w:type="dxa" w:w="100"/>
              <w:bottom w:type="dxa" w:w="80"/>
              <w:right w:type="dxa" w:w="100"/>
            </w:tcMar>
          </w:tcPr>
          <w:p>
            <w:pPr>
              <w:jc w:val="left"/>
            </w:pPr>
            <w:r>
              <w:rPr>
                <w:b w:val="false"/>
                <w:bCs w:val="false"/>
              </w:rPr>
              <w:t xml:space="preserve">Governance record or exception log entry.</w:t>
            </w:r>
          </w:p>
        </w:tc>
      </w:tr>
      <w:tr>
        <w:tc>
          <w:tcPr>
            <w:tcW w:type="dxa" w:w="2000"/>
            <w:tcMar>
              <w:top w:type="dxa" w:w="80"/>
              <w:left w:type="dxa" w:w="100"/>
              <w:bottom w:type="dxa" w:w="80"/>
              <w:right w:type="dxa" w:w="100"/>
            </w:tcMar>
          </w:tcPr>
          <w:p>
            <w:pPr>
              <w:jc w:val="left"/>
            </w:pPr>
            <w:r>
              <w:rPr>
                <w:b w:val="false"/>
                <w:bCs w:val="false"/>
              </w:rPr>
              <w:t xml:space="preserve">Verification completion</w:t>
            </w:r>
          </w:p>
        </w:tc>
        <w:tc>
          <w:tcPr>
            <w:tcW w:type="dxa" w:w="2600"/>
            <w:tcMar>
              <w:top w:type="dxa" w:w="80"/>
              <w:left w:type="dxa" w:w="100"/>
              <w:bottom w:type="dxa" w:w="80"/>
              <w:right w:type="dxa" w:w="100"/>
            </w:tcMar>
          </w:tcPr>
          <w:p>
            <w:pPr>
              <w:jc w:val="left"/>
            </w:pPr>
            <w:r>
              <w:rPr>
                <w:b w:val="false"/>
                <w:bCs w:val="false"/>
              </w:rPr>
              <w:t xml:space="preserve">Governance validation complete.</w:t>
            </w:r>
          </w:p>
        </w:tc>
        <w:tc>
          <w:tcPr>
            <w:tcW w:type="dxa" w:w="2600"/>
            <w:tcMar>
              <w:top w:type="dxa" w:w="80"/>
              <w:left w:type="dxa" w:w="100"/>
              <w:bottom w:type="dxa" w:w="80"/>
              <w:right w:type="dxa" w:w="100"/>
            </w:tcMar>
          </w:tcPr>
          <w:p>
            <w:pPr>
              <w:jc w:val="left"/>
            </w:pPr>
            <w:r>
              <w:rPr>
                <w:b w:val="false"/>
                <w:bCs w:val="false"/>
              </w:rPr>
              <w:t xml:space="preserve">Associated KPI measured and recorded; verification record handed to Section 6's certification step.</w:t>
            </w:r>
          </w:p>
        </w:tc>
        <w:tc>
          <w:tcPr>
            <w:tcW w:type="dxa" w:w="2200"/>
            <w:tcMar>
              <w:top w:type="dxa" w:w="80"/>
              <w:left w:type="dxa" w:w="100"/>
              <w:bottom w:type="dxa" w:w="80"/>
              <w:right w:type="dxa" w:w="100"/>
            </w:tcMar>
          </w:tcPr>
          <w:p>
            <w:pPr>
              <w:jc w:val="left"/>
            </w:pPr>
            <w:r>
              <w:rPr>
                <w:b w:val="false"/>
                <w:bCs w:val="false"/>
              </w:rPr>
              <w:t xml:space="preserve">KPI measurement record.</w:t>
            </w:r>
          </w:p>
        </w:tc>
      </w:tr>
    </w:tbl>
    <w:p>
      <w:r>
        <w:br w:type="page"/>
      </w:r>
    </w:p>
    <w:p>
      <w:pPr>
        <w:pStyle w:val="Heading1"/>
        <w:spacing w:after="160" w:before="360"/>
      </w:pPr>
      <w:r>
        <w:t xml:space="preserve">7. Verification Traceability Matrix</w:t>
      </w:r>
    </w:p>
    <w:p>
      <w:pPr>
        <w:spacing w:after="140"/>
      </w:pPr>
      <w:r>
        <w:rPr>
          <w:i/>
          <w:iCs/>
        </w:rPr>
        <w:t xml:space="preserve">Work Package → Architecture Requirement → Enterprise Governance Decision → Engineering Design → Implementation Activity → Verification Method → Verification Evidence → Acceptance Criteria → Certification Level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500"/>
        <w:gridCol w:w="1900"/>
        <w:gridCol w:w="1600"/>
        <w:gridCol w:w="1000"/>
      </w:tblGrid>
      <w:tr>
        <w:trPr>
          <w:tblHeader/>
        </w:trPr>
        <w:tc>
          <w:tcPr>
            <w:tcW w:type="dxa" w:w="900"/>
            <w:shd w:fill="D9D9D9" w:val="clear"/>
            <w:tcMar>
              <w:top w:type="dxa" w:w="80"/>
              <w:left w:type="dxa" w:w="100"/>
              <w:bottom w:type="dxa" w:w="80"/>
              <w:right w:type="dxa" w:w="100"/>
            </w:tcMar>
          </w:tcPr>
          <w:p>
            <w:pPr>
              <w:jc w:val="left"/>
            </w:pPr>
            <w:r>
              <w:rPr>
                <w:b/>
                <w:bCs/>
              </w:rPr>
              <w:t xml:space="preserve">WP</w:t>
            </w:r>
          </w:p>
        </w:tc>
        <w:tc>
          <w:tcPr>
            <w:tcW w:type="dxa" w:w="1500"/>
            <w:shd w:fill="D9D9D9" w:val="clear"/>
            <w:tcMar>
              <w:top w:type="dxa" w:w="80"/>
              <w:left w:type="dxa" w:w="100"/>
              <w:bottom w:type="dxa" w:w="80"/>
              <w:right w:type="dxa" w:w="100"/>
            </w:tcMar>
          </w:tcPr>
          <w:p>
            <w:pPr>
              <w:jc w:val="left"/>
            </w:pPr>
            <w:r>
              <w:rPr>
                <w:b/>
                <w:bCs/>
              </w:rPr>
              <w:t xml:space="preserve">AR/EGD</w:t>
            </w:r>
          </w:p>
        </w:tc>
        <w:tc>
          <w:tcPr>
            <w:tcW w:type="dxa" w:w="1500"/>
            <w:shd w:fill="D9D9D9" w:val="clear"/>
            <w:tcMar>
              <w:top w:type="dxa" w:w="80"/>
              <w:left w:type="dxa" w:w="100"/>
              <w:bottom w:type="dxa" w:w="80"/>
              <w:right w:type="dxa" w:w="100"/>
            </w:tcMar>
          </w:tcPr>
          <w:p>
            <w:pPr>
              <w:jc w:val="left"/>
            </w:pPr>
            <w:r>
              <w:rPr>
                <w:b/>
                <w:bCs/>
              </w:rPr>
              <w:t xml:space="preserve">Engineering Design Ref.</w:t>
            </w:r>
          </w:p>
        </w:tc>
        <w:tc>
          <w:tcPr>
            <w:tcW w:type="dxa" w:w="1500"/>
            <w:shd w:fill="D9D9D9" w:val="clear"/>
            <w:tcMar>
              <w:top w:type="dxa" w:w="80"/>
              <w:left w:type="dxa" w:w="100"/>
              <w:bottom w:type="dxa" w:w="80"/>
              <w:right w:type="dxa" w:w="100"/>
            </w:tcMar>
          </w:tcPr>
          <w:p>
            <w:pPr>
              <w:jc w:val="left"/>
            </w:pPr>
            <w:r>
              <w:rPr>
                <w:b/>
                <w:bCs/>
              </w:rPr>
              <w:t xml:space="preserve">Impl. Activity Ref.</w:t>
            </w:r>
          </w:p>
        </w:tc>
        <w:tc>
          <w:tcPr>
            <w:tcW w:type="dxa" w:w="1900"/>
            <w:shd w:fill="D9D9D9" w:val="clear"/>
            <w:tcMar>
              <w:top w:type="dxa" w:w="80"/>
              <w:left w:type="dxa" w:w="100"/>
              <w:bottom w:type="dxa" w:w="80"/>
              <w:right w:type="dxa" w:w="100"/>
            </w:tcMar>
          </w:tcPr>
          <w:p>
            <w:pPr>
              <w:jc w:val="left"/>
            </w:pPr>
            <w:r>
              <w:rPr>
                <w:b/>
                <w:bCs/>
              </w:rPr>
              <w:t xml:space="preserve">Verification Method</w:t>
            </w:r>
          </w:p>
        </w:tc>
        <w:tc>
          <w:tcPr>
            <w:tcW w:type="dxa" w:w="1600"/>
            <w:shd w:fill="D9D9D9" w:val="clear"/>
            <w:tcMar>
              <w:top w:type="dxa" w:w="80"/>
              <w:left w:type="dxa" w:w="100"/>
              <w:bottom w:type="dxa" w:w="80"/>
              <w:right w:type="dxa" w:w="100"/>
            </w:tcMar>
          </w:tcPr>
          <w:p>
            <w:pPr>
              <w:jc w:val="left"/>
            </w:pPr>
            <w:r>
              <w:rPr>
                <w:b/>
                <w:bCs/>
              </w:rPr>
              <w:t xml:space="preserve">Verification Evidence</w:t>
            </w:r>
          </w:p>
        </w:tc>
        <w:tc>
          <w:tcPr>
            <w:tcW w:type="dxa" w:w="1000"/>
            <w:shd w:fill="D9D9D9" w:val="clear"/>
            <w:tcMar>
              <w:top w:type="dxa" w:w="80"/>
              <w:left w:type="dxa" w:w="100"/>
              <w:bottom w:type="dxa" w:w="80"/>
              <w:right w:type="dxa" w:w="100"/>
            </w:tcMar>
          </w:tcPr>
          <w:p>
            <w:pPr>
              <w:jc w:val="left"/>
            </w:pPr>
            <w:r>
              <w:rPr>
                <w:b/>
                <w:bCs/>
              </w:rPr>
              <w:t xml:space="preserve">Cert. Level</w:t>
            </w:r>
          </w:p>
        </w:tc>
      </w:tr>
      <w:tr>
        <w:tc>
          <w:tcPr>
            <w:tcW w:type="dxa" w:w="900"/>
            <w:tcMar>
              <w:top w:type="dxa" w:w="80"/>
              <w:left w:type="dxa" w:w="100"/>
              <w:bottom w:type="dxa" w:w="80"/>
              <w:right w:type="dxa" w:w="100"/>
            </w:tcMar>
          </w:tcPr>
          <w:p>
            <w:pPr>
              <w:jc w:val="left"/>
            </w:pPr>
            <w:r>
              <w:rPr>
                <w:b w:val="false"/>
                <w:bCs w:val="false"/>
              </w:rPr>
              <w:t xml:space="preserve">WP-0001</w:t>
            </w:r>
          </w:p>
        </w:tc>
        <w:tc>
          <w:tcPr>
            <w:tcW w:type="dxa" w:w="1500"/>
            <w:tcMar>
              <w:top w:type="dxa" w:w="80"/>
              <w:left w:type="dxa" w:w="100"/>
              <w:bottom w:type="dxa" w:w="80"/>
              <w:right w:type="dxa" w:w="100"/>
            </w:tcMar>
          </w:tcPr>
          <w:p>
            <w:pPr>
              <w:jc w:val="left"/>
            </w:pPr>
            <w:r>
              <w:rPr>
                <w:b w:val="false"/>
                <w:bCs w:val="false"/>
              </w:rPr>
              <w:t xml:space="preserve">AR-0002 / EGD-0002</w:t>
            </w:r>
          </w:p>
        </w:tc>
        <w:tc>
          <w:tcPr>
            <w:tcW w:type="dxa" w:w="1500"/>
            <w:tcMar>
              <w:top w:type="dxa" w:w="80"/>
              <w:left w:type="dxa" w:w="100"/>
              <w:bottom w:type="dxa" w:w="80"/>
              <w:right w:type="dxa" w:w="100"/>
            </w:tcMar>
          </w:tcPr>
          <w:p>
            <w:pPr>
              <w:jc w:val="left"/>
            </w:pPr>
            <w:r>
              <w:rPr>
                <w:b w:val="false"/>
                <w:bCs w:val="false"/>
              </w:rPr>
              <w:t xml:space="preserve">Section 4 §WP-0001</w:t>
            </w:r>
          </w:p>
        </w:tc>
        <w:tc>
          <w:tcPr>
            <w:tcW w:type="dxa" w:w="1500"/>
            <w:tcMar>
              <w:top w:type="dxa" w:w="80"/>
              <w:left w:type="dxa" w:w="100"/>
              <w:bottom w:type="dxa" w:w="80"/>
              <w:right w:type="dxa" w:w="100"/>
            </w:tcMar>
          </w:tcPr>
          <w:p>
            <w:pPr>
              <w:jc w:val="left"/>
            </w:pPr>
            <w:r>
              <w:rPr>
                <w:b w:val="false"/>
                <w:bCs w:val="false"/>
              </w:rPr>
              <w:t xml:space="preserve">Section 5 §3, WP-0001</w:t>
            </w:r>
          </w:p>
        </w:tc>
        <w:tc>
          <w:tcPr>
            <w:tcW w:type="dxa" w:w="1900"/>
            <w:tcMar>
              <w:top w:type="dxa" w:w="80"/>
              <w:left w:type="dxa" w:w="100"/>
              <w:bottom w:type="dxa" w:w="80"/>
              <w:right w:type="dxa" w:w="100"/>
            </w:tcMar>
          </w:tcPr>
          <w:p>
            <w:pPr>
              <w:jc w:val="left"/>
            </w:pPr>
            <w:r>
              <w:rPr>
                <w:b w:val="false"/>
                <w:bCs w:val="false"/>
              </w:rPr>
              <w:t xml:space="preserve">Table-inventory diff (manual)</w:t>
            </w:r>
          </w:p>
        </w:tc>
        <w:tc>
          <w:tcPr>
            <w:tcW w:type="dxa" w:w="1600"/>
            <w:tcMar>
              <w:top w:type="dxa" w:w="80"/>
              <w:left w:type="dxa" w:w="100"/>
              <w:bottom w:type="dxa" w:w="80"/>
              <w:right w:type="dxa" w:w="100"/>
            </w:tcMar>
          </w:tcPr>
          <w:p>
            <w:pPr>
              <w:jc w:val="left"/>
            </w:pPr>
            <w:r>
              <w:rPr>
                <w:b w:val="false"/>
                <w:bCs w:val="false"/>
              </w:rPr>
              <w:t xml:space="preserve">Zero-discrepancy diff report; published document</w:t>
            </w:r>
          </w:p>
        </w:tc>
        <w:tc>
          <w:tcPr>
            <w:tcW w:type="dxa" w:w="1000"/>
            <w:tcMar>
              <w:top w:type="dxa" w:w="80"/>
              <w:left w:type="dxa" w:w="100"/>
              <w:bottom w:type="dxa" w:w="80"/>
              <w:right w:type="dxa" w:w="100"/>
            </w:tcMar>
          </w:tcPr>
          <w:p>
            <w:pPr>
              <w:jc w:val="left"/>
            </w:pPr>
            <w:r>
              <w:rPr>
                <w:b w:val="false"/>
                <w:bCs w:val="false"/>
              </w:rPr>
              <w:t xml:space="preserve">L4 (pending)</w:t>
            </w:r>
          </w:p>
        </w:tc>
      </w:tr>
      <w:tr>
        <w:tc>
          <w:tcPr>
            <w:tcW w:type="dxa" w:w="900"/>
            <w:tcMar>
              <w:top w:type="dxa" w:w="80"/>
              <w:left w:type="dxa" w:w="100"/>
              <w:bottom w:type="dxa" w:w="80"/>
              <w:right w:type="dxa" w:w="100"/>
            </w:tcMar>
          </w:tcPr>
          <w:p>
            <w:pPr>
              <w:jc w:val="left"/>
            </w:pPr>
            <w:r>
              <w:rPr>
                <w:b w:val="false"/>
                <w:bCs w:val="false"/>
              </w:rPr>
              <w:t xml:space="preserve">WP-0002</w:t>
            </w:r>
          </w:p>
        </w:tc>
        <w:tc>
          <w:tcPr>
            <w:tcW w:type="dxa" w:w="1500"/>
            <w:tcMar>
              <w:top w:type="dxa" w:w="80"/>
              <w:left w:type="dxa" w:w="100"/>
              <w:bottom w:type="dxa" w:w="80"/>
              <w:right w:type="dxa" w:w="100"/>
            </w:tcMar>
          </w:tcPr>
          <w:p>
            <w:pPr>
              <w:jc w:val="left"/>
            </w:pPr>
            <w:r>
              <w:rPr>
                <w:b w:val="false"/>
                <w:bCs w:val="false"/>
              </w:rPr>
              <w:t xml:space="preserve">AR-0007 / EGD-0007</w:t>
            </w:r>
          </w:p>
        </w:tc>
        <w:tc>
          <w:tcPr>
            <w:tcW w:type="dxa" w:w="1500"/>
            <w:tcMar>
              <w:top w:type="dxa" w:w="80"/>
              <w:left w:type="dxa" w:w="100"/>
              <w:bottom w:type="dxa" w:w="80"/>
              <w:right w:type="dxa" w:w="100"/>
            </w:tcMar>
          </w:tcPr>
          <w:p>
            <w:pPr>
              <w:jc w:val="left"/>
            </w:pPr>
            <w:r>
              <w:rPr>
                <w:b w:val="false"/>
                <w:bCs w:val="false"/>
              </w:rPr>
              <w:t xml:space="preserve">Section 4 §WP-0002</w:t>
            </w:r>
          </w:p>
        </w:tc>
        <w:tc>
          <w:tcPr>
            <w:tcW w:type="dxa" w:w="1500"/>
            <w:tcMar>
              <w:top w:type="dxa" w:w="80"/>
              <w:left w:type="dxa" w:w="100"/>
              <w:bottom w:type="dxa" w:w="80"/>
              <w:right w:type="dxa" w:w="100"/>
            </w:tcMar>
          </w:tcPr>
          <w:p>
            <w:pPr>
              <w:jc w:val="left"/>
            </w:pPr>
            <w:r>
              <w:rPr>
                <w:b w:val="false"/>
                <w:bCs w:val="false"/>
              </w:rPr>
              <w:t xml:space="preserve">Section 5 §3, WP-0002</w:t>
            </w:r>
          </w:p>
        </w:tc>
        <w:tc>
          <w:tcPr>
            <w:tcW w:type="dxa" w:w="1900"/>
            <w:tcMar>
              <w:top w:type="dxa" w:w="80"/>
              <w:left w:type="dxa" w:w="100"/>
              <w:bottom w:type="dxa" w:w="80"/>
              <w:right w:type="dxa" w:w="100"/>
            </w:tcMar>
          </w:tcPr>
          <w:p>
            <w:pPr>
              <w:jc w:val="left"/>
            </w:pPr>
            <w:r>
              <w:rPr>
                <w:b w:val="false"/>
                <w:bCs w:val="false"/>
              </w:rPr>
              <w:t xml:space="preserve">Query-based verification (repeatable template)</w:t>
            </w:r>
          </w:p>
        </w:tc>
        <w:tc>
          <w:tcPr>
            <w:tcW w:type="dxa" w:w="1600"/>
            <w:tcMar>
              <w:top w:type="dxa" w:w="80"/>
              <w:left w:type="dxa" w:w="100"/>
              <w:bottom w:type="dxa" w:w="80"/>
              <w:right w:type="dxa" w:w="100"/>
            </w:tcMar>
          </w:tcPr>
          <w:p>
            <w:pPr>
              <w:jc w:val="left"/>
            </w:pPr>
            <w:r>
              <w:rPr>
                <w:b w:val="false"/>
                <w:bCs w:val="false"/>
              </w:rPr>
              <w:t xml:space="preserve">Per-table verification ledger</w:t>
            </w:r>
          </w:p>
        </w:tc>
        <w:tc>
          <w:tcPr>
            <w:tcW w:type="dxa" w:w="1000"/>
            <w:tcMar>
              <w:top w:type="dxa" w:w="80"/>
              <w:left w:type="dxa" w:w="100"/>
              <w:bottom w:type="dxa" w:w="80"/>
              <w:right w:type="dxa" w:w="100"/>
            </w:tcMar>
          </w:tcPr>
          <w:p>
            <w:pPr>
              <w:jc w:val="left"/>
            </w:pPr>
            <w:r>
              <w:rPr>
                <w:b w:val="false"/>
                <w:bCs w:val="false"/>
              </w:rPr>
              <w:t xml:space="preserve">L4 (pending)</w:t>
            </w:r>
          </w:p>
        </w:tc>
      </w:tr>
      <w:tr>
        <w:tc>
          <w:tcPr>
            <w:tcW w:type="dxa" w:w="900"/>
            <w:tcMar>
              <w:top w:type="dxa" w:w="80"/>
              <w:left w:type="dxa" w:w="100"/>
              <w:bottom w:type="dxa" w:w="80"/>
              <w:right w:type="dxa" w:w="100"/>
            </w:tcMar>
          </w:tcPr>
          <w:p>
            <w:pPr>
              <w:jc w:val="left"/>
            </w:pPr>
            <w:r>
              <w:rPr>
                <w:b w:val="false"/>
                <w:bCs w:val="false"/>
              </w:rPr>
              <w:t xml:space="preserve">WP-0003</w:t>
            </w:r>
          </w:p>
        </w:tc>
        <w:tc>
          <w:tcPr>
            <w:tcW w:type="dxa" w:w="1500"/>
            <w:tcMar>
              <w:top w:type="dxa" w:w="80"/>
              <w:left w:type="dxa" w:w="100"/>
              <w:bottom w:type="dxa" w:w="80"/>
              <w:right w:type="dxa" w:w="100"/>
            </w:tcMar>
          </w:tcPr>
          <w:p>
            <w:pPr>
              <w:jc w:val="left"/>
            </w:pPr>
            <w:r>
              <w:rPr>
                <w:b w:val="false"/>
                <w:bCs w:val="false"/>
              </w:rPr>
              <w:t xml:space="preserve">AR-0004/AR-0010 / EGD-0004</w:t>
            </w:r>
          </w:p>
        </w:tc>
        <w:tc>
          <w:tcPr>
            <w:tcW w:type="dxa" w:w="1500"/>
            <w:tcMar>
              <w:top w:type="dxa" w:w="80"/>
              <w:left w:type="dxa" w:w="100"/>
              <w:bottom w:type="dxa" w:w="80"/>
              <w:right w:type="dxa" w:w="100"/>
            </w:tcMar>
          </w:tcPr>
          <w:p>
            <w:pPr>
              <w:jc w:val="left"/>
            </w:pPr>
            <w:r>
              <w:rPr>
                <w:b w:val="false"/>
                <w:bCs w:val="false"/>
              </w:rPr>
              <w:t xml:space="preserve">Section 4 §WP-0003</w:t>
            </w:r>
          </w:p>
        </w:tc>
        <w:tc>
          <w:tcPr>
            <w:tcW w:type="dxa" w:w="1500"/>
            <w:tcMar>
              <w:top w:type="dxa" w:w="80"/>
              <w:left w:type="dxa" w:w="100"/>
              <w:bottom w:type="dxa" w:w="80"/>
              <w:right w:type="dxa" w:w="100"/>
            </w:tcMar>
          </w:tcPr>
          <w:p>
            <w:pPr>
              <w:jc w:val="left"/>
            </w:pPr>
            <w:r>
              <w:rPr>
                <w:b w:val="false"/>
                <w:bCs w:val="false"/>
              </w:rPr>
              <w:t xml:space="preserve">Section 5 §3, WP-0003</w:t>
            </w:r>
          </w:p>
        </w:tc>
        <w:tc>
          <w:tcPr>
            <w:tcW w:type="dxa" w:w="1900"/>
            <w:tcMar>
              <w:top w:type="dxa" w:w="80"/>
              <w:left w:type="dxa" w:w="100"/>
              <w:bottom w:type="dxa" w:w="80"/>
              <w:right w:type="dxa" w:w="100"/>
            </w:tcMar>
          </w:tcPr>
          <w:p>
            <w:pPr>
              <w:jc w:val="left"/>
            </w:pPr>
            <w:r>
              <w:rPr>
                <w:b w:val="false"/>
                <w:bCs w:val="false"/>
              </w:rPr>
              <w:t xml:space="preserve">Quarterly check (dormant); migration + rollback verification if triggered</w:t>
            </w:r>
          </w:p>
        </w:tc>
        <w:tc>
          <w:tcPr>
            <w:tcW w:type="dxa" w:w="1600"/>
            <w:tcMar>
              <w:top w:type="dxa" w:w="80"/>
              <w:left w:type="dxa" w:w="100"/>
              <w:bottom w:type="dxa" w:w="80"/>
              <w:right w:type="dxa" w:w="100"/>
            </w:tcMar>
          </w:tcPr>
          <w:p>
            <w:pPr>
              <w:jc w:val="left"/>
            </w:pPr>
            <w:r>
              <w:rPr>
                <w:b w:val="false"/>
                <w:bCs w:val="false"/>
              </w:rPr>
              <w:t xml:space="preserve">Quarterly assessment report; migration/rollback evidence if triggered</w:t>
            </w:r>
          </w:p>
        </w:tc>
        <w:tc>
          <w:tcPr>
            <w:tcW w:type="dxa" w:w="1000"/>
            <w:tcMar>
              <w:top w:type="dxa" w:w="80"/>
              <w:left w:type="dxa" w:w="100"/>
              <w:bottom w:type="dxa" w:w="80"/>
              <w:right w:type="dxa" w:w="100"/>
            </w:tcMar>
          </w:tcPr>
          <w:p>
            <w:pPr>
              <w:jc w:val="left"/>
            </w:pPr>
            <w:r>
              <w:rPr>
                <w:b w:val="false"/>
                <w:bCs w:val="false"/>
              </w:rPr>
              <w:t xml:space="preserve">L3 (standing); L4 if triggered</w:t>
            </w:r>
          </w:p>
        </w:tc>
      </w:tr>
      <w:tr>
        <w:tc>
          <w:tcPr>
            <w:tcW w:type="dxa" w:w="900"/>
            <w:tcMar>
              <w:top w:type="dxa" w:w="80"/>
              <w:left w:type="dxa" w:w="100"/>
              <w:bottom w:type="dxa" w:w="80"/>
              <w:right w:type="dxa" w:w="100"/>
            </w:tcMar>
          </w:tcPr>
          <w:p>
            <w:pPr>
              <w:jc w:val="left"/>
            </w:pPr>
            <w:r>
              <w:rPr>
                <w:b w:val="false"/>
                <w:bCs w:val="false"/>
              </w:rPr>
              <w:t xml:space="preserve">WP-0004</w:t>
            </w:r>
          </w:p>
        </w:tc>
        <w:tc>
          <w:tcPr>
            <w:tcW w:type="dxa" w:w="1500"/>
            <w:tcMar>
              <w:top w:type="dxa" w:w="80"/>
              <w:left w:type="dxa" w:w="100"/>
              <w:bottom w:type="dxa" w:w="80"/>
              <w:right w:type="dxa" w:w="100"/>
            </w:tcMar>
          </w:tcPr>
          <w:p>
            <w:pPr>
              <w:jc w:val="left"/>
            </w:pPr>
            <w:r>
              <w:rPr>
                <w:b w:val="false"/>
                <w:bCs w:val="false"/>
              </w:rPr>
              <w:t xml:space="preserve">AR-0003 / EGD-0003</w:t>
            </w:r>
          </w:p>
        </w:tc>
        <w:tc>
          <w:tcPr>
            <w:tcW w:type="dxa" w:w="1500"/>
            <w:tcMar>
              <w:top w:type="dxa" w:w="80"/>
              <w:left w:type="dxa" w:w="100"/>
              <w:bottom w:type="dxa" w:w="80"/>
              <w:right w:type="dxa" w:w="100"/>
            </w:tcMar>
          </w:tcPr>
          <w:p>
            <w:pPr>
              <w:jc w:val="left"/>
            </w:pPr>
            <w:r>
              <w:rPr>
                <w:b w:val="false"/>
                <w:bCs w:val="false"/>
              </w:rPr>
              <w:t xml:space="preserve">Section 4 §WP-0004</w:t>
            </w:r>
          </w:p>
        </w:tc>
        <w:tc>
          <w:tcPr>
            <w:tcW w:type="dxa" w:w="1500"/>
            <w:tcMar>
              <w:top w:type="dxa" w:w="80"/>
              <w:left w:type="dxa" w:w="100"/>
              <w:bottom w:type="dxa" w:w="80"/>
              <w:right w:type="dxa" w:w="100"/>
            </w:tcMar>
          </w:tcPr>
          <w:p>
            <w:pPr>
              <w:jc w:val="left"/>
            </w:pPr>
            <w:r>
              <w:rPr>
                <w:b w:val="false"/>
                <w:bCs w:val="false"/>
              </w:rPr>
              <w:t xml:space="preserve">Section 5 §3, WP-0004</w:t>
            </w:r>
          </w:p>
        </w:tc>
        <w:tc>
          <w:tcPr>
            <w:tcW w:type="dxa" w:w="1900"/>
            <w:tcMar>
              <w:top w:type="dxa" w:w="80"/>
              <w:left w:type="dxa" w:w="100"/>
              <w:bottom w:type="dxa" w:w="80"/>
              <w:right w:type="dxa" w:w="100"/>
            </w:tcMar>
          </w:tcPr>
          <w:p>
            <w:pPr>
              <w:jc w:val="left"/>
            </w:pPr>
            <w:r>
              <w:rPr>
                <w:b w:val="false"/>
                <w:bCs w:val="false"/>
              </w:rPr>
              <w:t xml:space="preserve">Per-release automated check</w:t>
            </w:r>
          </w:p>
        </w:tc>
        <w:tc>
          <w:tcPr>
            <w:tcW w:type="dxa" w:w="1600"/>
            <w:tcMar>
              <w:top w:type="dxa" w:w="80"/>
              <w:left w:type="dxa" w:w="100"/>
              <w:bottom w:type="dxa" w:w="80"/>
              <w:right w:type="dxa" w:w="100"/>
            </w:tcMar>
          </w:tcPr>
          <w:p>
            <w:pPr>
              <w:jc w:val="left"/>
            </w:pPr>
            <w:r>
              <w:rPr>
                <w:b w:val="false"/>
                <w:bCs w:val="false"/>
              </w:rPr>
              <w:t xml:space="preserve">Check output; VAR-03 log</w:t>
            </w:r>
          </w:p>
        </w:tc>
        <w:tc>
          <w:tcPr>
            <w:tcW w:type="dxa" w:w="1000"/>
            <w:tcMar>
              <w:top w:type="dxa" w:w="80"/>
              <w:left w:type="dxa" w:w="100"/>
              <w:bottom w:type="dxa" w:w="80"/>
              <w:right w:type="dxa" w:w="100"/>
            </w:tcMar>
          </w:tcPr>
          <w:p>
            <w:pPr>
              <w:jc w:val="left"/>
            </w:pPr>
            <w:r>
              <w:rPr>
                <w:b w:val="false"/>
                <w:bCs w:val="false"/>
              </w:rPr>
              <w:t xml:space="preserve">L4 (pending)</w:t>
            </w:r>
          </w:p>
        </w:tc>
      </w:tr>
      <w:tr>
        <w:tc>
          <w:tcPr>
            <w:tcW w:type="dxa" w:w="900"/>
            <w:tcMar>
              <w:top w:type="dxa" w:w="80"/>
              <w:left w:type="dxa" w:w="100"/>
              <w:bottom w:type="dxa" w:w="80"/>
              <w:right w:type="dxa" w:w="100"/>
            </w:tcMar>
          </w:tcPr>
          <w:p>
            <w:pPr>
              <w:jc w:val="left"/>
            </w:pPr>
            <w:r>
              <w:rPr>
                <w:b w:val="false"/>
                <w:bCs w:val="false"/>
              </w:rPr>
              <w:t xml:space="preserve">WP-0005</w:t>
            </w:r>
          </w:p>
        </w:tc>
        <w:tc>
          <w:tcPr>
            <w:tcW w:type="dxa" w:w="1500"/>
            <w:tcMar>
              <w:top w:type="dxa" w:w="80"/>
              <w:left w:type="dxa" w:w="100"/>
              <w:bottom w:type="dxa" w:w="80"/>
              <w:right w:type="dxa" w:w="100"/>
            </w:tcMar>
          </w:tcPr>
          <w:p>
            <w:pPr>
              <w:jc w:val="left"/>
            </w:pPr>
            <w:r>
              <w:rPr>
                <w:b w:val="false"/>
                <w:bCs w:val="false"/>
              </w:rPr>
              <w:t xml:space="preserve">AR-0007 (ext.) / EGD-0007</w:t>
            </w:r>
          </w:p>
        </w:tc>
        <w:tc>
          <w:tcPr>
            <w:tcW w:type="dxa" w:w="1500"/>
            <w:tcMar>
              <w:top w:type="dxa" w:w="80"/>
              <w:left w:type="dxa" w:w="100"/>
              <w:bottom w:type="dxa" w:w="80"/>
              <w:right w:type="dxa" w:w="100"/>
            </w:tcMar>
          </w:tcPr>
          <w:p>
            <w:pPr>
              <w:jc w:val="left"/>
            </w:pPr>
            <w:r>
              <w:rPr>
                <w:b w:val="false"/>
                <w:bCs w:val="false"/>
              </w:rPr>
              <w:t xml:space="preserve">Section 4 §WP-0005</w:t>
            </w:r>
          </w:p>
        </w:tc>
        <w:tc>
          <w:tcPr>
            <w:tcW w:type="dxa" w:w="1500"/>
            <w:tcMar>
              <w:top w:type="dxa" w:w="80"/>
              <w:left w:type="dxa" w:w="100"/>
              <w:bottom w:type="dxa" w:w="80"/>
              <w:right w:type="dxa" w:w="100"/>
            </w:tcMar>
          </w:tcPr>
          <w:p>
            <w:pPr>
              <w:jc w:val="left"/>
            </w:pPr>
            <w:r>
              <w:rPr>
                <w:b w:val="false"/>
                <w:bCs w:val="false"/>
              </w:rPr>
              <w:t xml:space="preserve">Section 5 §3, WP-0005</w:t>
            </w:r>
          </w:p>
        </w:tc>
        <w:tc>
          <w:tcPr>
            <w:tcW w:type="dxa" w:w="1900"/>
            <w:tcMar>
              <w:top w:type="dxa" w:w="80"/>
              <w:left w:type="dxa" w:w="100"/>
              <w:bottom w:type="dxa" w:w="80"/>
              <w:right w:type="dxa" w:w="100"/>
            </w:tcMar>
          </w:tcPr>
          <w:p>
            <w:pPr>
              <w:jc w:val="left"/>
            </w:pPr>
            <w:r>
              <w:rPr>
                <w:b w:val="false"/>
                <w:bCs w:val="false"/>
              </w:rPr>
              <w:t xml:space="preserve">Manual review, WP-0002 template</w:t>
            </w:r>
          </w:p>
        </w:tc>
        <w:tc>
          <w:tcPr>
            <w:tcW w:type="dxa" w:w="1600"/>
            <w:tcMar>
              <w:top w:type="dxa" w:w="80"/>
              <w:left w:type="dxa" w:w="100"/>
              <w:bottom w:type="dxa" w:w="80"/>
              <w:right w:type="dxa" w:w="100"/>
            </w:tcMar>
          </w:tcPr>
          <w:p>
            <w:pPr>
              <w:jc w:val="left"/>
            </w:pPr>
            <w:r>
              <w:rPr>
                <w:b w:val="false"/>
                <w:bCs w:val="false"/>
              </w:rPr>
              <w:t xml:space="preserve">Per-column decision ledger</w:t>
            </w:r>
          </w:p>
        </w:tc>
        <w:tc>
          <w:tcPr>
            <w:tcW w:type="dxa" w:w="1000"/>
            <w:tcMar>
              <w:top w:type="dxa" w:w="80"/>
              <w:left w:type="dxa" w:w="100"/>
              <w:bottom w:type="dxa" w:w="80"/>
              <w:right w:type="dxa" w:w="100"/>
            </w:tcMar>
          </w:tcPr>
          <w:p>
            <w:pPr>
              <w:jc w:val="left"/>
            </w:pPr>
            <w:r>
              <w:rPr>
                <w:b w:val="false"/>
                <w:bCs w:val="false"/>
              </w:rPr>
              <w:t xml:space="preserve">L4 (pending, ext.)</w:t>
            </w:r>
          </w:p>
        </w:tc>
      </w:tr>
      <w:tr>
        <w:tc>
          <w:tcPr>
            <w:tcW w:type="dxa" w:w="900"/>
            <w:tcMar>
              <w:top w:type="dxa" w:w="80"/>
              <w:left w:type="dxa" w:w="100"/>
              <w:bottom w:type="dxa" w:w="80"/>
              <w:right w:type="dxa" w:w="100"/>
            </w:tcMar>
          </w:tcPr>
          <w:p>
            <w:pPr>
              <w:jc w:val="left"/>
            </w:pPr>
            <w:r>
              <w:rPr>
                <w:b w:val="false"/>
                <w:bCs w:val="false"/>
              </w:rPr>
              <w:t xml:space="preserve">WP-0006</w:t>
            </w:r>
          </w:p>
        </w:tc>
        <w:tc>
          <w:tcPr>
            <w:tcW w:type="dxa" w:w="1500"/>
            <w:tcMar>
              <w:top w:type="dxa" w:w="80"/>
              <w:left w:type="dxa" w:w="100"/>
              <w:bottom w:type="dxa" w:w="80"/>
              <w:right w:type="dxa" w:w="100"/>
            </w:tcMar>
          </w:tcPr>
          <w:p>
            <w:pPr>
              <w:jc w:val="left"/>
            </w:pPr>
            <w:r>
              <w:rPr>
                <w:b w:val="false"/>
                <w:bCs w:val="false"/>
              </w:rPr>
              <w:t xml:space="preserve">AP-009 / All EGD-0001–0009</w:t>
            </w:r>
          </w:p>
        </w:tc>
        <w:tc>
          <w:tcPr>
            <w:tcW w:type="dxa" w:w="1500"/>
            <w:tcMar>
              <w:top w:type="dxa" w:w="80"/>
              <w:left w:type="dxa" w:w="100"/>
              <w:bottom w:type="dxa" w:w="80"/>
              <w:right w:type="dxa" w:w="100"/>
            </w:tcMar>
          </w:tcPr>
          <w:p>
            <w:pPr>
              <w:jc w:val="left"/>
            </w:pPr>
            <w:r>
              <w:rPr>
                <w:b w:val="false"/>
                <w:bCs w:val="false"/>
              </w:rPr>
              <w:t xml:space="preserve">Section 4 §WP-0006</w:t>
            </w:r>
          </w:p>
        </w:tc>
        <w:tc>
          <w:tcPr>
            <w:tcW w:type="dxa" w:w="1500"/>
            <w:tcMar>
              <w:top w:type="dxa" w:w="80"/>
              <w:left w:type="dxa" w:w="100"/>
              <w:bottom w:type="dxa" w:w="80"/>
              <w:right w:type="dxa" w:w="100"/>
            </w:tcMar>
          </w:tcPr>
          <w:p>
            <w:pPr>
              <w:jc w:val="left"/>
            </w:pPr>
            <w:r>
              <w:rPr>
                <w:b w:val="false"/>
                <w:bCs w:val="false"/>
              </w:rPr>
              <w:t xml:space="preserve">Section 5 §3, WP-0006</w:t>
            </w:r>
          </w:p>
        </w:tc>
        <w:tc>
          <w:tcPr>
            <w:tcW w:type="dxa" w:w="1900"/>
            <w:tcMar>
              <w:top w:type="dxa" w:w="80"/>
              <w:left w:type="dxa" w:w="100"/>
              <w:bottom w:type="dxa" w:w="80"/>
              <w:right w:type="dxa" w:w="100"/>
            </w:tcMar>
          </w:tcPr>
          <w:p>
            <w:pPr>
              <w:jc w:val="left"/>
            </w:pPr>
            <w:r>
              <w:rPr>
                <w:b w:val="false"/>
                <w:bCs w:val="false"/>
              </w:rPr>
              <w:t xml:space="preserve">Direct KPI-08 measurement</w:t>
            </w:r>
          </w:p>
        </w:tc>
        <w:tc>
          <w:tcPr>
            <w:tcW w:type="dxa" w:w="1600"/>
            <w:tcMar>
              <w:top w:type="dxa" w:w="80"/>
              <w:left w:type="dxa" w:w="100"/>
              <w:bottom w:type="dxa" w:w="80"/>
              <w:right w:type="dxa" w:w="100"/>
            </w:tcMar>
          </w:tcPr>
          <w:p>
            <w:pPr>
              <w:jc w:val="left"/>
            </w:pPr>
            <w:r>
              <w:rPr>
                <w:b w:val="false"/>
                <w:bCs w:val="false"/>
              </w:rPr>
              <w:t xml:space="preserve">Named-owner governance record</w:t>
            </w:r>
          </w:p>
        </w:tc>
        <w:tc>
          <w:tcPr>
            <w:tcW w:type="dxa" w:w="1000"/>
            <w:tcMar>
              <w:top w:type="dxa" w:w="80"/>
              <w:left w:type="dxa" w:w="100"/>
              <w:bottom w:type="dxa" w:w="80"/>
              <w:right w:type="dxa" w:w="100"/>
            </w:tcMar>
          </w:tcPr>
          <w:p>
            <w:pPr>
              <w:jc w:val="left"/>
            </w:pPr>
            <w:r>
              <w:rPr>
                <w:b w:val="false"/>
                <w:bCs w:val="false"/>
              </w:rPr>
              <w:t xml:space="preserve">Not Applicable</w:t>
            </w:r>
          </w:p>
        </w:tc>
      </w:tr>
    </w:tbl>
    <w:p>
      <w:pPr>
        <w:spacing w:after="140"/>
      </w:pPr>
      <w:r>
        <w:t xml:space="preserve">No identifier above is recreated; all are reused unchanged from Phase A.3 §7 as extended by Phase B §8, Section 1 §11, Sections 3–6, and terminated here at the verification-method and verification-evidence level.</w:t>
      </w:r>
    </w:p>
    <w:p>
      <w:pPr>
        <w:pStyle w:val="Heading1"/>
        <w:spacing w:after="160" w:before="360"/>
      </w:pPr>
      <w:r>
        <w:t xml:space="preserve">8. Verification Readiness Assessment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00"/>
      </w:tblGrid>
      <w:tr>
        <w:trPr>
          <w:tblHeader/>
        </w:trPr>
        <w:tc>
          <w:tcPr>
            <w:tcW w:type="dxa" w:w="2400"/>
            <w:shd w:fill="D9D9D9" w:val="clear"/>
            <w:tcMar>
              <w:top w:type="dxa" w:w="80"/>
              <w:left w:type="dxa" w:w="100"/>
              <w:bottom w:type="dxa" w:w="80"/>
              <w:right w:type="dxa" w:w="100"/>
            </w:tcMar>
          </w:tcPr>
          <w:p>
            <w:pPr>
              <w:jc w:val="left"/>
            </w:pPr>
            <w:r>
              <w:rPr>
                <w:b/>
                <w:bCs/>
              </w:rPr>
              <w:t xml:space="preserve">Readiness Dimension</w:t>
            </w:r>
          </w:p>
        </w:tc>
        <w:tc>
          <w:tcPr>
            <w:tcW w:type="dxa" w:w="3700"/>
            <w:shd w:fill="D9D9D9" w:val="clear"/>
            <w:tcMar>
              <w:top w:type="dxa" w:w="80"/>
              <w:left w:type="dxa" w:w="100"/>
              <w:bottom w:type="dxa" w:w="80"/>
              <w:right w:type="dxa" w:w="100"/>
            </w:tcMar>
          </w:tcPr>
          <w:p>
            <w:pPr>
              <w:jc w:val="left"/>
            </w:pPr>
            <w:r>
              <w:rPr>
                <w:b/>
                <w:bCs/>
              </w:rPr>
              <w:t xml:space="preserve">Assessment</w:t>
            </w:r>
          </w:p>
        </w:tc>
        <w:tc>
          <w:tcPr>
            <w:tcW w:type="dxa" w:w="3200"/>
            <w:shd w:fill="D9D9D9" w:val="clear"/>
            <w:tcMar>
              <w:top w:type="dxa" w:w="80"/>
              <w:left w:type="dxa" w:w="100"/>
              <w:bottom w:type="dxa" w:w="80"/>
              <w:right w:type="dxa" w:w="100"/>
            </w:tcMar>
          </w:tcPr>
          <w:p>
            <w:pPr>
              <w:jc w:val="left"/>
            </w:pPr>
            <w:r>
              <w:rPr>
                <w:b/>
                <w:bCs/>
              </w:rPr>
              <w:t xml:space="preserve">Basis</w:t>
            </w:r>
          </w:p>
        </w:tc>
      </w:tr>
      <w:tr>
        <w:tc>
          <w:tcPr>
            <w:tcW w:type="dxa" w:w="2400"/>
            <w:tcMar>
              <w:top w:type="dxa" w:w="80"/>
              <w:left w:type="dxa" w:w="100"/>
              <w:bottom w:type="dxa" w:w="80"/>
              <w:right w:type="dxa" w:w="100"/>
            </w:tcMar>
          </w:tcPr>
          <w:p>
            <w:pPr>
              <w:jc w:val="left"/>
            </w:pPr>
            <w:r>
              <w:rPr>
                <w:b w:val="false"/>
                <w:bCs w:val="false"/>
              </w:rPr>
              <w:t xml:space="preserve">Work Package verification readiness</w:t>
            </w:r>
          </w:p>
        </w:tc>
        <w:tc>
          <w:tcPr>
            <w:tcW w:type="dxa" w:w="3700"/>
            <w:tcMar>
              <w:top w:type="dxa" w:w="80"/>
              <w:left w:type="dxa" w:w="100"/>
              <w:bottom w:type="dxa" w:w="80"/>
              <w:right w:type="dxa" w:w="100"/>
            </w:tcMar>
          </w:tcPr>
          <w:p>
            <w:pPr>
              <w:jc w:val="left"/>
            </w:pPr>
            <w:r>
              <w:rPr>
                <w:b w:val="false"/>
                <w:bCs w:val="false"/>
              </w:rPr>
              <w:t xml:space="preserve">High for WP-0002 (fully defined, immediately executable); Medium for WP-0001, WP-0004, WP-0005 (methods defined, awaiting Wave 2 sequencing); monitoring-ready only for WP-0003 (Wave 3, trigger-gated).</w:t>
            </w:r>
          </w:p>
        </w:tc>
        <w:tc>
          <w:tcPr>
            <w:tcW w:type="dxa" w:w="3200"/>
            <w:tcMar>
              <w:top w:type="dxa" w:w="80"/>
              <w:left w:type="dxa" w:w="100"/>
              <w:bottom w:type="dxa" w:w="80"/>
              <w:right w:type="dxa" w:w="100"/>
            </w:tcMar>
          </w:tcPr>
          <w:p>
            <w:pPr>
              <w:jc w:val="left"/>
            </w:pPr>
            <w:r>
              <w:rPr>
                <w:b w:val="false"/>
                <w:bCs w:val="false"/>
              </w:rPr>
              <w:t xml:space="preserve">Section 1 §"Sequenced implementation"; Section 5 §9.</w:t>
            </w:r>
          </w:p>
        </w:tc>
      </w:tr>
      <w:tr>
        <w:tc>
          <w:tcPr>
            <w:tcW w:type="dxa" w:w="2400"/>
            <w:tcMar>
              <w:top w:type="dxa" w:w="80"/>
              <w:left w:type="dxa" w:w="100"/>
              <w:bottom w:type="dxa" w:w="80"/>
              <w:right w:type="dxa" w:w="100"/>
            </w:tcMar>
          </w:tcPr>
          <w:p>
            <w:pPr>
              <w:jc w:val="left"/>
            </w:pPr>
            <w:r>
              <w:rPr>
                <w:b w:val="false"/>
                <w:bCs w:val="false"/>
              </w:rPr>
              <w:t xml:space="preserve">Repository verification readiness</w:t>
            </w:r>
          </w:p>
        </w:tc>
        <w:tc>
          <w:tcPr>
            <w:tcW w:type="dxa" w:w="3700"/>
            <w:tcMar>
              <w:top w:type="dxa" w:w="80"/>
              <w:left w:type="dxa" w:w="100"/>
              <w:bottom w:type="dxa" w:w="80"/>
              <w:right w:type="dxa" w:w="100"/>
            </w:tcMar>
          </w:tcPr>
          <w:p>
            <w:pPr>
              <w:jc w:val="left"/>
            </w:pPr>
            <w:r>
              <w:rPr>
                <w:b w:val="false"/>
                <w:bCs w:val="false"/>
              </w:rPr>
              <w:t xml:space="preserve">Exact — scoped only to Documentation, Database, and Test repositories; no verification claim for Backend, Frontend, Integration, AI, or Infrastructure.</w:t>
            </w:r>
          </w:p>
        </w:tc>
        <w:tc>
          <w:tcPr>
            <w:tcW w:type="dxa" w:w="3200"/>
            <w:tcMar>
              <w:top w:type="dxa" w:w="80"/>
              <w:left w:type="dxa" w:w="100"/>
              <w:bottom w:type="dxa" w:w="80"/>
              <w:right w:type="dxa" w:w="100"/>
            </w:tcMar>
          </w:tcPr>
          <w:p>
            <w:pPr>
              <w:jc w:val="left"/>
            </w:pPr>
            <w:r>
              <w:rPr>
                <w:b w:val="false"/>
                <w:bCs w:val="false"/>
              </w:rPr>
              <w:t xml:space="preserve">Section 3 §"Repository Impact".</w:t>
            </w:r>
          </w:p>
        </w:tc>
      </w:tr>
      <w:tr>
        <w:tc>
          <w:tcPr>
            <w:tcW w:type="dxa" w:w="2400"/>
            <w:tcMar>
              <w:top w:type="dxa" w:w="80"/>
              <w:left w:type="dxa" w:w="100"/>
              <w:bottom w:type="dxa" w:w="80"/>
              <w:right w:type="dxa" w:w="100"/>
            </w:tcMar>
          </w:tcPr>
          <w:p>
            <w:pPr>
              <w:jc w:val="left"/>
            </w:pPr>
            <w:r>
              <w:rPr>
                <w:b w:val="false"/>
                <w:bCs w:val="false"/>
              </w:rPr>
              <w:t xml:space="preserve">Documentation readiness</w:t>
            </w:r>
          </w:p>
        </w:tc>
        <w:tc>
          <w:tcPr>
            <w:tcW w:type="dxa" w:w="3700"/>
            <w:tcMar>
              <w:top w:type="dxa" w:w="80"/>
              <w:left w:type="dxa" w:w="100"/>
              <w:bottom w:type="dxa" w:w="80"/>
              <w:right w:type="dxa" w:w="100"/>
            </w:tcMar>
          </w:tcPr>
          <w:p>
            <w:pPr>
              <w:jc w:val="left"/>
            </w:pPr>
            <w:r>
              <w:rPr>
                <w:b w:val="false"/>
                <w:bCs w:val="false"/>
              </w:rPr>
              <w:t xml:space="preserve">Method fully specified for WP-0001 (diff) and WP-0004 (per-release check); KPI-02 remains at its 30/100 baseline pending execution.</w:t>
            </w:r>
          </w:p>
        </w:tc>
        <w:tc>
          <w:tcPr>
            <w:tcW w:type="dxa" w:w="3200"/>
            <w:tcMar>
              <w:top w:type="dxa" w:w="80"/>
              <w:left w:type="dxa" w:w="100"/>
              <w:bottom w:type="dxa" w:w="80"/>
              <w:right w:type="dxa" w:w="100"/>
            </w:tcMar>
          </w:tcPr>
          <w:p>
            <w:pPr>
              <w:jc w:val="left"/>
            </w:pPr>
            <w:r>
              <w:rPr>
                <w:b w:val="false"/>
                <w:bCs w:val="false"/>
              </w:rPr>
              <w:t xml:space="preserve">Section 3 §7; Phase A.3 §10.</w:t>
            </w:r>
          </w:p>
        </w:tc>
      </w:tr>
      <w:tr>
        <w:tc>
          <w:tcPr>
            <w:tcW w:type="dxa" w:w="2400"/>
            <w:tcMar>
              <w:top w:type="dxa" w:w="80"/>
              <w:left w:type="dxa" w:w="100"/>
              <w:bottom w:type="dxa" w:w="80"/>
              <w:right w:type="dxa" w:w="100"/>
            </w:tcMar>
          </w:tcPr>
          <w:p>
            <w:pPr>
              <w:jc w:val="left"/>
            </w:pPr>
            <w:r>
              <w:rPr>
                <w:b w:val="false"/>
                <w:bCs w:val="false"/>
              </w:rPr>
              <w:t xml:space="preserve">Security verification readiness</w:t>
            </w:r>
          </w:p>
        </w:tc>
        <w:tc>
          <w:tcPr>
            <w:tcW w:type="dxa" w:w="3700"/>
            <w:tcMar>
              <w:top w:type="dxa" w:w="80"/>
              <w:left w:type="dxa" w:w="100"/>
              <w:bottom w:type="dxa" w:w="80"/>
              <w:right w:type="dxa" w:w="100"/>
            </w:tcMar>
          </w:tcPr>
          <w:p>
            <w:pPr>
              <w:jc w:val="left"/>
            </w:pPr>
            <w:r>
              <w:rPr>
                <w:b w:val="false"/>
                <w:bCs w:val="false"/>
              </w:rPr>
              <w:t xml:space="preserve">High for WP-0002 — method fully defined and ready to execute; RLS coverage confirmed today only on two of the required table groups pending execution.</w:t>
            </w:r>
          </w:p>
        </w:tc>
        <w:tc>
          <w:tcPr>
            <w:tcW w:type="dxa" w:w="3200"/>
            <w:tcMar>
              <w:top w:type="dxa" w:w="80"/>
              <w:left w:type="dxa" w:w="100"/>
              <w:bottom w:type="dxa" w:w="80"/>
              <w:right w:type="dxa" w:w="100"/>
            </w:tcMar>
          </w:tcPr>
          <w:p>
            <w:pPr>
              <w:jc w:val="left"/>
            </w:pPr>
            <w:r>
              <w:rPr>
                <w:b w:val="false"/>
                <w:bCs w:val="false"/>
              </w:rPr>
              <w:t xml:space="preserve">Section 3 §7.</w:t>
            </w:r>
          </w:p>
        </w:tc>
      </w:tr>
      <w:tr>
        <w:tc>
          <w:tcPr>
            <w:tcW w:type="dxa" w:w="2400"/>
            <w:tcMar>
              <w:top w:type="dxa" w:w="80"/>
              <w:left w:type="dxa" w:w="100"/>
              <w:bottom w:type="dxa" w:w="80"/>
              <w:right w:type="dxa" w:w="100"/>
            </w:tcMar>
          </w:tcPr>
          <w:p>
            <w:pPr>
              <w:jc w:val="left"/>
            </w:pPr>
            <w:r>
              <w:rPr>
                <w:b w:val="false"/>
                <w:bCs w:val="false"/>
              </w:rPr>
              <w:t xml:space="preserve">Governance verification readiness</w:t>
            </w:r>
          </w:p>
        </w:tc>
        <w:tc>
          <w:tcPr>
            <w:tcW w:type="dxa" w:w="3700"/>
            <w:tcMar>
              <w:top w:type="dxa" w:w="80"/>
              <w:left w:type="dxa" w:w="100"/>
              <w:bottom w:type="dxa" w:w="80"/>
              <w:right w:type="dxa" w:w="100"/>
            </w:tcMar>
          </w:tcPr>
          <w:p>
            <w:pPr>
              <w:jc w:val="left"/>
            </w:pPr>
            <w:r>
              <w:rPr>
                <w:b w:val="false"/>
                <w:bCs w:val="false"/>
              </w:rPr>
              <w:t xml:space="preserve">Not yet met — KPI-08 = 0% pending WP-0006, the same precondition Section 6 §9 identifies for full conformance-governance execution.</w:t>
            </w:r>
          </w:p>
        </w:tc>
        <w:tc>
          <w:tcPr>
            <w:tcW w:type="dxa" w:w="3200"/>
            <w:tcMar>
              <w:top w:type="dxa" w:w="80"/>
              <w:left w:type="dxa" w:w="100"/>
              <w:bottom w:type="dxa" w:w="80"/>
              <w:right w:type="dxa" w:w="100"/>
            </w:tcMar>
          </w:tcPr>
          <w:p>
            <w:pPr>
              <w:jc w:val="left"/>
            </w:pPr>
            <w:r>
              <w:rPr>
                <w:b w:val="false"/>
                <w:bCs w:val="false"/>
              </w:rPr>
              <w:t xml:space="preserve">Section 1 §"Strategic Objectives"; Section 6 §9.</w:t>
            </w:r>
          </w:p>
        </w:tc>
      </w:tr>
      <w:tr>
        <w:tc>
          <w:tcPr>
            <w:tcW w:type="dxa" w:w="2400"/>
            <w:tcMar>
              <w:top w:type="dxa" w:w="80"/>
              <w:left w:type="dxa" w:w="100"/>
              <w:bottom w:type="dxa" w:w="80"/>
              <w:right w:type="dxa" w:w="100"/>
            </w:tcMar>
          </w:tcPr>
          <w:p>
            <w:pPr>
              <w:jc w:val="left"/>
            </w:pPr>
            <w:r>
              <w:rPr>
                <w:b w:val="false"/>
                <w:bCs w:val="false"/>
              </w:rPr>
              <w:t xml:space="preserve">Certification readiness</w:t>
            </w:r>
          </w:p>
        </w:tc>
        <w:tc>
          <w:tcPr>
            <w:tcW w:type="dxa" w:w="3700"/>
            <w:tcMar>
              <w:top w:type="dxa" w:w="80"/>
              <w:left w:type="dxa" w:w="100"/>
              <w:bottom w:type="dxa" w:w="80"/>
              <w:right w:type="dxa" w:w="100"/>
            </w:tcMar>
          </w:tcPr>
          <w:p>
            <w:pPr>
              <w:jc w:val="left"/>
            </w:pPr>
            <w:r>
              <w:rPr>
                <w:b w:val="false"/>
                <w:bCs w:val="false"/>
              </w:rPr>
              <w:t xml:space="preserve">L4 pending for WP-0001, WP-0002, WP-0004, WP-0005; L3 standing (L4 conditional) for WP-0003; Not Applicable for WP-0006 — identical to Section 6 §4's findings, since this document verifies rather than re-certifies.</w:t>
            </w:r>
          </w:p>
        </w:tc>
        <w:tc>
          <w:tcPr>
            <w:tcW w:type="dxa" w:w="3200"/>
            <w:tcMar>
              <w:top w:type="dxa" w:w="80"/>
              <w:left w:type="dxa" w:w="100"/>
              <w:bottom w:type="dxa" w:w="80"/>
              <w:right w:type="dxa" w:w="100"/>
            </w:tcMar>
          </w:tcPr>
          <w:p>
            <w:pPr>
              <w:jc w:val="left"/>
            </w:pPr>
            <w:r>
              <w:rPr>
                <w:b w:val="false"/>
                <w:bCs w:val="false"/>
              </w:rPr>
              <w:t xml:space="preserve">Section 6 §4 Traceability Table.</w:t>
            </w:r>
          </w:p>
        </w:tc>
      </w:tr>
      <w:tr>
        <w:tc>
          <w:tcPr>
            <w:tcW w:type="dxa" w:w="2400"/>
            <w:tcMar>
              <w:top w:type="dxa" w:w="80"/>
              <w:left w:type="dxa" w:w="100"/>
              <w:bottom w:type="dxa" w:w="80"/>
              <w:right w:type="dxa" w:w="100"/>
            </w:tcMar>
          </w:tcPr>
          <w:p>
            <w:pPr>
              <w:jc w:val="left"/>
            </w:pPr>
            <w:r>
              <w:rPr>
                <w:b w:val="false"/>
                <w:bCs w:val="false"/>
              </w:rPr>
              <w:t xml:space="preserve">Overall verification readiness</w:t>
            </w:r>
          </w:p>
        </w:tc>
        <w:tc>
          <w:tcPr>
            <w:tcW w:type="dxa" w:w="3700"/>
            <w:tcMar>
              <w:top w:type="dxa" w:w="80"/>
              <w:left w:type="dxa" w:w="100"/>
              <w:bottom w:type="dxa" w:w="80"/>
              <w:right w:type="dxa" w:w="100"/>
            </w:tcMar>
          </w:tcPr>
          <w:p>
            <w:pPr>
              <w:jc w:val="left"/>
            </w:pPr>
            <w:r>
              <w:rPr>
                <w:b w:val="false"/>
                <w:bCs w:val="false"/>
              </w:rPr>
              <w:t xml:space="preserve">Startable, not yet fully executable, for the same reason Section 6 §9 identifies: WP-0006's ownership assignment gates full execution of every other Work Package's approval step.</w:t>
            </w:r>
          </w:p>
        </w:tc>
        <w:tc>
          <w:tcPr>
            <w:tcW w:type="dxa" w:w="3200"/>
            <w:tcMar>
              <w:top w:type="dxa" w:w="80"/>
              <w:left w:type="dxa" w:w="100"/>
              <w:bottom w:type="dxa" w:w="80"/>
              <w:right w:type="dxa" w:w="100"/>
            </w:tcMar>
          </w:tcPr>
          <w:p>
            <w:pPr>
              <w:jc w:val="left"/>
            </w:pPr>
            <w:r>
              <w:rPr>
                <w:b w:val="false"/>
                <w:bCs w:val="false"/>
              </w:rPr>
              <w:t xml:space="preserve">Consistent finding across Sections 1, 5, and 6.</w:t>
            </w:r>
          </w:p>
        </w:tc>
      </w:tr>
    </w:tbl>
    <w:p>
      <w:pPr>
        <w:pStyle w:val="Heading1"/>
        <w:spacing w:after="160" w:before="360"/>
      </w:pPr>
      <w:r>
        <w:t xml:space="preserve">9. Executive Verification Dashboard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00"/>
        <w:gridCol w:w="2400"/>
        <w:gridCol w:w="2100"/>
      </w:tblGrid>
      <w:tr>
        <w:trPr>
          <w:tblHeader/>
        </w:trPr>
        <w:tc>
          <w:tcPr>
            <w:tcW w:type="dxa" w:w="900"/>
            <w:shd w:fill="D9D9D9" w:val="clear"/>
            <w:tcMar>
              <w:top w:type="dxa" w:w="80"/>
              <w:left w:type="dxa" w:w="100"/>
              <w:bottom w:type="dxa" w:w="80"/>
              <w:right w:type="dxa" w:w="100"/>
            </w:tcMar>
          </w:tcPr>
          <w:p>
            <w:pPr>
              <w:jc w:val="left"/>
            </w:pPr>
            <w:r>
              <w:rPr>
                <w:b/>
                <w:bCs/>
              </w:rPr>
              <w:t xml:space="preserve">WP</w:t>
            </w:r>
          </w:p>
        </w:tc>
        <w:tc>
          <w:tcPr>
            <w:tcW w:type="dxa" w:w="2000"/>
            <w:shd w:fill="D9D9D9" w:val="clear"/>
            <w:tcMar>
              <w:top w:type="dxa" w:w="80"/>
              <w:left w:type="dxa" w:w="100"/>
              <w:bottom w:type="dxa" w:w="80"/>
              <w:right w:type="dxa" w:w="100"/>
            </w:tcMar>
          </w:tcPr>
          <w:p>
            <w:pPr>
              <w:jc w:val="left"/>
            </w:pPr>
            <w:r>
              <w:rPr>
                <w:b/>
                <w:bCs/>
              </w:rPr>
              <w:t xml:space="preserve">Verification Readiness</w:t>
            </w:r>
          </w:p>
        </w:tc>
        <w:tc>
          <w:tcPr>
            <w:tcW w:type="dxa" w:w="2400"/>
            <w:shd w:fill="D9D9D9" w:val="clear"/>
            <w:tcMar>
              <w:top w:type="dxa" w:w="80"/>
              <w:left w:type="dxa" w:w="100"/>
              <w:bottom w:type="dxa" w:w="80"/>
              <w:right w:type="dxa" w:w="100"/>
            </w:tcMar>
          </w:tcPr>
          <w:p>
            <w:pPr>
              <w:jc w:val="left"/>
            </w:pPr>
            <w:r>
              <w:rPr>
                <w:b/>
                <w:bCs/>
              </w:rPr>
              <w:t xml:space="preserve">Verification Maturity</w:t>
            </w:r>
          </w:p>
        </w:tc>
        <w:tc>
          <w:tcPr>
            <w:tcW w:type="dxa" w:w="2400"/>
            <w:shd w:fill="D9D9D9" w:val="clear"/>
            <w:tcMar>
              <w:top w:type="dxa" w:w="80"/>
              <w:left w:type="dxa" w:w="100"/>
              <w:bottom w:type="dxa" w:w="80"/>
              <w:right w:type="dxa" w:w="100"/>
            </w:tcMar>
          </w:tcPr>
          <w:p>
            <w:pPr>
              <w:jc w:val="left"/>
            </w:pPr>
            <w:r>
              <w:rPr>
                <w:b/>
                <w:bCs/>
              </w:rPr>
              <w:t xml:space="preserve">Outstanding Dependency</w:t>
            </w:r>
          </w:p>
        </w:tc>
        <w:tc>
          <w:tcPr>
            <w:tcW w:type="dxa" w:w="2100"/>
            <w:shd w:fill="D9D9D9" w:val="clear"/>
            <w:tcMar>
              <w:top w:type="dxa" w:w="80"/>
              <w:left w:type="dxa" w:w="100"/>
              <w:bottom w:type="dxa" w:w="80"/>
              <w:right w:type="dxa" w:w="100"/>
            </w:tcMar>
          </w:tcPr>
          <w:p>
            <w:pPr>
              <w:jc w:val="left"/>
            </w:pPr>
            <w:r>
              <w:rPr>
                <w:b/>
                <w:bCs/>
              </w:rPr>
              <w:t xml:space="preserve">Cert. Readiness</w:t>
            </w:r>
          </w:p>
        </w:tc>
      </w:tr>
      <w:tr>
        <w:tc>
          <w:tcPr>
            <w:tcW w:type="dxa" w:w="900"/>
            <w:tcMar>
              <w:top w:type="dxa" w:w="80"/>
              <w:left w:type="dxa" w:w="100"/>
              <w:bottom w:type="dxa" w:w="80"/>
              <w:right w:type="dxa" w:w="100"/>
            </w:tcMar>
          </w:tcPr>
          <w:p>
            <w:pPr>
              <w:jc w:val="left"/>
            </w:pPr>
            <w:r>
              <w:rPr>
                <w:b w:val="false"/>
                <w:bCs w:val="false"/>
              </w:rPr>
              <w:t xml:space="preserve">WP-0001</w:t>
            </w:r>
          </w:p>
        </w:tc>
        <w:tc>
          <w:tcPr>
            <w:tcW w:type="dxa" w:w="2000"/>
            <w:tcMar>
              <w:top w:type="dxa" w:w="80"/>
              <w:left w:type="dxa" w:w="100"/>
              <w:bottom w:type="dxa" w:w="80"/>
              <w:right w:type="dxa" w:w="100"/>
            </w:tcMar>
          </w:tcPr>
          <w:p>
            <w:pPr>
              <w:jc w:val="left"/>
            </w:pPr>
            <w:r>
              <w:rPr>
                <w:b w:val="false"/>
                <w:bCs w:val="false"/>
              </w:rPr>
              <w:t xml:space="preserve">Ready to execute (Wave 2)</w:t>
            </w:r>
          </w:p>
        </w:tc>
        <w:tc>
          <w:tcPr>
            <w:tcW w:type="dxa" w:w="2400"/>
            <w:tcMar>
              <w:top w:type="dxa" w:w="80"/>
              <w:left w:type="dxa" w:w="100"/>
              <w:bottom w:type="dxa" w:w="80"/>
              <w:right w:type="dxa" w:w="100"/>
            </w:tcMar>
          </w:tcPr>
          <w:p>
            <w:pPr>
              <w:jc w:val="left"/>
            </w:pPr>
            <w:r>
              <w:rPr>
                <w:b w:val="false"/>
                <w:bCs w:val="false"/>
              </w:rPr>
              <w:t xml:space="preserve">Method fully specified; not yet executed</w:t>
            </w:r>
          </w:p>
        </w:tc>
        <w:tc>
          <w:tcPr>
            <w:tcW w:type="dxa" w:w="2400"/>
            <w:tcMar>
              <w:top w:type="dxa" w:w="80"/>
              <w:left w:type="dxa" w:w="100"/>
              <w:bottom w:type="dxa" w:w="80"/>
              <w:right w:type="dxa" w:w="100"/>
            </w:tcMar>
          </w:tcPr>
          <w:p>
            <w:pPr>
              <w:jc w:val="left"/>
            </w:pPr>
            <w:r>
              <w:rPr>
                <w:b w:val="false"/>
                <w:bCs w:val="false"/>
              </w:rPr>
              <w:t xml:space="preserve">None blocking</w:t>
            </w:r>
          </w:p>
        </w:tc>
        <w:tc>
          <w:tcPr>
            <w:tcW w:type="dxa" w:w="2100"/>
            <w:tcMar>
              <w:top w:type="dxa" w:w="80"/>
              <w:left w:type="dxa" w:w="100"/>
              <w:bottom w:type="dxa" w:w="80"/>
              <w:right w:type="dxa" w:w="100"/>
            </w:tcMar>
          </w:tcPr>
          <w:p>
            <w:pPr>
              <w:jc w:val="left"/>
            </w:pPr>
            <w:r>
              <w:rPr>
                <w:b w:val="false"/>
                <w:bCs w:val="false"/>
              </w:rPr>
              <w:t xml:space="preserve">L4 pending</w:t>
            </w:r>
          </w:p>
        </w:tc>
      </w:tr>
      <w:tr>
        <w:tc>
          <w:tcPr>
            <w:tcW w:type="dxa" w:w="900"/>
            <w:tcMar>
              <w:top w:type="dxa" w:w="80"/>
              <w:left w:type="dxa" w:w="100"/>
              <w:bottom w:type="dxa" w:w="80"/>
              <w:right w:type="dxa" w:w="100"/>
            </w:tcMar>
          </w:tcPr>
          <w:p>
            <w:pPr>
              <w:jc w:val="left"/>
            </w:pPr>
            <w:r>
              <w:rPr>
                <w:b w:val="false"/>
                <w:bCs w:val="false"/>
              </w:rPr>
              <w:t xml:space="preserve">WP-0002</w:t>
            </w:r>
          </w:p>
        </w:tc>
        <w:tc>
          <w:tcPr>
            <w:tcW w:type="dxa" w:w="2000"/>
            <w:tcMar>
              <w:top w:type="dxa" w:w="80"/>
              <w:left w:type="dxa" w:w="100"/>
              <w:bottom w:type="dxa" w:w="80"/>
              <w:right w:type="dxa" w:w="100"/>
            </w:tcMar>
          </w:tcPr>
          <w:p>
            <w:pPr>
              <w:jc w:val="left"/>
            </w:pPr>
            <w:r>
              <w:rPr>
                <w:b w:val="false"/>
                <w:bCs w:val="false"/>
              </w:rPr>
              <w:t xml:space="preserve">Ready to execute (Wave 1)</w:t>
            </w:r>
          </w:p>
        </w:tc>
        <w:tc>
          <w:tcPr>
            <w:tcW w:type="dxa" w:w="2400"/>
            <w:tcMar>
              <w:top w:type="dxa" w:w="80"/>
              <w:left w:type="dxa" w:w="100"/>
              <w:bottom w:type="dxa" w:w="80"/>
              <w:right w:type="dxa" w:w="100"/>
            </w:tcMar>
          </w:tcPr>
          <w:p>
            <w:pPr>
              <w:jc w:val="left"/>
            </w:pPr>
            <w:r>
              <w:rPr>
                <w:b w:val="false"/>
                <w:bCs w:val="false"/>
              </w:rPr>
              <w:t xml:space="preserve">Method fully specified; not yet executed</w:t>
            </w:r>
          </w:p>
        </w:tc>
        <w:tc>
          <w:tcPr>
            <w:tcW w:type="dxa" w:w="2400"/>
            <w:tcMar>
              <w:top w:type="dxa" w:w="80"/>
              <w:left w:type="dxa" w:w="100"/>
              <w:bottom w:type="dxa" w:w="80"/>
              <w:right w:type="dxa" w:w="100"/>
            </w:tcMar>
          </w:tcPr>
          <w:p>
            <w:pPr>
              <w:jc w:val="left"/>
            </w:pPr>
            <w:r>
              <w:rPr>
                <w:b w:val="false"/>
                <w:bCs w:val="false"/>
              </w:rPr>
              <w:t xml:space="preserve">None blocking</w:t>
            </w:r>
          </w:p>
        </w:tc>
        <w:tc>
          <w:tcPr>
            <w:tcW w:type="dxa" w:w="2100"/>
            <w:tcMar>
              <w:top w:type="dxa" w:w="80"/>
              <w:left w:type="dxa" w:w="100"/>
              <w:bottom w:type="dxa" w:w="80"/>
              <w:right w:type="dxa" w:w="100"/>
            </w:tcMar>
          </w:tcPr>
          <w:p>
            <w:pPr>
              <w:jc w:val="left"/>
            </w:pPr>
            <w:r>
              <w:rPr>
                <w:b w:val="false"/>
                <w:bCs w:val="false"/>
              </w:rPr>
              <w:t xml:space="preserve">L4 pending</w:t>
            </w:r>
          </w:p>
        </w:tc>
      </w:tr>
      <w:tr>
        <w:tc>
          <w:tcPr>
            <w:tcW w:type="dxa" w:w="900"/>
            <w:tcMar>
              <w:top w:type="dxa" w:w="80"/>
              <w:left w:type="dxa" w:w="100"/>
              <w:bottom w:type="dxa" w:w="80"/>
              <w:right w:type="dxa" w:w="100"/>
            </w:tcMar>
          </w:tcPr>
          <w:p>
            <w:pPr>
              <w:jc w:val="left"/>
            </w:pPr>
            <w:r>
              <w:rPr>
                <w:b w:val="false"/>
                <w:bCs w:val="false"/>
              </w:rPr>
              <w:t xml:space="preserve">WP-0003</w:t>
            </w:r>
          </w:p>
        </w:tc>
        <w:tc>
          <w:tcPr>
            <w:tcW w:type="dxa" w:w="2000"/>
            <w:tcMar>
              <w:top w:type="dxa" w:w="80"/>
              <w:left w:type="dxa" w:w="100"/>
              <w:bottom w:type="dxa" w:w="80"/>
              <w:right w:type="dxa" w:w="100"/>
            </w:tcMar>
          </w:tcPr>
          <w:p>
            <w:pPr>
              <w:jc w:val="left"/>
            </w:pPr>
            <w:r>
              <w:rPr>
                <w:b w:val="false"/>
                <w:bCs w:val="false"/>
              </w:rPr>
              <w:t xml:space="preserve">Monitoring-ready (Wave 3)</w:t>
            </w:r>
          </w:p>
        </w:tc>
        <w:tc>
          <w:tcPr>
            <w:tcW w:type="dxa" w:w="2400"/>
            <w:tcMar>
              <w:top w:type="dxa" w:w="80"/>
              <w:left w:type="dxa" w:w="100"/>
              <w:bottom w:type="dxa" w:w="80"/>
              <w:right w:type="dxa" w:w="100"/>
            </w:tcMar>
          </w:tcPr>
          <w:p>
            <w:pPr>
              <w:jc w:val="left"/>
            </w:pPr>
            <w:r>
              <w:rPr>
                <w:b w:val="false"/>
                <w:bCs w:val="false"/>
              </w:rPr>
              <w:t xml:space="preserve">Dormant by design (AP-008)</w:t>
            </w:r>
          </w:p>
        </w:tc>
        <w:tc>
          <w:tcPr>
            <w:tcW w:type="dxa" w:w="2400"/>
            <w:tcMar>
              <w:top w:type="dxa" w:w="80"/>
              <w:left w:type="dxa" w:w="100"/>
              <w:bottom w:type="dxa" w:w="80"/>
              <w:right w:type="dxa" w:w="100"/>
            </w:tcMar>
          </w:tcPr>
          <w:p>
            <w:pPr>
              <w:jc w:val="left"/>
            </w:pPr>
            <w:r>
              <w:rPr>
                <w:b w:val="false"/>
                <w:bCs w:val="false"/>
              </w:rPr>
              <w:t xml:space="preserve">EGD-0004 trigger</w:t>
            </w:r>
          </w:p>
        </w:tc>
        <w:tc>
          <w:tcPr>
            <w:tcW w:type="dxa" w:w="2100"/>
            <w:tcMar>
              <w:top w:type="dxa" w:w="80"/>
              <w:left w:type="dxa" w:w="100"/>
              <w:bottom w:type="dxa" w:w="80"/>
              <w:right w:type="dxa" w:w="100"/>
            </w:tcMar>
          </w:tcPr>
          <w:p>
            <w:pPr>
              <w:jc w:val="left"/>
            </w:pPr>
            <w:r>
              <w:rPr>
                <w:b w:val="false"/>
                <w:bCs w:val="false"/>
              </w:rPr>
              <w:t xml:space="preserve">L3 standing; L4 if triggered</w:t>
            </w:r>
          </w:p>
        </w:tc>
      </w:tr>
      <w:tr>
        <w:tc>
          <w:tcPr>
            <w:tcW w:type="dxa" w:w="900"/>
            <w:tcMar>
              <w:top w:type="dxa" w:w="80"/>
              <w:left w:type="dxa" w:w="100"/>
              <w:bottom w:type="dxa" w:w="80"/>
              <w:right w:type="dxa" w:w="100"/>
            </w:tcMar>
          </w:tcPr>
          <w:p>
            <w:pPr>
              <w:jc w:val="left"/>
            </w:pPr>
            <w:r>
              <w:rPr>
                <w:b w:val="false"/>
                <w:bCs w:val="false"/>
              </w:rPr>
              <w:t xml:space="preserve">WP-0004</w:t>
            </w:r>
          </w:p>
        </w:tc>
        <w:tc>
          <w:tcPr>
            <w:tcW w:type="dxa" w:w="2000"/>
            <w:tcMar>
              <w:top w:type="dxa" w:w="80"/>
              <w:left w:type="dxa" w:w="100"/>
              <w:bottom w:type="dxa" w:w="80"/>
              <w:right w:type="dxa" w:w="100"/>
            </w:tcMar>
          </w:tcPr>
          <w:p>
            <w:pPr>
              <w:jc w:val="left"/>
            </w:pPr>
            <w:r>
              <w:rPr>
                <w:b w:val="false"/>
                <w:bCs w:val="false"/>
              </w:rPr>
              <w:t xml:space="preserve">Ready to execute (Wave 2)</w:t>
            </w:r>
          </w:p>
        </w:tc>
        <w:tc>
          <w:tcPr>
            <w:tcW w:type="dxa" w:w="2400"/>
            <w:tcMar>
              <w:top w:type="dxa" w:w="80"/>
              <w:left w:type="dxa" w:w="100"/>
              <w:bottom w:type="dxa" w:w="80"/>
              <w:right w:type="dxa" w:w="100"/>
            </w:tcMar>
          </w:tcPr>
          <w:p>
            <w:pPr>
              <w:jc w:val="left"/>
            </w:pPr>
            <w:r>
              <w:rPr>
                <w:b w:val="false"/>
                <w:bCs w:val="false"/>
              </w:rPr>
              <w:t xml:space="preserve">Method fully specified; not yet executed</w:t>
            </w:r>
          </w:p>
        </w:tc>
        <w:tc>
          <w:tcPr>
            <w:tcW w:type="dxa" w:w="2400"/>
            <w:tcMar>
              <w:top w:type="dxa" w:w="80"/>
              <w:left w:type="dxa" w:w="100"/>
              <w:bottom w:type="dxa" w:w="80"/>
              <w:right w:type="dxa" w:w="100"/>
            </w:tcMar>
          </w:tcPr>
          <w:p>
            <w:pPr>
              <w:jc w:val="left"/>
            </w:pPr>
            <w:r>
              <w:rPr>
                <w:b w:val="false"/>
                <w:bCs w:val="false"/>
              </w:rPr>
              <w:t xml:space="preserve">None blocking</w:t>
            </w:r>
          </w:p>
        </w:tc>
        <w:tc>
          <w:tcPr>
            <w:tcW w:type="dxa" w:w="2100"/>
            <w:tcMar>
              <w:top w:type="dxa" w:w="80"/>
              <w:left w:type="dxa" w:w="100"/>
              <w:bottom w:type="dxa" w:w="80"/>
              <w:right w:type="dxa" w:w="100"/>
            </w:tcMar>
          </w:tcPr>
          <w:p>
            <w:pPr>
              <w:jc w:val="left"/>
            </w:pPr>
            <w:r>
              <w:rPr>
                <w:b w:val="false"/>
                <w:bCs w:val="false"/>
              </w:rPr>
              <w:t xml:space="preserve">L4 pending</w:t>
            </w:r>
          </w:p>
        </w:tc>
      </w:tr>
      <w:tr>
        <w:tc>
          <w:tcPr>
            <w:tcW w:type="dxa" w:w="900"/>
            <w:tcMar>
              <w:top w:type="dxa" w:w="80"/>
              <w:left w:type="dxa" w:w="100"/>
              <w:bottom w:type="dxa" w:w="80"/>
              <w:right w:type="dxa" w:w="100"/>
            </w:tcMar>
          </w:tcPr>
          <w:p>
            <w:pPr>
              <w:jc w:val="left"/>
            </w:pPr>
            <w:r>
              <w:rPr>
                <w:b w:val="false"/>
                <w:bCs w:val="false"/>
              </w:rPr>
              <w:t xml:space="preserve">WP-0005</w:t>
            </w:r>
          </w:p>
        </w:tc>
        <w:tc>
          <w:tcPr>
            <w:tcW w:type="dxa" w:w="2000"/>
            <w:tcMar>
              <w:top w:type="dxa" w:w="80"/>
              <w:left w:type="dxa" w:w="100"/>
              <w:bottom w:type="dxa" w:w="80"/>
              <w:right w:type="dxa" w:w="100"/>
            </w:tcMar>
          </w:tcPr>
          <w:p>
            <w:pPr>
              <w:jc w:val="left"/>
            </w:pPr>
            <w:r>
              <w:rPr>
                <w:b w:val="false"/>
                <w:bCs w:val="false"/>
              </w:rPr>
              <w:t xml:space="preserve">Ready to execute (Wave 2)</w:t>
            </w:r>
          </w:p>
        </w:tc>
        <w:tc>
          <w:tcPr>
            <w:tcW w:type="dxa" w:w="2400"/>
            <w:tcMar>
              <w:top w:type="dxa" w:w="80"/>
              <w:left w:type="dxa" w:w="100"/>
              <w:bottom w:type="dxa" w:w="80"/>
              <w:right w:type="dxa" w:w="100"/>
            </w:tcMar>
          </w:tcPr>
          <w:p>
            <w:pPr>
              <w:jc w:val="left"/>
            </w:pPr>
            <w:r>
              <w:rPr>
                <w:b w:val="false"/>
                <w:bCs w:val="false"/>
              </w:rPr>
              <w:t xml:space="preserve">Method fully specified; reuses WP-0002 template</w:t>
            </w:r>
          </w:p>
        </w:tc>
        <w:tc>
          <w:tcPr>
            <w:tcW w:type="dxa" w:w="2400"/>
            <w:tcMar>
              <w:top w:type="dxa" w:w="80"/>
              <w:left w:type="dxa" w:w="100"/>
              <w:bottom w:type="dxa" w:w="80"/>
              <w:right w:type="dxa" w:w="100"/>
            </w:tcMar>
          </w:tcPr>
          <w:p>
            <w:pPr>
              <w:jc w:val="left"/>
            </w:pPr>
            <w:r>
              <w:rPr>
                <w:b w:val="false"/>
                <w:bCs w:val="false"/>
              </w:rPr>
              <w:t xml:space="preserve">WP-0002 completion (template precedent, not a hard block)</w:t>
            </w:r>
          </w:p>
        </w:tc>
        <w:tc>
          <w:tcPr>
            <w:tcW w:type="dxa" w:w="2100"/>
            <w:tcMar>
              <w:top w:type="dxa" w:w="80"/>
              <w:left w:type="dxa" w:w="100"/>
              <w:bottom w:type="dxa" w:w="80"/>
              <w:right w:type="dxa" w:w="100"/>
            </w:tcMar>
          </w:tcPr>
          <w:p>
            <w:pPr>
              <w:jc w:val="left"/>
            </w:pPr>
            <w:r>
              <w:rPr>
                <w:b w:val="false"/>
                <w:bCs w:val="false"/>
              </w:rPr>
              <w:t xml:space="preserve">L4 pending, ext.</w:t>
            </w:r>
          </w:p>
        </w:tc>
      </w:tr>
      <w:tr>
        <w:tc>
          <w:tcPr>
            <w:tcW w:type="dxa" w:w="900"/>
            <w:tcMar>
              <w:top w:type="dxa" w:w="80"/>
              <w:left w:type="dxa" w:w="100"/>
              <w:bottom w:type="dxa" w:w="80"/>
              <w:right w:type="dxa" w:w="100"/>
            </w:tcMar>
          </w:tcPr>
          <w:p>
            <w:pPr>
              <w:jc w:val="left"/>
            </w:pPr>
            <w:r>
              <w:rPr>
                <w:b w:val="false"/>
                <w:bCs w:val="false"/>
              </w:rPr>
              <w:t xml:space="preserve">WP-0006</w:t>
            </w:r>
          </w:p>
        </w:tc>
        <w:tc>
          <w:tcPr>
            <w:tcW w:type="dxa" w:w="2000"/>
            <w:tcMar>
              <w:top w:type="dxa" w:w="80"/>
              <w:left w:type="dxa" w:w="100"/>
              <w:bottom w:type="dxa" w:w="80"/>
              <w:right w:type="dxa" w:w="100"/>
            </w:tcMar>
          </w:tcPr>
          <w:p>
            <w:pPr>
              <w:jc w:val="left"/>
            </w:pPr>
            <w:r>
              <w:rPr>
                <w:b w:val="false"/>
                <w:bCs w:val="false"/>
              </w:rPr>
              <w:t xml:space="preserve">Ready to execute (Wave 1)</w:t>
            </w:r>
          </w:p>
        </w:tc>
        <w:tc>
          <w:tcPr>
            <w:tcW w:type="dxa" w:w="2400"/>
            <w:tcMar>
              <w:top w:type="dxa" w:w="80"/>
              <w:left w:type="dxa" w:w="100"/>
              <w:bottom w:type="dxa" w:w="80"/>
              <w:right w:type="dxa" w:w="100"/>
            </w:tcMar>
          </w:tcPr>
          <w:p>
            <w:pPr>
              <w:jc w:val="left"/>
            </w:pPr>
            <w:r>
              <w:rPr>
                <w:b w:val="false"/>
                <w:bCs w:val="false"/>
              </w:rPr>
              <w:t xml:space="preserve">Method fully specified; not yet executed</w:t>
            </w:r>
          </w:p>
        </w:tc>
        <w:tc>
          <w:tcPr>
            <w:tcW w:type="dxa" w:w="2400"/>
            <w:tcMar>
              <w:top w:type="dxa" w:w="80"/>
              <w:left w:type="dxa" w:w="100"/>
              <w:bottom w:type="dxa" w:w="80"/>
              <w:right w:type="dxa" w:w="100"/>
            </w:tcMar>
          </w:tcPr>
          <w:p>
            <w:pPr>
              <w:jc w:val="left"/>
            </w:pPr>
            <w:r>
              <w:rPr>
                <w:b w:val="false"/>
                <w:bCs w:val="false"/>
              </w:rPr>
              <w:t xml:space="preserve">None blocking — this Work Package is itself the blocking dependency for others</w:t>
            </w:r>
          </w:p>
        </w:tc>
        <w:tc>
          <w:tcPr>
            <w:tcW w:type="dxa" w:w="2100"/>
            <w:tcMar>
              <w:top w:type="dxa" w:w="80"/>
              <w:left w:type="dxa" w:w="100"/>
              <w:bottom w:type="dxa" w:w="80"/>
              <w:right w:type="dxa" w:w="100"/>
            </w:tcMar>
          </w:tcPr>
          <w:p>
            <w:pPr>
              <w:jc w:val="left"/>
            </w:pPr>
            <w:r>
              <w:rPr>
                <w:b w:val="false"/>
                <w:bCs w:val="false"/>
              </w:rPr>
              <w:t xml:space="preserve">Not Applicable</w:t>
            </w:r>
          </w:p>
        </w:tc>
      </w:tr>
    </w:tbl>
    <w:p>
      <w:pPr>
        <w:spacing w:after="140"/>
      </w:pPr>
      <w:r>
        <w:t xml:space="preserve">Repository verification status: exact against Section 3 — Documentation, Database, and Test only. Governance verification status: complete for Portfolios 1, 2, and 8 (every Work Package traces to an already-dispositioned EGD); Not Applicable for Portfolios 3–7. Overall enterprise verification readiness: two of six Work Packages (WP-0002, WP-0006) are startable today with zero blocking dependency; the remaining four are ready to follow in Wave 2, except WP-0003, which is correctly monitoring-ready only pending its trigger.</w:t>
      </w:r>
    </w:p>
    <w:p>
      <w:pPr>
        <w:pStyle w:val="Heading1"/>
        <w:spacing w:after="160" w:before="360"/>
      </w:pPr>
      <w:r>
        <w:t xml:space="preserve">10. Executive Summary</w:t>
      </w:r>
    </w:p>
    <w:p>
      <w:pPr>
        <w:spacing w:after="140"/>
      </w:pPr>
      <w:r>
        <w:t xml:space="preserve">Engineering verification maturity across WP-0001–WP-0006 is fully specified but largely unexecuted: every Work Package has a defined verification method (Section 4/Section 5), but only WP-0002's method — query-based RLS verification — has been established as the proven, repeatable template the baseline explicitly designates for reuse (Section 1 §7; WP-0004 and WP-0005 both reuse it directly or by extension).</w:t>
      </w:r>
    </w:p>
    <w:p>
      <w:pPr>
        <w:spacing w:after="140"/>
      </w:pPr>
      <w:r>
        <w:t xml:space="preserve">Quality assurance readiness is highest where verification is least novel: WP-0002's method is fully proven in concept, WP-0005 extends it without modification, and WP-0004's per-release automated check is the one evidenced automated-verification activity in the current baseline. WP-0001's manual documentation diff and WP-0003's dormant quarterly monitoring are lower-complexity by design, not by gap.</w:t>
      </w:r>
    </w:p>
    <w:p>
      <w:pPr>
        <w:spacing w:after="140"/>
      </w:pPr>
      <w:r>
        <w:t xml:space="preserve">Repository verification maturity is exact: this document, like Section 6 before it, confines all verification claims to the three repository categories with approved impact — Documentation, Database, and Test — and extends no verification activity to Backend, Frontend, Integration, AI, or Infrastructure repositories.</w:t>
      </w:r>
    </w:p>
    <w:p>
      <w:pPr>
        <w:spacing w:after="140"/>
      </w:pPr>
      <w:r>
        <w:t xml:space="preserve">Architecture verification alignment is complete: every verification method in Section 4 of this document feeds the identical Architecture Requirement / Enterprise Governance Decision pair Section 6 §4 already certifies against, with no new architecture claim introduced.</w:t>
      </w:r>
    </w:p>
    <w:p>
      <w:pPr>
        <w:spacing w:after="140"/>
      </w:pPr>
      <w:r>
        <w:t xml:space="preserve">Governance verification alignment is exact: WP-0006's KPI-08 measurement is both a verification activity in its own right and the named precondition — identically identified in Section 1, Section 5, and Section 6 — for full verification-approval execution across the other five Work Packages.</w:t>
      </w:r>
    </w:p>
    <w:p>
      <w:pPr>
        <w:spacing w:after="140"/>
      </w:pPr>
      <w:r>
        <w:t xml:space="preserve">Certification readiness matches Section 6 §4 without deviation: L4 (pending) for WP-0001, WP-0002, WP-0004, and WP-0005; L3 (standing), L4 conditional, for WP-0003; Not Applicable for WP-0006.</w:t>
      </w:r>
    </w:p>
    <w:p>
      <w:pPr>
        <w:spacing w:after="140"/>
      </w:pPr>
      <w:r>
        <w:t xml:space="preserve">This Enterprise Testing &amp; Verification Strategy provides the engineering verification framework supporting architecture conformance certification: every Work Package's verification method, evidence artifact, and traceability chain in this document already exists in Phase A.1–A.3, Phase B, and Sections 1–6 of this Phase C repository, and this document introduces no testing activity, tool, environment, or authority beyond what those repositories evidence.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2026-07-09T06:09:28.278Z</dcterms:created>
  <dcterms:modified xsi:type="dcterms:W3CDTF">2026-07-09T06:09:28.294Z</dcterms:modified>
</cp:coreProperties>
</file>

<file path=docProps/custom.xml><?xml version="1.0" encoding="utf-8"?>
<Properties xmlns="http://schemas.openxmlformats.org/officeDocument/2006/custom-properties" xmlns:vt="http://schemas.openxmlformats.org/officeDocument/2006/docPropsVTypes"/>
</file>