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ERP-01 — Phase C</w:t>
      </w:r>
    </w:p>
    <w:p>
      <w:pPr>
        <w:spacing w:after="200"/>
      </w:pPr>
      <w:r>
        <w:rPr>
          <w:b/>
          <w:bCs/>
          <w:sz w:val="40"/>
          <w:szCs w:val="40"/>
        </w:rPr>
        <w:t xml:space="preserve">Section 8 — Enterprise Risk-Control Matrix</w:t>
      </w:r>
    </w:p>
    <w:p>
      <w:pPr>
        <w:spacing w:after="160"/>
      </w:pPr>
      <w:r>
        <w:rPr>
          <w:i/>
          <w:iCs/>
        </w:rPr>
        <w:t xml:space="preserve">HireRise Career Intelligence Platform</w:t>
      </w:r>
    </w:p>
    <w:p>
      <w:pPr>
        <w:spacing w:after="160"/>
      </w:pPr>
      <w:r>
        <w:rPr>
          <w:i/>
          <w:iCs/>
        </w:rPr>
        <w:t xml:space="preserve">Version 1.0 | Status: DRAFT FOR REVIEW</w:t>
      </w:r>
    </w:p>
    <w:p>
      <w:pPr>
        <w:spacing w:after="120"/>
      </w:pPr>
    </w:p>
    <w:p>
      <w:pPr>
        <w:spacing w:after="160"/>
      </w:pPr>
      <w:r>
        <w:rPr>
          <w:i/>
          <w:iCs/>
        </w:rPr>
        <w:t xml:space="preserve">Authoritative inputs: ERP-01 Phase A.1 — Enterprise Physical Data Model Realization Assessment; Phase A.2 — Enterprise Architecture Governance &amp; Disposition Assessment; Phase A.3 — Enterprise Architecture Baseline &amp; Resolution Repository; Phase B — Enterprise Architecture Realization Roadmap &amp; Portfolio Plan; Phase C Section 1 — Enterprise Work Package Execution Strategy; Section 2 — Enterprise Work Package Engineering Catalog; Section 3 — Repository Impact Assessment; Section 4 — Engineering Design Specification; Section 5 — Implementation Blueprint; Section 6 — Architecture Conformance Plan; Section 7 — Enterprise Testing &amp; Verification Strategy. No repository re-inspection and no re-governance was performed to produce this document.</w:t>
      </w:r>
    </w:p>
    <w:p>
      <w:pPr>
        <w:pStyle w:val="Heading2"/>
        <w:spacing w:after="160" w:before="360"/>
      </w:pPr>
      <w:r>
        <w:t xml:space="preserve">A Note on Scope and Evidence</w:t>
      </w:r>
    </w:p>
    <w:p>
      <w:pPr>
        <w:spacing w:after="160"/>
      </w:pPr>
      <w:r>
        <w:t xml:space="preserve">This document is Section 8 of ERP-01 Phase C. It does not redefine architecture, recreate governance, perform new architecture assessment, or reinterpret prior disposition decisions. It establishes the enterprise risk-control framework governing execution of Work Packages WP-0001–WP-0006 by consolidating risk-relevant evidence already produced across Phase A.1–A.3, Phase B, and Phase C Sections 1–7, and by reusing — rather than replacing — the existing Architecture Requirement (AR), Enterprise Governance Decision (EGD), Enterprise Resolution (ER), Variance (VAR), Key Performance Indicator (KPI), and certification-level framework.</w:t>
      </w:r>
    </w:p>
    <w:p>
      <w:pPr>
        <w:spacing w:after="160"/>
      </w:pPr>
      <w:r>
        <w:t xml:space="preserve">Two fallback labels are used consistently throughout this document, and are not interchangeable: “Not Evidenced in Current Baseline” marks a risk, control, owner, or process the approved repositories neither confirm nor rule out. “Reserved for Future Realization Phases” marks a risk category belonging to a Portfolio (3–7) that carries zero approved Work Packages. Neither label is a finding of absence; both mean only that this matrix's approved evidence does not support an assertion.</w:t>
      </w:r>
    </w:p>
    <w:p>
      <w:pPr>
        <w:spacing w:after="160"/>
      </w:pPr>
      <w:r>
        <w:t xml:space="preserve">No new Architecture Requirement, Enterprise Governance Decision, Enterprise Resolution, Variance, Work Package, Portfolio, Wave, Milestone, KPI, or risk-identifier family is introduced anywhere in this document. Every risk in the Enterprise Risk Matrix (§5) is organized under its corresponding Work Package identifier rather than assigned a new sequential Risk ID, since no approved Risk-ID family exists in the baseline.</w:t>
      </w:r>
    </w:p>
    <w:p>
      <w:pPr>
        <w:pStyle w:val="Heading2"/>
        <w:spacing w:after="160" w:before="360"/>
      </w:pPr>
      <w:r>
        <w:t xml:space="preserve">1. Executive Overview</w:t>
      </w:r>
    </w:p>
    <w:p>
      <w:pPr>
        <w:spacing w:after="100" w:before="200"/>
      </w:pPr>
      <w:r>
        <w:rPr>
          <w:b/>
          <w:bCs/>
          <w:i/>
          <w:iCs/>
        </w:rPr>
        <w:t xml:space="preserve">Purpose</w:t>
      </w:r>
    </w:p>
    <w:p>
      <w:pPr>
        <w:spacing w:after="160"/>
      </w:pPr>
      <w:r>
        <w:t xml:space="preserve">This Enterprise Risk-Control Matrix establishes the risk governance framework for the six approved Work Packages (WP-0001–WP-0006) within Portfolios 1 (Enterprise Data Platform), 2 (Enterprise Security), and 8 (Governance &amp; Quality). Unlike Section 7, which verifies engineering quality against acceptance criteria, this section identifies, classifies, and manages the technical, governance, engineering, repository, and delivery risks that could affect successful realization of the approved baseline.</w:t>
      </w:r>
    </w:p>
    <w:p>
      <w:pPr>
        <w:spacing w:after="100" w:before="200"/>
      </w:pPr>
      <w:r>
        <w:rPr>
          <w:b/>
          <w:bCs/>
          <w:i/>
          <w:iCs/>
        </w:rPr>
        <w:t xml:space="preserve">Relationship with Sections 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D9D9D9" w:color="auto" w:val="clear"/>
          </w:tcPr>
          <w:p>
            <w:r>
              <w:rPr>
                <w:b/>
                <w:bCs/>
                <w:sz w:val="18"/>
                <w:szCs w:val="18"/>
              </w:rPr>
              <w:t xml:space="preserve">Prior Section</w:t>
            </w:r>
          </w:p>
        </w:tc>
        <w:tc>
          <w:tcPr>
            <w:tcW w:type="dxa" w:w="6653"/>
            <w:shd w:fill="D9D9D9" w:color="auto" w:val="clear"/>
          </w:tcPr>
          <w:p>
            <w:r>
              <w:rPr>
                <w:b/>
                <w:bCs/>
                <w:sz w:val="18"/>
                <w:szCs w:val="18"/>
              </w:rPr>
              <w:t xml:space="preserve">Contribution to This Matrix</w:t>
            </w:r>
          </w:p>
        </w:tc>
      </w:tr>
      <w:tr>
        <w:tc>
          <w:tcPr>
            <w:tcW w:type="dxa" w:w="3427"/>
          </w:tcPr>
          <w:p>
            <w:r>
              <w:rPr>
                <w:sz w:val="18"/>
                <w:szCs w:val="18"/>
              </w:rPr>
              <w:t xml:space="preserve">Section 1 — Execution Strategy</w:t>
            </w:r>
          </w:p>
        </w:tc>
        <w:tc>
          <w:tcPr>
            <w:tcW w:type="dxa" w:w="6653"/>
          </w:tcPr>
          <w:p>
            <w:r>
              <w:rPr>
                <w:sz w:val="18"/>
                <w:szCs w:val="18"/>
              </w:rPr>
              <w:t xml:space="preserve">Nine engineering principles (AP-001–AP-009), including AP-008 (trigger-based evolution) and the risk-first sequencing of Wave 1.</w:t>
            </w:r>
          </w:p>
        </w:tc>
      </w:tr>
      <w:tr>
        <w:tc>
          <w:tcPr>
            <w:tcW w:type="dxa" w:w="3427"/>
          </w:tcPr>
          <w:p>
            <w:r>
              <w:rPr>
                <w:sz w:val="18"/>
                <w:szCs w:val="18"/>
              </w:rPr>
              <w:t xml:space="preserve">Section 2 — Engineering Catalog</w:t>
            </w:r>
          </w:p>
        </w:tc>
        <w:tc>
          <w:tcPr>
            <w:tcW w:type="dxa" w:w="6653"/>
          </w:tcPr>
          <w:p>
            <w:r>
              <w:rPr>
                <w:sz w:val="18"/>
                <w:szCs w:val="18"/>
              </w:rPr>
              <w:t xml:space="preserve">Per-Work-Package Risk Classification, Risk Distribution table, and Governance Profile fields reused directly in §4 and §5 below.</w:t>
            </w:r>
          </w:p>
        </w:tc>
      </w:tr>
      <w:tr>
        <w:tc>
          <w:tcPr>
            <w:tcW w:type="dxa" w:w="3427"/>
          </w:tcPr>
          <w:p>
            <w:r>
              <w:rPr>
                <w:sz w:val="18"/>
                <w:szCs w:val="18"/>
              </w:rPr>
              <w:t xml:space="preserve">Section 3 — Repository Impact Assessment</w:t>
            </w:r>
          </w:p>
        </w:tc>
        <w:tc>
          <w:tcPr>
            <w:tcW w:type="dxa" w:w="6653"/>
          </w:tcPr>
          <w:p>
            <w:r>
              <w:rPr>
                <w:sz w:val="18"/>
                <w:szCs w:val="18"/>
              </w:rPr>
              <w:t xml:space="preserve">The Repository Risk Assessment (§6 of that document) — Change, Verification, Documentation, Migration, Security, and Operational Risk per repository category — reused verbatim in §4.D below.</w:t>
            </w:r>
          </w:p>
        </w:tc>
      </w:tr>
      <w:tr>
        <w:tc>
          <w:tcPr>
            <w:tcW w:type="dxa" w:w="3427"/>
          </w:tcPr>
          <w:p>
            <w:r>
              <w:rPr>
                <w:sz w:val="18"/>
                <w:szCs w:val="18"/>
              </w:rPr>
              <w:t xml:space="preserve">Section 4 — Engineering Design Specification</w:t>
            </w:r>
          </w:p>
        </w:tc>
        <w:tc>
          <w:tcPr>
            <w:tcW w:type="dxa" w:w="6653"/>
          </w:tcPr>
          <w:p>
            <w:r>
              <w:rPr>
                <w:sz w:val="18"/>
                <w:szCs w:val="18"/>
              </w:rPr>
              <w:t xml:space="preserve">Engineering complexity and design-conformance detail underlying §4.E (Engineering Risks) below.</w:t>
            </w:r>
          </w:p>
        </w:tc>
      </w:tr>
      <w:tr>
        <w:tc>
          <w:tcPr>
            <w:tcW w:type="dxa" w:w="3427"/>
          </w:tcPr>
          <w:p>
            <w:r>
              <w:rPr>
                <w:sz w:val="18"/>
                <w:szCs w:val="18"/>
              </w:rPr>
              <w:t xml:space="preserve">Section 5 — Implementation Blueprint</w:t>
            </w:r>
          </w:p>
        </w:tc>
        <w:tc>
          <w:tcPr>
            <w:tcW w:type="dxa" w:w="6653"/>
          </w:tcPr>
          <w:p>
            <w:r>
              <w:rPr>
                <w:sz w:val="18"/>
                <w:szCs w:val="18"/>
              </w:rPr>
              <w:t xml:space="preserve">Rollback Strategy per Work Package, reused directly as §4.J (Recovery Strategy) below.</w:t>
            </w:r>
          </w:p>
        </w:tc>
      </w:tr>
      <w:tr>
        <w:tc>
          <w:tcPr>
            <w:tcW w:type="dxa" w:w="3427"/>
          </w:tcPr>
          <w:p>
            <w:r>
              <w:rPr>
                <w:sz w:val="18"/>
                <w:szCs w:val="18"/>
              </w:rPr>
              <w:t xml:space="preserve">Section 6 — Architecture Conformance Plan</w:t>
            </w:r>
          </w:p>
        </w:tc>
        <w:tc>
          <w:tcPr>
            <w:tcW w:type="dxa" w:w="6653"/>
          </w:tcPr>
          <w:p>
            <w:r>
              <w:rPr>
                <w:sz w:val="18"/>
                <w:szCs w:val="18"/>
              </w:rPr>
              <w:t xml:space="preserve">The Non-Conformance Management lifecycle (§8 of that document), reused as the Enterprise Risk Framework lifecycle in §3 below.</w:t>
            </w:r>
          </w:p>
        </w:tc>
      </w:tr>
      <w:tr>
        <w:tc>
          <w:tcPr>
            <w:tcW w:type="dxa" w:w="3427"/>
          </w:tcPr>
          <w:p>
            <w:r>
              <w:rPr>
                <w:sz w:val="18"/>
                <w:szCs w:val="18"/>
              </w:rPr>
              <w:t xml:space="preserve">Section 7 — Testing &amp; Verification Strategy</w:t>
            </w:r>
          </w:p>
        </w:tc>
        <w:tc>
          <w:tcPr>
            <w:tcW w:type="dxa" w:w="6653"/>
          </w:tcPr>
          <w:p>
            <w:r>
              <w:rPr>
                <w:sz w:val="18"/>
                <w:szCs w:val="18"/>
              </w:rPr>
              <w:t xml:space="preserve">Defect-management and re-testing evidence underlying §4.H (Risk Controls) below.</w:t>
            </w:r>
          </w:p>
        </w:tc>
      </w:tr>
    </w:tbl>
    <w:p>
      <w:pPr>
        <w:spacing w:after="200"/>
      </w:pPr>
    </w:p>
    <w:p>
      <w:pPr>
        <w:spacing w:after="100" w:before="200"/>
      </w:pPr>
      <w:r>
        <w:rPr>
          <w:b/>
          <w:bCs/>
          <w:i/>
          <w:iCs/>
        </w:rPr>
        <w:t xml:space="preserve">Enterprise Risk Objectives</w:t>
      </w:r>
    </w:p>
    <w:p>
      <w:pPr>
        <w:pStyle w:val="ListParagraph"/>
        <w:numPr>
          <w:ilvl w:val="0"/>
          <w:numId w:val="1"/>
        </w:numPr>
        <w:spacing w:after="80"/>
      </w:pPr>
      <w:r>
        <w:t xml:space="preserve">Consolidate every risk already evidenced across Phase A.1–A.3, Phase B, and Sections 1–7 into one traceable register, without inventing new risks.</w:t>
      </w:r>
    </w:p>
    <w:p>
      <w:pPr>
        <w:pStyle w:val="ListParagraph"/>
        <w:numPr>
          <w:ilvl w:val="0"/>
          <w:numId w:val="1"/>
        </w:numPr>
        <w:spacing w:after="80"/>
      </w:pPr>
      <w:r>
        <w:t xml:space="preserve">Preserve the risk-first sequencing already adopted in Wave 1 (WP-0002, WP-0006) per Phase B §2 and §5.</w:t>
      </w:r>
    </w:p>
    <w:p>
      <w:pPr>
        <w:pStyle w:val="ListParagraph"/>
        <w:numPr>
          <w:ilvl w:val="0"/>
          <w:numId w:val="1"/>
        </w:numPr>
        <w:spacing w:after="80"/>
      </w:pPr>
      <w:r>
        <w:t xml:space="preserve">Protect the traceability chain and certification levels established in Phase A.3 §7 and §11 against unmanaged risk exposure.</w:t>
      </w:r>
    </w:p>
    <w:p>
      <w:pPr>
        <w:pStyle w:val="ListParagraph"/>
        <w:numPr>
          <w:ilvl w:val="0"/>
          <w:numId w:val="1"/>
        </w:numPr>
        <w:spacing w:after="80"/>
      </w:pPr>
      <w:r>
        <w:t xml:space="preserve">Distinguish confirmed/occurring risk (e.g., documentation drift) from latent/monitored risk (e.g., VAR-01, VAR-03, VAR-04) from unresolved/unknown risk (e.g., AR-0007 pending WP-0002).</w:t>
      </w:r>
    </w:p>
    <w:p>
      <w:pPr>
        <w:spacing w:after="100" w:before="200"/>
      </w:pPr>
      <w:r>
        <w:rPr>
          <w:b/>
          <w:bCs/>
          <w:i/>
          <w:iCs/>
        </w:rPr>
        <w:t xml:space="preserve">Governance Objectives</w:t>
      </w:r>
    </w:p>
    <w:p>
      <w:pPr>
        <w:spacing w:after="160"/>
      </w:pPr>
      <w:r>
        <w:t xml:space="preserve">Ensure every identified risk carries a named accountable owner once WP-0006 completes (currently 0% assigned, KPI-08); ensure no risk disposition is silently absorbed rather than logged as a new or amended EGD/VAR entry per AP-003 and AP-007; and ensure risk status feeds the same KPI and certification tracking already established in Phase A.3 §10–11, rather than a parallel measurement system.</w:t>
      </w:r>
    </w:p>
    <w:p>
      <w:pPr>
        <w:spacing w:after="100" w:before="200"/>
      </w:pPr>
      <w:r>
        <w:rPr>
          <w:b/>
          <w:bCs/>
          <w:i/>
          <w:iCs/>
        </w:rPr>
        <w:t xml:space="preserve">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D9D9" w:color="auto" w:val="clear"/>
          </w:tcPr>
          <w:p>
            <w:r>
              <w:rPr>
                <w:b/>
                <w:bCs/>
                <w:sz w:val="18"/>
                <w:szCs w:val="18"/>
              </w:rPr>
              <w:t xml:space="preserve">Scope Category</w:t>
            </w:r>
          </w:p>
        </w:tc>
        <w:tc>
          <w:tcPr>
            <w:tcW w:type="dxa" w:w="7056"/>
            <w:shd w:fill="D9D9D9" w:color="auto" w:val="clear"/>
          </w:tcPr>
          <w:p>
            <w:r>
              <w:rPr>
                <w:b/>
                <w:bCs/>
                <w:sz w:val="18"/>
                <w:szCs w:val="18"/>
              </w:rPr>
              <w:t xml:space="preserve">Content</w:t>
            </w:r>
          </w:p>
        </w:tc>
      </w:tr>
      <w:tr>
        <w:tc>
          <w:tcPr>
            <w:tcW w:type="dxa" w:w="3024"/>
          </w:tcPr>
          <w:p>
            <w:r>
              <w:rPr>
                <w:sz w:val="18"/>
                <w:szCs w:val="18"/>
              </w:rPr>
              <w:t xml:space="preserve">In scope (normative)</w:t>
            </w:r>
          </w:p>
        </w:tc>
        <w:tc>
          <w:tcPr>
            <w:tcW w:type="dxa" w:w="7056"/>
          </w:tcPr>
          <w:p>
            <w:r>
              <w:rPr>
                <w:sz w:val="18"/>
                <w:szCs w:val="18"/>
              </w:rPr>
              <w:t xml:space="preserve">WP-0001–WP-0006; AR-0001–0010; EGD-0001–0009; ER-0001–0010; VAR-01–04; KPI-01–10; Portfolios 1 (Enterprise Data Platform), 2 (Enterprise Security), 8 (Governance &amp; Quality); Waves 1–3.</w:t>
            </w:r>
          </w:p>
        </w:tc>
      </w:tr>
      <w:tr>
        <w:tc>
          <w:tcPr>
            <w:tcW w:type="dxa" w:w="3024"/>
          </w:tcPr>
          <w:p>
            <w:r>
              <w:rPr>
                <w:sz w:val="18"/>
                <w:szCs w:val="18"/>
              </w:rPr>
              <w:t xml:space="preserve">Reserved (non-normative)</w:t>
            </w:r>
          </w:p>
        </w:tc>
        <w:tc>
          <w:tcPr>
            <w:tcW w:type="dxa" w:w="7056"/>
          </w:tcPr>
          <w:p>
            <w:r>
              <w:rPr>
                <w:sz w:val="18"/>
                <w:szCs w:val="18"/>
              </w:rPr>
              <w:t xml:space="preserve">Portfolios 3 (Enterprise AI), 4 (Business Capabilities), 5 (Knowledge Platform), 6 (Integration Platform), 7 (Operations &amp; Observability); Waves 4–5; any risk authority over those domains, since no AR/EGD evidence exists there.</w:t>
            </w:r>
          </w:p>
        </w:tc>
      </w:tr>
    </w:tbl>
    <w:p>
      <w:pPr>
        <w:spacing w:after="200"/>
      </w:pPr>
    </w:p>
    <w:p>
      <w:pPr>
        <w:spacing w:after="100" w:before="200"/>
      </w:pPr>
      <w:r>
        <w:rPr>
          <w:b/>
          <w:bCs/>
          <w:i/>
          <w:iCs/>
        </w:rPr>
        <w:t xml:space="preserve">Evidence Limitations</w:t>
      </w:r>
    </w:p>
    <w:p>
      <w:pPr>
        <w:spacing w:after="160"/>
      </w:pPr>
      <w:r>
        <w:t xml:space="preserve">A formally named risk-severity classification scheme, a dedicated risk register distinct from the EGD/VAR registers, and an escalation SLA are Not Evidenced in Current Baseline (Section 6 §8). This matrix does not invent them; it organizes existing evidence — the Phase B §10 Enterprise Risk &amp; Dependency Plan, the Section 3 §6 Repository Risk Assessment, and the Section 2 per-Work-Package Risk Classification fields — into the requested Risk-Control Matrix format without adding severity scales, registers, or SLAs the baseline does not support.</w:t>
      </w:r>
    </w:p>
    <w:p>
      <w:pPr>
        <w:spacing w:after="100" w:before="200"/>
      </w:pPr>
      <w:r>
        <w:rPr>
          <w:b/>
          <w:bCs/>
          <w:i/>
          <w:iCs/>
        </w:rPr>
        <w:t xml:space="preserve">Guiding Principles</w:t>
      </w:r>
    </w:p>
    <w:p>
      <w:pPr>
        <w:spacing w:after="160"/>
      </w:pPr>
      <w:r>
        <w:t xml:space="preserve">This matrix inherits, without modification, the nine permanent engineering principles (AP-001–AP-009) established in Phase A.3 §2, most directly AP-002 (repository evidence governs), AP-003 (governance-first delivery), AP-006 (every gap requires explicit disposition), AP-007 (no undocumented variance), and AP-008 (trigger-based evolution).</w:t>
      </w:r>
    </w:p>
    <w:p>
      <w:pPr>
        <w:pStyle w:val="Heading2"/>
        <w:spacing w:after="160" w:before="360"/>
      </w:pPr>
      <w:r>
        <w:t xml:space="preserve">2. Enterprise Risk Management Principles</w:t>
      </w:r>
    </w:p>
    <w:p>
      <w:pPr>
        <w:spacing w:after="160"/>
      </w:pPr>
      <w:r>
        <w:t xml:space="preserve">The governing principles below map each requested risk-management element to its already-approved Phase A.3 §2 principle rather than restating it under a new name, consistent with the approach Section 1 §2 already took for engineering philosophy. No new enterprise principle is introduced.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613"/>
        <w:gridCol w:w="6048"/>
      </w:tblGrid>
      <w:tr>
        <w:trPr>
          <w:tblHeader/>
        </w:trPr>
        <w:tc>
          <w:tcPr>
            <w:tcW w:type="dxa" w:w="2419"/>
            <w:shd w:fill="D9D9D9" w:color="auto" w:val="clear"/>
          </w:tcPr>
          <w:p>
            <w:r>
              <w:rPr>
                <w:b/>
                <w:bCs/>
                <w:sz w:val="18"/>
                <w:szCs w:val="18"/>
              </w:rPr>
              <w:t xml:space="preserve">Requested Principle</w:t>
            </w:r>
          </w:p>
        </w:tc>
        <w:tc>
          <w:tcPr>
            <w:tcW w:type="dxa" w:w="1613"/>
            <w:shd w:fill="D9D9D9" w:color="auto" w:val="clear"/>
          </w:tcPr>
          <w:p>
            <w:r>
              <w:rPr>
                <w:b/>
                <w:bCs/>
                <w:sz w:val="18"/>
                <w:szCs w:val="18"/>
              </w:rPr>
              <w:t xml:space="preserve">Governing Principle</w:t>
            </w:r>
          </w:p>
        </w:tc>
        <w:tc>
          <w:tcPr>
            <w:tcW w:type="dxa" w:w="6048"/>
            <w:shd w:fill="D9D9D9" w:color="auto" w:val="clear"/>
          </w:tcPr>
          <w:p>
            <w:r>
              <w:rPr>
                <w:b/>
                <w:bCs/>
                <w:sz w:val="18"/>
                <w:szCs w:val="18"/>
              </w:rPr>
              <w:t xml:space="preserve">How It Applies to Risk Management</w:t>
            </w:r>
          </w:p>
        </w:tc>
      </w:tr>
      <w:tr>
        <w:tc>
          <w:tcPr>
            <w:tcW w:type="dxa" w:w="2419"/>
          </w:tcPr>
          <w:p>
            <w:r>
              <w:rPr>
                <w:sz w:val="18"/>
                <w:szCs w:val="18"/>
              </w:rPr>
              <w:t xml:space="preserve">Evidence-based risk management</w:t>
            </w:r>
          </w:p>
        </w:tc>
        <w:tc>
          <w:tcPr>
            <w:tcW w:type="dxa" w:w="1613"/>
          </w:tcPr>
          <w:p>
            <w:r>
              <w:rPr>
                <w:sz w:val="18"/>
                <w:szCs w:val="18"/>
              </w:rPr>
              <w:t xml:space="preserve">AP-002</w:t>
            </w:r>
          </w:p>
        </w:tc>
        <w:tc>
          <w:tcPr>
            <w:tcW w:type="dxa" w:w="6048"/>
          </w:tcPr>
          <w:p>
            <w:r>
              <w:rPr>
                <w:sz w:val="18"/>
                <w:szCs w:val="18"/>
              </w:rPr>
              <w:t xml:space="preserve">Every risk in this matrix cites repository evidence (Phase A.1–A.3, Phase B §10, Section 2, Section 3 §6); no risk is admitted without a source citation.</w:t>
            </w:r>
          </w:p>
        </w:tc>
      </w:tr>
      <w:tr>
        <w:tc>
          <w:tcPr>
            <w:tcW w:type="dxa" w:w="2419"/>
          </w:tcPr>
          <w:p>
            <w:r>
              <w:rPr>
                <w:sz w:val="18"/>
                <w:szCs w:val="18"/>
              </w:rPr>
              <w:t xml:space="preserve">Architecture-aware risk management</w:t>
            </w:r>
          </w:p>
        </w:tc>
        <w:tc>
          <w:tcPr>
            <w:tcW w:type="dxa" w:w="1613"/>
          </w:tcPr>
          <w:p>
            <w:r>
              <w:rPr>
                <w:sz w:val="18"/>
                <w:szCs w:val="18"/>
              </w:rPr>
              <w:t xml:space="preserve">AP-001</w:t>
            </w:r>
          </w:p>
        </w:tc>
        <w:tc>
          <w:tcPr>
            <w:tcW w:type="dxa" w:w="6048"/>
          </w:tcPr>
          <w:p>
            <w:r>
              <w:rPr>
                <w:sz w:val="18"/>
                <w:szCs w:val="18"/>
              </w:rPr>
              <w:t xml:space="preserve">Risk exposure is assessed against the live, approved architecture baseline (Phase A.3), not against EEP-01 Phase A's superseded design.</w:t>
            </w:r>
          </w:p>
        </w:tc>
      </w:tr>
      <w:tr>
        <w:tc>
          <w:tcPr>
            <w:tcW w:type="dxa" w:w="2419"/>
          </w:tcPr>
          <w:p>
            <w:r>
              <w:rPr>
                <w:sz w:val="18"/>
                <w:szCs w:val="18"/>
              </w:rPr>
              <w:t xml:space="preserve">Repository-aware risk management</w:t>
            </w:r>
          </w:p>
        </w:tc>
        <w:tc>
          <w:tcPr>
            <w:tcW w:type="dxa" w:w="1613"/>
          </w:tcPr>
          <w:p>
            <w:r>
              <w:rPr>
                <w:sz w:val="18"/>
                <w:szCs w:val="18"/>
              </w:rPr>
              <w:t xml:space="preserve">AP-002</w:t>
            </w:r>
          </w:p>
        </w:tc>
        <w:tc>
          <w:tcPr>
            <w:tcW w:type="dxa" w:w="6048"/>
          </w:tcPr>
          <w:p>
            <w:r>
              <w:rPr>
                <w:sz w:val="18"/>
                <w:szCs w:val="18"/>
              </w:rPr>
              <w:t xml:space="preserve">Risk ratings are stated per repository category (Documentation, Database, Test) exactly as scoped in Section 3 §6, not asserted enterprise-wide.</w:t>
            </w:r>
          </w:p>
        </w:tc>
      </w:tr>
      <w:tr>
        <w:tc>
          <w:tcPr>
            <w:tcW w:type="dxa" w:w="2419"/>
          </w:tcPr>
          <w:p>
            <w:r>
              <w:rPr>
                <w:sz w:val="18"/>
                <w:szCs w:val="18"/>
              </w:rPr>
              <w:t xml:space="preserve">Risk-first implementation</w:t>
            </w:r>
          </w:p>
        </w:tc>
        <w:tc>
          <w:tcPr>
            <w:tcW w:type="dxa" w:w="1613"/>
          </w:tcPr>
          <w:p>
            <w:r>
              <w:rPr>
                <w:sz w:val="18"/>
                <w:szCs w:val="18"/>
              </w:rPr>
              <w:t xml:space="preserve">Phase B §2</w:t>
            </w:r>
          </w:p>
        </w:tc>
        <w:tc>
          <w:tcPr>
            <w:tcW w:type="dxa" w:w="6048"/>
          </w:tcPr>
          <w:p>
            <w:r>
              <w:rPr>
                <w:sz w:val="18"/>
                <w:szCs w:val="18"/>
              </w:rPr>
              <w:t xml:space="preserve">WP-0002 (unverified security gap) and WP-0006 (blocking governance gap) remain sequenced into Wave 1, ahead of lower-risk items, unchanged from Section 1 §2.</w:t>
            </w:r>
          </w:p>
        </w:tc>
      </w:tr>
      <w:tr>
        <w:tc>
          <w:tcPr>
            <w:tcW w:type="dxa" w:w="2419"/>
          </w:tcPr>
          <w:p>
            <w:r>
              <w:rPr>
                <w:sz w:val="18"/>
                <w:szCs w:val="18"/>
              </w:rPr>
              <w:t xml:space="preserve">Governance-controlled mitigation</w:t>
            </w:r>
          </w:p>
        </w:tc>
        <w:tc>
          <w:tcPr>
            <w:tcW w:type="dxa" w:w="1613"/>
          </w:tcPr>
          <w:p>
            <w:r>
              <w:rPr>
                <w:sz w:val="18"/>
                <w:szCs w:val="18"/>
              </w:rPr>
              <w:t xml:space="preserve">AP-003 / AP-006</w:t>
            </w:r>
          </w:p>
        </w:tc>
        <w:tc>
          <w:tcPr>
            <w:tcW w:type="dxa" w:w="6048"/>
          </w:tcPr>
          <w:p>
            <w:r>
              <w:rPr>
                <w:sz w:val="18"/>
                <w:szCs w:val="18"/>
              </w:rPr>
              <w:t xml:space="preserve">Every mitigation in §4.I below is either an already-dispositioned EGD or a pre-approved contingency action (Section 6 §8); no mitigation requires new governance to execute.</w:t>
            </w:r>
          </w:p>
        </w:tc>
      </w:tr>
      <w:tr>
        <w:tc>
          <w:tcPr>
            <w:tcW w:type="dxa" w:w="2419"/>
          </w:tcPr>
          <w:p>
            <w:r>
              <w:rPr>
                <w:sz w:val="18"/>
                <w:szCs w:val="18"/>
              </w:rPr>
              <w:t xml:space="preserve">Continuous monitoring</w:t>
            </w:r>
          </w:p>
        </w:tc>
        <w:tc>
          <w:tcPr>
            <w:tcW w:type="dxa" w:w="1613"/>
          </w:tcPr>
          <w:p>
            <w:r>
              <w:rPr>
                <w:sz w:val="18"/>
                <w:szCs w:val="18"/>
              </w:rPr>
              <w:t xml:space="preserve">AP-008</w:t>
            </w:r>
          </w:p>
        </w:tc>
        <w:tc>
          <w:tcPr>
            <w:tcW w:type="dxa" w:w="6048"/>
          </w:tcPr>
          <w:p>
            <w:r>
              <w:rPr>
                <w:sz w:val="18"/>
                <w:szCs w:val="18"/>
              </w:rPr>
              <w:t xml:space="preserve">Deferred-item risks (VAR-01, VAR-03, VAR-04; EGD-0001, 0004, 0005, 0006) are monitored on a quarterly cadence against their stated triggers, not neglected.</w:t>
            </w:r>
          </w:p>
        </w:tc>
      </w:tr>
      <w:tr>
        <w:tc>
          <w:tcPr>
            <w:tcW w:type="dxa" w:w="2419"/>
          </w:tcPr>
          <w:p>
            <w:r>
              <w:rPr>
                <w:sz w:val="18"/>
                <w:szCs w:val="18"/>
              </w:rPr>
              <w:t xml:space="preserve">Incremental risk reduction</w:t>
            </w:r>
          </w:p>
        </w:tc>
        <w:tc>
          <w:tcPr>
            <w:tcW w:type="dxa" w:w="1613"/>
          </w:tcPr>
          <w:p>
            <w:r>
              <w:rPr>
                <w:sz w:val="18"/>
                <w:szCs w:val="18"/>
              </w:rPr>
              <w:t xml:space="preserve">Phase B §2</w:t>
            </w:r>
          </w:p>
        </w:tc>
        <w:tc>
          <w:tcPr>
            <w:tcW w:type="dxa" w:w="6048"/>
          </w:tcPr>
          <w:p>
            <w:r>
              <w:rPr>
                <w:sz w:val="18"/>
                <w:szCs w:val="18"/>
              </w:rPr>
              <w:t xml:space="preserve">Risk closes as each Work Package executes and its associated KPI reaches target (KPI-06, KPI-08, KPI-09), not via a single large-scale remediation.</w:t>
            </w:r>
          </w:p>
        </w:tc>
      </w:tr>
      <w:tr>
        <w:tc>
          <w:tcPr>
            <w:tcW w:type="dxa" w:w="2419"/>
          </w:tcPr>
          <w:p>
            <w:r>
              <w:rPr>
                <w:sz w:val="18"/>
                <w:szCs w:val="18"/>
              </w:rPr>
              <w:t xml:space="preserve">Traceability preservation</w:t>
            </w:r>
          </w:p>
        </w:tc>
        <w:tc>
          <w:tcPr>
            <w:tcW w:type="dxa" w:w="1613"/>
          </w:tcPr>
          <w:p>
            <w:r>
              <w:rPr>
                <w:sz w:val="18"/>
                <w:szCs w:val="18"/>
              </w:rPr>
              <w:t xml:space="preserve">AP-005</w:t>
            </w:r>
          </w:p>
        </w:tc>
        <w:tc>
          <w:tcPr>
            <w:tcW w:type="dxa" w:w="6048"/>
          </w:tcPr>
          <w:p>
            <w:r>
              <w:rPr>
                <w:sz w:val="18"/>
                <w:szCs w:val="18"/>
              </w:rPr>
              <w:t xml:space="preserve">Every risk traces to its AR, EGD, VAR, Repository, and KPI exactly as Phase A.3 §7 established; no traceability link is broken by this matrix.</w:t>
            </w:r>
          </w:p>
        </w:tc>
      </w:tr>
      <w:tr>
        <w:tc>
          <w:tcPr>
            <w:tcW w:type="dxa" w:w="2419"/>
          </w:tcPr>
          <w:p>
            <w:r>
              <w:rPr>
                <w:sz w:val="18"/>
                <w:szCs w:val="18"/>
              </w:rPr>
              <w:t xml:space="preserve">Certification protection</w:t>
            </w:r>
          </w:p>
        </w:tc>
        <w:tc>
          <w:tcPr>
            <w:tcW w:type="dxa" w:w="1613"/>
          </w:tcPr>
          <w:p>
            <w:r>
              <w:rPr>
                <w:sz w:val="18"/>
                <w:szCs w:val="18"/>
              </w:rPr>
              <w:t xml:space="preserve">Phase A.3 §11</w:t>
            </w:r>
          </w:p>
        </w:tc>
        <w:tc>
          <w:tcPr>
            <w:tcW w:type="dxa" w:w="6048"/>
          </w:tcPr>
          <w:p>
            <w:r>
              <w:rPr>
                <w:sz w:val="18"/>
                <w:szCs w:val="18"/>
              </w:rPr>
              <w:t xml:space="preserve">Unmanaged risk is treated as a direct threat to Certification Level L4 progression (AR-0002, AR-0007); this matrix exists to protect that progression, not to duplicate it.</w:t>
            </w:r>
          </w:p>
        </w:tc>
      </w:tr>
      <w:tr>
        <w:tc>
          <w:tcPr>
            <w:tcW w:type="dxa" w:w="2419"/>
          </w:tcPr>
          <w:p>
            <w:r>
              <w:rPr>
                <w:sz w:val="18"/>
                <w:szCs w:val="18"/>
              </w:rPr>
              <w:t xml:space="preserve">Continuous improvement</w:t>
            </w:r>
          </w:p>
        </w:tc>
        <w:tc>
          <w:tcPr>
            <w:tcW w:type="dxa" w:w="1613"/>
          </w:tcPr>
          <w:p>
            <w:r>
              <w:rPr>
                <w:sz w:val="18"/>
                <w:szCs w:val="18"/>
              </w:rPr>
              <w:t xml:space="preserve">AP-008 / Phase A.3 §12</w:t>
            </w:r>
          </w:p>
        </w:tc>
        <w:tc>
          <w:tcPr>
            <w:tcW w:type="dxa" w:w="6048"/>
          </w:tcPr>
          <w:p>
            <w:r>
              <w:rPr>
                <w:sz w:val="18"/>
                <w:szCs w:val="18"/>
              </w:rPr>
              <w:t xml:space="preserve">Risk monitoring feeds the same quarterly trigger-review cadence (KPI-05, KPI-10) already established for deferred decisions.</w:t>
            </w:r>
          </w:p>
        </w:tc>
      </w:tr>
    </w:tbl>
    <w:p>
      <w:pPr>
        <w:pStyle w:val="Heading2"/>
        <w:spacing w:after="160" w:before="360"/>
      </w:pPr>
      <w:r>
        <w:t xml:space="preserve">3. Enterprise Risk Framework</w:t>
      </w:r>
    </w:p>
    <w:p>
      <w:pPr>
        <w:spacing w:after="160"/>
      </w:pPr>
      <w:r>
        <w:t xml:space="preserve">The approved baseline evidences one explicit risk/non-conformance-handling pattern — applied consistently across WP-0002 and WP-0005 — in which a confirmed gap triggers immediate, pre-approved contingency action rather than a new planning cycle (Phase B §10; Section 6 §8). This framework extends that same evidenced pattern to the general enterprise risk lifecycle rather than inventing a separate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427"/>
        <w:gridCol w:w="4637"/>
      </w:tblGrid>
      <w:tr>
        <w:trPr>
          <w:tblHeader/>
        </w:trPr>
        <w:tc>
          <w:tcPr>
            <w:tcW w:type="dxa" w:w="2016"/>
            <w:shd w:fill="D9D9D9" w:color="auto" w:val="clear"/>
          </w:tcPr>
          <w:p>
            <w:r>
              <w:rPr>
                <w:b/>
                <w:bCs/>
                <w:sz w:val="18"/>
                <w:szCs w:val="18"/>
              </w:rPr>
              <w:t xml:space="preserve">Lifecycle Stage</w:t>
            </w:r>
          </w:p>
        </w:tc>
        <w:tc>
          <w:tcPr>
            <w:tcW w:type="dxa" w:w="3427"/>
            <w:shd w:fill="D9D9D9" w:color="auto" w:val="clear"/>
          </w:tcPr>
          <w:p>
            <w:r>
              <w:rPr>
                <w:b/>
                <w:bCs/>
                <w:sz w:val="18"/>
                <w:szCs w:val="18"/>
              </w:rPr>
              <w:t xml:space="preserve">Objective</w:t>
            </w:r>
          </w:p>
        </w:tc>
        <w:tc>
          <w:tcPr>
            <w:tcW w:type="dxa" w:w="4637"/>
            <w:shd w:fill="D9D9D9" w:color="auto" w:val="clear"/>
          </w:tcPr>
          <w:p>
            <w:r>
              <w:rPr>
                <w:b/>
                <w:bCs/>
                <w:sz w:val="18"/>
                <w:szCs w:val="18"/>
              </w:rPr>
              <w:t xml:space="preserve">Approved Evidence / Process</w:t>
            </w:r>
          </w:p>
        </w:tc>
      </w:tr>
      <w:tr>
        <w:tc>
          <w:tcPr>
            <w:tcW w:type="dxa" w:w="2016"/>
          </w:tcPr>
          <w:p>
            <w:r>
              <w:rPr>
                <w:sz w:val="18"/>
                <w:szCs w:val="18"/>
              </w:rPr>
              <w:t xml:space="preserve">Risk identification</w:t>
            </w:r>
          </w:p>
        </w:tc>
        <w:tc>
          <w:tcPr>
            <w:tcW w:type="dxa" w:w="3427"/>
          </w:tcPr>
          <w:p>
            <w:r>
              <w:rPr>
                <w:sz w:val="18"/>
                <w:szCs w:val="18"/>
              </w:rPr>
              <w:t xml:space="preserve">Surface risk without a separate scanning process beyond what each Work Package already defines.</w:t>
            </w:r>
          </w:p>
        </w:tc>
        <w:tc>
          <w:tcPr>
            <w:tcW w:type="dxa" w:w="4637"/>
          </w:tcPr>
          <w:p>
            <w:r>
              <w:rPr>
                <w:sz w:val="18"/>
                <w:szCs w:val="18"/>
              </w:rPr>
              <w:t xml:space="preserve">Verification methods already defined per Work Package in Section 4/Section 5 (e.g., WP-0002's query-based RLS check) are the identification mechanism (Section 6 §8).</w:t>
            </w:r>
          </w:p>
        </w:tc>
      </w:tr>
      <w:tr>
        <w:tc>
          <w:tcPr>
            <w:tcW w:type="dxa" w:w="2016"/>
          </w:tcPr>
          <w:p>
            <w:r>
              <w:rPr>
                <w:sz w:val="18"/>
                <w:szCs w:val="18"/>
              </w:rPr>
              <w:t xml:space="preserve">Risk assessment</w:t>
            </w:r>
          </w:p>
        </w:tc>
        <w:tc>
          <w:tcPr>
            <w:tcW w:type="dxa" w:w="3427"/>
          </w:tcPr>
          <w:p>
            <w:r>
              <w:rPr>
                <w:sz w:val="18"/>
                <w:szCs w:val="18"/>
              </w:rPr>
              <w:t xml:space="preserve">Determine likelihood and impact using existing classifications, not a new scoring model.</w:t>
            </w:r>
          </w:p>
        </w:tc>
        <w:tc>
          <w:tcPr>
            <w:tcW w:type="dxa" w:w="4637"/>
          </w:tcPr>
          <w:p>
            <w:r>
              <w:rPr>
                <w:sz w:val="18"/>
                <w:szCs w:val="18"/>
              </w:rPr>
              <w:t xml:space="preserve">Risk Classification field per Work Package (Section 2 §2) and the Probability/Impact columns of the Phase B §10 Enterprise Risk &amp; Dependency Plan.</w:t>
            </w:r>
          </w:p>
        </w:tc>
      </w:tr>
      <w:tr>
        <w:tc>
          <w:tcPr>
            <w:tcW w:type="dxa" w:w="2016"/>
          </w:tcPr>
          <w:p>
            <w:r>
              <w:rPr>
                <w:sz w:val="18"/>
                <w:szCs w:val="18"/>
              </w:rPr>
              <w:t xml:space="preserve">Risk classification</w:t>
            </w:r>
          </w:p>
        </w:tc>
        <w:tc>
          <w:tcPr>
            <w:tcW w:type="dxa" w:w="3427"/>
          </w:tcPr>
          <w:p>
            <w:r>
              <w:rPr>
                <w:sz w:val="18"/>
                <w:szCs w:val="18"/>
              </w:rPr>
              <w:t xml:space="preserve">Distinguish Architecture, Governance, Repository, Engineering, Security, and Delivery risk without inventing new categories.</w:t>
            </w:r>
          </w:p>
        </w:tc>
        <w:tc>
          <w:tcPr>
            <w:tcW w:type="dxa" w:w="4637"/>
          </w:tcPr>
          <w:p>
            <w:r>
              <w:rPr>
                <w:sz w:val="18"/>
                <w:szCs w:val="18"/>
              </w:rPr>
              <w:t xml:space="preserve">Section 3 §6 Repository Risk Assessment's six risk dimensions (Change, Verification, Documentation, Migration, Security, Operational), applied per repository category.</w:t>
            </w:r>
          </w:p>
        </w:tc>
      </w:tr>
      <w:tr>
        <w:tc>
          <w:tcPr>
            <w:tcW w:type="dxa" w:w="2016"/>
          </w:tcPr>
          <w:p>
            <w:r>
              <w:rPr>
                <w:sz w:val="18"/>
                <w:szCs w:val="18"/>
              </w:rPr>
              <w:t xml:space="preserve">Risk ownership</w:t>
            </w:r>
          </w:p>
        </w:tc>
        <w:tc>
          <w:tcPr>
            <w:tcW w:type="dxa" w:w="3427"/>
          </w:tcPr>
          <w:p>
            <w:r>
              <w:rPr>
                <w:sz w:val="18"/>
                <w:szCs w:val="18"/>
              </w:rPr>
              <w:t xml:space="preserve">Assign a named, accountable owner to every risk.</w:t>
            </w:r>
          </w:p>
        </w:tc>
        <w:tc>
          <w:tcPr>
            <w:tcW w:type="dxa" w:w="4637"/>
          </w:tcPr>
          <w:p>
            <w:r>
              <w:rPr>
                <w:sz w:val="18"/>
                <w:szCs w:val="18"/>
              </w:rPr>
              <w:t xml:space="preserve">The five roles named in Phase B §9, all currently unassigned pending WP-0006 (KPI-08 = 0%).</w:t>
            </w:r>
          </w:p>
        </w:tc>
      </w:tr>
      <w:tr>
        <w:tc>
          <w:tcPr>
            <w:tcW w:type="dxa" w:w="2016"/>
          </w:tcPr>
          <w:p>
            <w:r>
              <w:rPr>
                <w:sz w:val="18"/>
                <w:szCs w:val="18"/>
              </w:rPr>
              <w:t xml:space="preserve">Mitigation planning</w:t>
            </w:r>
          </w:p>
        </w:tc>
        <w:tc>
          <w:tcPr>
            <w:tcW w:type="dxa" w:w="3427"/>
          </w:tcPr>
          <w:p>
            <w:r>
              <w:rPr>
                <w:sz w:val="18"/>
                <w:szCs w:val="18"/>
              </w:rPr>
              <w:t xml:space="preserve">Define mitigation without new governance where an EGD already dispositions the risk.</w:t>
            </w:r>
          </w:p>
        </w:tc>
        <w:tc>
          <w:tcPr>
            <w:tcW w:type="dxa" w:w="4637"/>
          </w:tcPr>
          <w:p>
            <w:r>
              <w:rPr>
                <w:sz w:val="18"/>
                <w:szCs w:val="18"/>
              </w:rPr>
              <w:t xml:space="preserve">Mitigation column of Phase B §10; no risk mitigation in this matrix requires a new EGD to execute.</w:t>
            </w:r>
          </w:p>
        </w:tc>
      </w:tr>
      <w:tr>
        <w:tc>
          <w:tcPr>
            <w:tcW w:type="dxa" w:w="2016"/>
          </w:tcPr>
          <w:p>
            <w:r>
              <w:rPr>
                <w:sz w:val="18"/>
                <w:szCs w:val="18"/>
              </w:rPr>
              <w:t xml:space="preserve">Control implementation</w:t>
            </w:r>
          </w:p>
        </w:tc>
        <w:tc>
          <w:tcPr>
            <w:tcW w:type="dxa" w:w="3427"/>
          </w:tcPr>
          <w:p>
            <w:r>
              <w:rPr>
                <w:sz w:val="18"/>
                <w:szCs w:val="18"/>
              </w:rPr>
              <w:t xml:space="preserve">Apply preventive, detective, and corrective controls already evidenced per Work Package.</w:t>
            </w:r>
          </w:p>
        </w:tc>
        <w:tc>
          <w:tcPr>
            <w:tcW w:type="dxa" w:w="4637"/>
          </w:tcPr>
          <w:p>
            <w:r>
              <w:rPr>
                <w:sz w:val="18"/>
                <w:szCs w:val="18"/>
              </w:rPr>
              <w:t xml:space="preserve">Section 5 Rollback Strategy (§F per Work Package) and Section 6 §8 corrective-action pattern (pre-approved, contingency-only).</w:t>
            </w:r>
          </w:p>
        </w:tc>
      </w:tr>
      <w:tr>
        <w:tc>
          <w:tcPr>
            <w:tcW w:type="dxa" w:w="2016"/>
          </w:tcPr>
          <w:p>
            <w:r>
              <w:rPr>
                <w:sz w:val="18"/>
                <w:szCs w:val="18"/>
              </w:rPr>
              <w:t xml:space="preserve">Monitoring</w:t>
            </w:r>
          </w:p>
        </w:tc>
        <w:tc>
          <w:tcPr>
            <w:tcW w:type="dxa" w:w="3427"/>
          </w:tcPr>
          <w:p>
            <w:r>
              <w:rPr>
                <w:sz w:val="18"/>
                <w:szCs w:val="18"/>
              </w:rPr>
              <w:t xml:space="preserve">Track risk on the same quarterly cadence as deferred EGDs, not a separate SLA.</w:t>
            </w:r>
          </w:p>
        </w:tc>
        <w:tc>
          <w:tcPr>
            <w:tcW w:type="dxa" w:w="4637"/>
          </w:tcPr>
          <w:p>
            <w:r>
              <w:rPr>
                <w:sz w:val="18"/>
                <w:szCs w:val="18"/>
              </w:rPr>
              <w:t xml:space="preserve">KPI-05 (Deferred Decisions), KPI-10 (Architecture Review SLA), and the quarterly trigger-review cadence (Phase A.3 §10).</w:t>
            </w:r>
          </w:p>
        </w:tc>
      </w:tr>
      <w:tr>
        <w:tc>
          <w:tcPr>
            <w:tcW w:type="dxa" w:w="2016"/>
          </w:tcPr>
          <w:p>
            <w:r>
              <w:rPr>
                <w:sz w:val="18"/>
                <w:szCs w:val="18"/>
              </w:rPr>
              <w:t xml:space="preserve">Reassessment</w:t>
            </w:r>
          </w:p>
        </w:tc>
        <w:tc>
          <w:tcPr>
            <w:tcW w:type="dxa" w:w="3427"/>
          </w:tcPr>
          <w:p>
            <w:r>
              <w:rPr>
                <w:sz w:val="18"/>
                <w:szCs w:val="18"/>
              </w:rPr>
              <w:t xml:space="preserve">Re-run the same verification method after a corrective action; no separate re-validation procedure is evidenced.</w:t>
            </w:r>
          </w:p>
        </w:tc>
        <w:tc>
          <w:tcPr>
            <w:tcW w:type="dxa" w:w="4637"/>
          </w:tcPr>
          <w:p>
            <w:r>
              <w:rPr>
                <w:sz w:val="18"/>
                <w:szCs w:val="18"/>
              </w:rPr>
              <w:t xml:space="preserve">Section 6 §8 Re-validation row; Section 7 §3 Re-testing row.</w:t>
            </w:r>
          </w:p>
        </w:tc>
      </w:tr>
      <w:tr>
        <w:tc>
          <w:tcPr>
            <w:tcW w:type="dxa" w:w="2016"/>
          </w:tcPr>
          <w:p>
            <w:r>
              <w:rPr>
                <w:sz w:val="18"/>
                <w:szCs w:val="18"/>
              </w:rPr>
              <w:t xml:space="preserve">Closure</w:t>
            </w:r>
          </w:p>
        </w:tc>
        <w:tc>
          <w:tcPr>
            <w:tcW w:type="dxa" w:w="3427"/>
          </w:tcPr>
          <w:p>
            <w:r>
              <w:rPr>
                <w:sz w:val="18"/>
                <w:szCs w:val="18"/>
              </w:rPr>
              <w:t xml:space="preserve">Close a risk when its associated KPI reaches target value, consistent with each Work Package's own Completion Criteria.</w:t>
            </w:r>
          </w:p>
        </w:tc>
        <w:tc>
          <w:tcPr>
            <w:tcW w:type="dxa" w:w="4637"/>
          </w:tcPr>
          <w:p>
            <w:r>
              <w:rPr>
                <w:sz w:val="18"/>
                <w:szCs w:val="18"/>
              </w:rPr>
              <w:t xml:space="preserve">Section 4 (of this document) Completion Conditions, reused from Section 2 §2 subsection J per Work Package.</w:t>
            </w:r>
          </w:p>
        </w:tc>
      </w:tr>
    </w:tbl>
    <w:p>
      <w:pPr>
        <w:pStyle w:val="Heading2"/>
        <w:spacing w:after="160" w:before="360"/>
      </w:pPr>
      <w:r>
        <w:t xml:space="preserve">4. Work Package Risk Profiles</w:t>
      </w:r>
    </w:p>
    <w:p>
      <w:pPr>
        <w:spacing w:after="160"/>
      </w:pPr>
      <w:r>
        <w:t xml:space="preserve">Complete risk profile for each of the six approved Work Packages, WP-0001 through WP-0006, in the order established by Phase A.3 §9 and carried through Section 2 §2. Every field below is either (a) reused verbatim from Phase A.3, Phase B, or Sections 1–7, (b) a direct, non-speculative decomposition of that evidence into the risk-profile format this matrix requires, or (c) explicitly marked as not evidenced.</w:t>
      </w:r>
    </w:p>
    <w:p>
      <w:pPr>
        <w:pStyle w:val="Heading3"/>
        <w:spacing w:after="120" w:before="260"/>
      </w:pPr>
      <w:r>
        <w:t xml:space="preserve">WP-0001 — Revise EEP-01 Phase A Architecture Document to the Canonical Live-Schema Baseline</w:t>
      </w:r>
    </w:p>
    <w:p>
      <w:pPr>
        <w:spacing w:after="100" w:before="200"/>
      </w:pPr>
      <w:r>
        <w:rPr>
          <w:b/>
          <w:bCs/>
          <w:i/>
          <w:iCs/>
        </w:rPr>
        <w:t xml:space="preserve">A. Risk Overview</w:t>
      </w:r>
    </w:p>
    <w:p>
      <w:pPr>
        <w:spacing w:after="160"/>
      </w:pPr>
      <w:r>
        <w:t xml:space="preserve">Risk Objective: eliminate the documentation/maintainability risk rated High in Phase A.1 §13 — the single top-rated, confirmed risk in the enterprise baseline (Phase A.3 §14).</w:t>
      </w:r>
    </w:p>
    <w:p>
      <w:pPr>
        <w:spacing w:after="160"/>
      </w:pPr>
      <w:r>
        <w:t xml:space="preserve">Primary Implementation Risk: the current EEP-01 Phase A document describes a schema (academic_domain, 26 canonical tables) that was never built, actively misdirecting future engineering work (Phase A.1 §13; Section 3 §6 — Documentation Risk: High, confirmed, already occurring).</w:t>
      </w:r>
    </w:p>
    <w:p>
      <w:pPr>
        <w:spacing w:after="160"/>
      </w:pPr>
      <w:r>
        <w:t xml:space="preserve">Overall Risk Posture: technically Low (Risk Classification Low, Phase B §4) since this Work Package is corrective description, not redesign; the risk it addresses is business/documentation risk, not implementation risk.</w:t>
      </w:r>
    </w:p>
    <w:p>
      <w:pPr>
        <w:spacing w:after="100" w:before="200"/>
      </w:pPr>
      <w:r>
        <w:rPr>
          <w:b/>
          <w:bCs/>
          <w:i/>
          <w:iCs/>
        </w:rPr>
        <w:t xml:space="preserve">B. Architecture Risks</w:t>
      </w:r>
    </w:p>
    <w:p>
      <w:pPr>
        <w:pStyle w:val="ListParagraph"/>
        <w:numPr>
          <w:ilvl w:val="0"/>
          <w:numId w:val="1"/>
        </w:numPr>
        <w:spacing w:after="80"/>
      </w:pPr>
      <w:r>
        <w:t xml:space="preserve">AR-0002 (Naming Governance) is Non-conformant pending this Work Package; the document does not match the live public-schema table set (Phase A.3 §3).</w:t>
      </w:r>
    </w:p>
    <w:p>
      <w:pPr>
        <w:pStyle w:val="ListParagraph"/>
        <w:numPr>
          <w:ilvl w:val="0"/>
          <w:numId w:val="1"/>
        </w:numPr>
        <w:spacing w:after="80"/>
      </w:pPr>
      <w:r>
        <w:t xml:space="preserve">Traceability risk: until published, ER-0002 remains Superseded-pending-execution and VAR-02's one-time review remains open (Phase A.3 §5–6).</w:t>
      </w:r>
    </w:p>
    <w:p>
      <w:pPr>
        <w:pStyle w:val="ListParagraph"/>
        <w:numPr>
          <w:ilvl w:val="0"/>
          <w:numId w:val="1"/>
        </w:numPr>
        <w:spacing w:after="80"/>
      </w:pPr>
      <w:r>
        <w:t xml:space="preserve">No enterprise-principle risk beyond AP-002 (repository evidence governs) and AP-007 (VAR-02 requires a logged approval status), both already satisfied by the approved disposition.</w:t>
      </w:r>
    </w:p>
    <w:p>
      <w:pPr>
        <w:spacing w:after="100" w:before="200"/>
      </w:pPr>
      <w:r>
        <w:rPr>
          <w:b/>
          <w:bCs/>
          <w:i/>
          <w:iCs/>
        </w:rPr>
        <w:t xml:space="preserve">C. Governance Risks</w:t>
      </w:r>
    </w:p>
    <w:p>
      <w:pPr>
        <w:pStyle w:val="ListParagraph"/>
        <w:numPr>
          <w:ilvl w:val="0"/>
          <w:numId w:val="1"/>
        </w:numPr>
        <w:spacing w:after="80"/>
      </w:pPr>
      <w:r>
        <w:t xml:space="preserve">EGD-0002 is Accepted, execution = WP-0001 (Phase A.3 §4); no open governance-approval risk once WP-0006 assigns the Enterprise Architecture Owner.</w:t>
      </w:r>
    </w:p>
    <w:p>
      <w:pPr>
        <w:pStyle w:val="ListParagraph"/>
        <w:numPr>
          <w:ilvl w:val="0"/>
          <w:numId w:val="1"/>
        </w:numPr>
        <w:spacing w:after="80"/>
      </w:pPr>
      <w:r>
        <w:t xml:space="preserve">Ownership risk: the Responsible/Governance/Review/Approval Authority is named (Enterprise Architecture Owner) but carries no assigned individual, consistent with KPI-08 = 0% (Section 2, WP-0001.E).</w:t>
      </w:r>
    </w:p>
    <w:p>
      <w:pPr>
        <w:pStyle w:val="ListParagraph"/>
        <w:numPr>
          <w:ilvl w:val="0"/>
          <w:numId w:val="1"/>
        </w:numPr>
        <w:spacing w:after="80"/>
      </w:pPr>
      <w:r>
        <w:t xml:space="preserve">Certification risk: AR-0002 cannot advance to Certification Level L4 until this Work Package's zero-discrepancy diff is produced (Phase A.3 §7).</w:t>
      </w:r>
    </w:p>
    <w:p>
      <w:pPr>
        <w:spacing w:after="100" w:before="200"/>
      </w:pPr>
      <w:r>
        <w:rPr>
          <w:b/>
          <w:bCs/>
          <w:i/>
          <w:iCs/>
        </w:rPr>
        <w:t xml:space="preserve">D. Repository Risks — Documentation Repository (Section 3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4435"/>
        <w:gridCol w:w="4032"/>
      </w:tblGrid>
      <w:tr>
        <w:trPr>
          <w:tblHeader/>
        </w:trPr>
        <w:tc>
          <w:tcPr>
            <w:tcW w:type="dxa" w:w="1613"/>
            <w:shd w:fill="D9D9D9" w:color="auto" w:val="clear"/>
          </w:tcPr>
          <w:p>
            <w:r>
              <w:rPr>
                <w:b/>
                <w:bCs/>
                <w:sz w:val="18"/>
                <w:szCs w:val="18"/>
              </w:rPr>
              <w:t xml:space="preserve">Risk Dimension</w:t>
            </w:r>
          </w:p>
        </w:tc>
        <w:tc>
          <w:tcPr>
            <w:tcW w:type="dxa" w:w="4435"/>
            <w:shd w:fill="D9D9D9" w:color="auto" w:val="clear"/>
          </w:tcPr>
          <w:p>
            <w:r>
              <w:rPr>
                <w:b/>
                <w:bCs/>
                <w:sz w:val="18"/>
                <w:szCs w:val="18"/>
              </w:rPr>
              <w:t xml:space="preserve">Assessment</w:t>
            </w:r>
          </w:p>
        </w:tc>
        <w:tc>
          <w:tcPr>
            <w:tcW w:type="dxa" w:w="4032"/>
            <w:shd w:fill="D9D9D9" w:color="auto" w:val="clear"/>
          </w:tcPr>
          <w:p>
            <w:r>
              <w:rPr>
                <w:b/>
                <w:bCs/>
                <w:sz w:val="18"/>
                <w:szCs w:val="18"/>
              </w:rPr>
              <w:t xml:space="preserve">Mitigation</w:t>
            </w:r>
          </w:p>
        </w:tc>
      </w:tr>
      <w:tr>
        <w:tc>
          <w:tcPr>
            <w:tcW w:type="dxa" w:w="1613"/>
          </w:tcPr>
          <w:p>
            <w:r>
              <w:rPr>
                <w:sz w:val="18"/>
                <w:szCs w:val="18"/>
              </w:rPr>
              <w:t xml:space="preserve">Change Risk</w:t>
            </w:r>
          </w:p>
        </w:tc>
        <w:tc>
          <w:tcPr>
            <w:tcW w:type="dxa" w:w="4435"/>
          </w:tcPr>
          <w:p>
            <w:r>
              <w:rPr>
                <w:sz w:val="18"/>
                <w:szCs w:val="18"/>
              </w:rPr>
              <w:t xml:space="preserve">Low — WP-0001 is a description of existing structure, not a redesign.</w:t>
            </w:r>
          </w:p>
        </w:tc>
        <w:tc>
          <w:tcPr>
            <w:tcW w:type="dxa" w:w="4032"/>
          </w:tcPr>
          <w:p>
            <w:r>
              <w:rPr>
                <w:sz w:val="18"/>
                <w:szCs w:val="18"/>
              </w:rPr>
              <w:t xml:space="preserve">No new design risk is introduced; the document is corrected to match reality.</w:t>
            </w:r>
          </w:p>
        </w:tc>
      </w:tr>
      <w:tr>
        <w:tc>
          <w:tcPr>
            <w:tcW w:type="dxa" w:w="1613"/>
          </w:tcPr>
          <w:p>
            <w:r>
              <w:rPr>
                <w:sz w:val="18"/>
                <w:szCs w:val="18"/>
              </w:rPr>
              <w:t xml:space="preserve">Verification Risk</w:t>
            </w:r>
          </w:p>
        </w:tc>
        <w:tc>
          <w:tcPr>
            <w:tcW w:type="dxa" w:w="4435"/>
          </w:tcPr>
          <w:p>
            <w:r>
              <w:rPr>
                <w:sz w:val="18"/>
                <w:szCs w:val="18"/>
              </w:rPr>
              <w:t xml:space="preserve">Low — table inventory diff is a simple, deterministic check.</w:t>
            </w:r>
          </w:p>
        </w:tc>
        <w:tc>
          <w:tcPr>
            <w:tcW w:type="dxa" w:w="4032"/>
          </w:tcPr>
          <w:p>
            <w:r>
              <w:rPr>
                <w:sz w:val="18"/>
                <w:szCs w:val="18"/>
              </w:rPr>
              <w:t xml:space="preserve">Zero-discrepancy target is directly measurable.</w:t>
            </w:r>
          </w:p>
        </w:tc>
      </w:tr>
      <w:tr>
        <w:tc>
          <w:tcPr>
            <w:tcW w:type="dxa" w:w="1613"/>
          </w:tcPr>
          <w:p>
            <w:r>
              <w:rPr>
                <w:sz w:val="18"/>
                <w:szCs w:val="18"/>
              </w:rPr>
              <w:t xml:space="preserve">Documentation Risk</w:t>
            </w:r>
          </w:p>
        </w:tc>
        <w:tc>
          <w:tcPr>
            <w:tcW w:type="dxa" w:w="4435"/>
          </w:tcPr>
          <w:p>
            <w:r>
              <w:rPr>
                <w:sz w:val="18"/>
                <w:szCs w:val="18"/>
              </w:rPr>
              <w:t xml:space="preserve">High (confirmed, already occurring) — the current document describes a schema that was never built, actively misdirecting future work.</w:t>
            </w:r>
          </w:p>
        </w:tc>
        <w:tc>
          <w:tcPr>
            <w:tcW w:type="dxa" w:w="4032"/>
          </w:tcPr>
          <w:p>
            <w:r>
              <w:rPr>
                <w:sz w:val="18"/>
                <w:szCs w:val="18"/>
              </w:rPr>
              <w:t xml:space="preserve">WP-0001 publishes the revised document; interim mitigation is to treat Phase A.1/A.3 as the authoritative schema reference until WP-0001 lands.</w:t>
            </w:r>
          </w:p>
        </w:tc>
      </w:tr>
      <w:tr>
        <w:tc>
          <w:tcPr>
            <w:tcW w:type="dxa" w:w="1613"/>
          </w:tcPr>
          <w:p>
            <w:r>
              <w:rPr>
                <w:sz w:val="18"/>
                <w:szCs w:val="18"/>
              </w:rPr>
              <w:t xml:space="preserve">Migration Risk</w:t>
            </w:r>
          </w:p>
        </w:tc>
        <w:tc>
          <w:tcPr>
            <w:tcW w:type="dxa" w:w="4435"/>
          </w:tcPr>
          <w:p>
            <w:r>
              <w:rPr>
                <w:sz w:val="18"/>
                <w:szCs w:val="18"/>
              </w:rPr>
              <w:t xml:space="preserve">Not Applicable — no migration in this repository's scope.</w:t>
            </w:r>
          </w:p>
        </w:tc>
        <w:tc>
          <w:tcPr>
            <w:tcW w:type="dxa" w:w="4032"/>
          </w:tcPr>
          <w:p>
            <w:r>
              <w:rPr>
                <w:sz w:val="18"/>
                <w:szCs w:val="18"/>
              </w:rPr>
              <w:t xml:space="preserve">N/A.</w:t>
            </w:r>
          </w:p>
        </w:tc>
      </w:tr>
      <w:tr>
        <w:tc>
          <w:tcPr>
            <w:tcW w:type="dxa" w:w="1613"/>
          </w:tcPr>
          <w:p>
            <w:r>
              <w:rPr>
                <w:sz w:val="18"/>
                <w:szCs w:val="18"/>
              </w:rPr>
              <w:t xml:space="preserve">Security Risk</w:t>
            </w:r>
          </w:p>
        </w:tc>
        <w:tc>
          <w:tcPr>
            <w:tcW w:type="dxa" w:w="4435"/>
          </w:tcPr>
          <w:p>
            <w:r>
              <w:rPr>
                <w:sz w:val="18"/>
                <w:szCs w:val="18"/>
              </w:rPr>
              <w:t xml:space="preserve">Not Applicable to this repository category.</w:t>
            </w:r>
          </w:p>
        </w:tc>
        <w:tc>
          <w:tcPr>
            <w:tcW w:type="dxa" w:w="4032"/>
          </w:tcPr>
          <w:p>
            <w:r>
              <w:rPr>
                <w:sz w:val="18"/>
                <w:szCs w:val="18"/>
              </w:rPr>
              <w:t xml:space="preserve">N/A.</w:t>
            </w:r>
          </w:p>
        </w:tc>
      </w:tr>
      <w:tr>
        <w:tc>
          <w:tcPr>
            <w:tcW w:type="dxa" w:w="1613"/>
          </w:tcPr>
          <w:p>
            <w:r>
              <w:rPr>
                <w:sz w:val="18"/>
                <w:szCs w:val="18"/>
              </w:rPr>
              <w:t xml:space="preserve">Operational Risk</w:t>
            </w:r>
          </w:p>
        </w:tc>
        <w:tc>
          <w:tcPr>
            <w:tcW w:type="dxa" w:w="4435"/>
          </w:tcPr>
          <w:p>
            <w:r>
              <w:rPr>
                <w:sz w:val="18"/>
                <w:szCs w:val="18"/>
              </w:rPr>
              <w:t xml:space="preserve">Not Evidenced in Current Baseline.</w:t>
            </w:r>
          </w:p>
        </w:tc>
        <w:tc>
          <w:tcPr>
            <w:tcW w:type="dxa" w:w="4032"/>
          </w:tcPr>
          <w:p>
            <w:r>
              <w:rPr>
                <w:sz w:val="18"/>
                <w:szCs w:val="18"/>
              </w:rPr>
              <w:t xml:space="preserve">N/A.</w:t>
            </w:r>
          </w:p>
        </w:tc>
      </w:tr>
    </w:tbl>
    <w:p>
      <w:pPr>
        <w:spacing w:after="200"/>
      </w:pPr>
    </w:p>
    <w:p>
      <w:pPr>
        <w:spacing w:after="100" w:before="200"/>
      </w:pPr>
      <w:r>
        <w:rPr>
          <w:b/>
          <w:bCs/>
          <w:i/>
          <w:iCs/>
        </w:rPr>
        <w:t xml:space="preserve">E. Engineering Risks</w:t>
      </w:r>
    </w:p>
    <w:p>
      <w:pPr>
        <w:pStyle w:val="ListParagraph"/>
        <w:numPr>
          <w:ilvl w:val="0"/>
          <w:numId w:val="1"/>
        </w:numPr>
        <w:spacing w:after="80"/>
      </w:pPr>
      <w:r>
        <w:t xml:space="preserve">Implementation Complexity: Low — documentation authoring only, no technical design (Phase A.3 §9).</w:t>
      </w:r>
    </w:p>
    <w:p>
      <w:pPr>
        <w:pStyle w:val="ListParagraph"/>
        <w:numPr>
          <w:ilvl w:val="0"/>
          <w:numId w:val="1"/>
        </w:numPr>
        <w:spacing w:after="80"/>
      </w:pPr>
      <w:r>
        <w:t xml:space="preserve">Verification Dependency: Low — table inventory diff against live schema (\dt public.*) with zero discrepancies (Phase A.3 §7).</w:t>
      </w:r>
    </w:p>
    <w:p>
      <w:pPr>
        <w:pStyle w:val="ListParagraph"/>
        <w:numPr>
          <w:ilvl w:val="0"/>
          <w:numId w:val="1"/>
        </w:numPr>
        <w:spacing w:after="80"/>
      </w:pPr>
      <w:r>
        <w:t xml:space="preserve">Rollback Dependency: Not Applicable in the migration sense — this Work Package makes no database change (Section 5 §F, WP-0001).</w:t>
      </w:r>
    </w:p>
    <w:p>
      <w:pPr>
        <w:pStyle w:val="ListParagraph"/>
        <w:numPr>
          <w:ilvl w:val="0"/>
          <w:numId w:val="1"/>
        </w:numPr>
        <w:spacing w:after="80"/>
      </w:pPr>
      <w:r>
        <w:t xml:space="preserve">Engineering Readiness: Immediately startable; WP-0006 owner assignment recommended first but not strictly blocking (Phase A.3 §8).</w:t>
      </w:r>
    </w:p>
    <w:p>
      <w:pPr>
        <w:spacing w:after="100" w:before="200"/>
      </w:pPr>
      <w:r>
        <w:rPr>
          <w:b/>
          <w:bCs/>
          <w:i/>
          <w:iCs/>
        </w:rPr>
        <w:t xml:space="preserve">F. Security Risks</w:t>
      </w:r>
    </w:p>
    <w:p>
      <w:pPr>
        <w:spacing w:after="160"/>
      </w:pPr>
      <w:r>
        <w:t xml:space="preserve">Not Applicable to this Work Package — RLS coverage is governed separately under WP-0002 / AR-0007 (Section 2, WP-0001.D).</w:t>
      </w:r>
    </w:p>
    <w:p>
      <w:pPr>
        <w:spacing w:after="100" w:before="200"/>
      </w:pPr>
      <w:r>
        <w:rPr>
          <w:b/>
          <w:bCs/>
          <w:i/>
          <w:iCs/>
        </w:rPr>
        <w:t xml:space="preserve">G. Delivery Risks</w:t>
      </w:r>
    </w:p>
    <w:p>
      <w:pPr>
        <w:pStyle w:val="ListParagraph"/>
        <w:numPr>
          <w:ilvl w:val="0"/>
          <w:numId w:val="1"/>
        </w:numPr>
        <w:spacing w:after="80"/>
      </w:pPr>
      <w:r>
        <w:t xml:space="preserve">Scheduling Risk: Low — 1 documentation session, Wave 2 (Platform Stabilization) (Phase A.3 §9; Phase B §5).</w:t>
      </w:r>
    </w:p>
    <w:p>
      <w:pPr>
        <w:pStyle w:val="ListParagraph"/>
        <w:numPr>
          <w:ilvl w:val="0"/>
          <w:numId w:val="1"/>
        </w:numPr>
        <w:spacing w:after="80"/>
      </w:pPr>
      <w:r>
        <w:t xml:space="preserve">Dependency Risk: None strictly blocking; WP-0006 is a recommended, non-blocking predecessor (Section 2, WP-0001.F).</w:t>
      </w:r>
    </w:p>
    <w:p>
      <w:pPr>
        <w:pStyle w:val="ListParagraph"/>
        <w:numPr>
          <w:ilvl w:val="0"/>
          <w:numId w:val="1"/>
        </w:numPr>
        <w:spacing w:after="80"/>
      </w:pPr>
      <w:r>
        <w:t xml:space="preserve">Resource Risk: Enterprise Architecture Owner role currently unassigned (KPI-08 = 0%).</w:t>
      </w:r>
    </w:p>
    <w:p>
      <w:pPr>
        <w:pStyle w:val="ListParagraph"/>
        <w:numPr>
          <w:ilvl w:val="0"/>
          <w:numId w:val="1"/>
        </w:numPr>
        <w:spacing w:after="80"/>
      </w:pPr>
      <w:r>
        <w:t xml:space="preserve">Approval Risk: None evidenced beyond the named Approval Authority becoming active once WP-0006 completes.</w:t>
      </w:r>
    </w:p>
    <w:p>
      <w:pPr>
        <w:spacing w:after="100" w:before="200"/>
      </w:pPr>
      <w:r>
        <w:rPr>
          <w:b/>
          <w:bCs/>
          <w:i/>
          <w:iCs/>
        </w:rPr>
        <w:t xml:space="preserve">H. Risk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D9D9D9" w:color="auto" w:val="clear"/>
          </w:tcPr>
          <w:p>
            <w:r>
              <w:rPr>
                <w:b/>
                <w:bCs/>
                <w:sz w:val="18"/>
                <w:szCs w:val="18"/>
              </w:rPr>
              <w:t xml:space="preserve">Control Type</w:t>
            </w:r>
          </w:p>
        </w:tc>
        <w:tc>
          <w:tcPr>
            <w:tcW w:type="dxa" w:w="7862"/>
            <w:shd w:fill="D9D9D9" w:color="auto" w:val="clear"/>
          </w:tcPr>
          <w:p>
            <w:r>
              <w:rPr>
                <w:b/>
                <w:bCs/>
                <w:sz w:val="18"/>
                <w:szCs w:val="18"/>
              </w:rPr>
              <w:t xml:space="preserve">Control</w:t>
            </w:r>
          </w:p>
        </w:tc>
      </w:tr>
      <w:tr>
        <w:tc>
          <w:tcPr>
            <w:tcW w:type="dxa" w:w="2218"/>
          </w:tcPr>
          <w:p>
            <w:r>
              <w:rPr>
                <w:sz w:val="18"/>
                <w:szCs w:val="18"/>
              </w:rPr>
              <w:t xml:space="preserve">Preventive</w:t>
            </w:r>
          </w:p>
        </w:tc>
        <w:tc>
          <w:tcPr>
            <w:tcW w:type="dxa" w:w="7862"/>
          </w:tcPr>
          <w:p>
            <w:r>
              <w:rPr>
                <w:sz w:val="18"/>
                <w:szCs w:val="18"/>
              </w:rPr>
              <w:t xml:space="preserve">Treat Phase A.1/A.3 as the authoritative schema reference until WP-0001 lands, preventing further reliance on the superseded document (Section 3 §6).</w:t>
            </w:r>
          </w:p>
        </w:tc>
      </w:tr>
      <w:tr>
        <w:tc>
          <w:tcPr>
            <w:tcW w:type="dxa" w:w="2218"/>
          </w:tcPr>
          <w:p>
            <w:r>
              <w:rPr>
                <w:sz w:val="18"/>
                <w:szCs w:val="18"/>
              </w:rPr>
              <w:t xml:space="preserve">Detective</w:t>
            </w:r>
          </w:p>
        </w:tc>
        <w:tc>
          <w:tcPr>
            <w:tcW w:type="dxa" w:w="7862"/>
          </w:tcPr>
          <w:p>
            <w:r>
              <w:rPr>
                <w:sz w:val="18"/>
                <w:szCs w:val="18"/>
              </w:rPr>
              <w:t xml:space="preserve">Table inventory diff against the live schema (\dt public.*), a deterministic, repeatable check (Phase A.3 §7).</w:t>
            </w:r>
          </w:p>
        </w:tc>
      </w:tr>
      <w:tr>
        <w:tc>
          <w:tcPr>
            <w:tcW w:type="dxa" w:w="2218"/>
          </w:tcPr>
          <w:p>
            <w:r>
              <w:rPr>
                <w:sz w:val="18"/>
                <w:szCs w:val="18"/>
              </w:rPr>
              <w:t xml:space="preserve">Corrective</w:t>
            </w:r>
          </w:p>
        </w:tc>
        <w:tc>
          <w:tcPr>
            <w:tcW w:type="dxa" w:w="7862"/>
          </w:tcPr>
          <w:p>
            <w:r>
              <w:rPr>
                <w:sz w:val="18"/>
                <w:szCs w:val="18"/>
              </w:rPr>
              <w:t xml:space="preserve">Document revision followed by a re-run of the same diff; a discrepancy pattern requiring an architecture change (not just a documentation fix) is Not Evidenced in Current Baseline as a defined path and would require a new or amended EGD per AP-003 (Section 7).</w:t>
            </w:r>
          </w:p>
        </w:tc>
      </w:tr>
    </w:tbl>
    <w:p>
      <w:pPr>
        <w:spacing w:after="200"/>
      </w:pPr>
    </w:p>
    <w:p>
      <w:pPr>
        <w:spacing w:after="100" w:before="200"/>
      </w:pPr>
      <w:r>
        <w:rPr>
          <w:b/>
          <w:bCs/>
          <w:i/>
          <w:iCs/>
        </w:rPr>
        <w:t xml:space="preserve">I. Mitigation Strategy</w:t>
      </w:r>
    </w:p>
    <w:p>
      <w:pPr>
        <w:spacing w:after="160"/>
      </w:pPr>
      <w:r>
        <w:t xml:space="preserve">Mitigation Approach: publish the revised EEP-01 Phase A document describing the live public-schema student-academic table set as canonical (Phase B §10).</w:t>
      </w:r>
    </w:p>
    <w:p>
      <w:pPr>
        <w:spacing w:after="160"/>
      </w:pPr>
      <w:r>
        <w:t xml:space="preserve">Residual Risk: none identified beyond the interim period before publication, during which Phase A.1/A.3 serves as the authoritative reference (Section 3 §6).</w:t>
      </w:r>
    </w:p>
    <w:p>
      <w:pPr>
        <w:spacing w:after="160"/>
      </w:pPr>
      <w:r>
        <w:t xml:space="preserve">Escalation Criteria: Not Evidenced in Current Baseline as a distinct escalation path for this Work Package; unresolved blocking risk (ownership) escalates to the Executive Sponsor per Phase B §13, not this risk specifically.</w:t>
      </w:r>
    </w:p>
    <w:p>
      <w:pPr>
        <w:spacing w:after="160"/>
      </w:pPr>
      <w:r>
        <w:t xml:space="preserve">Monitoring Approach: KPI-02 (Documentation Accuracy %) measured at completion, then quarterly for drift (Phase A.3 §10).</w:t>
      </w:r>
    </w:p>
    <w:p>
      <w:pPr>
        <w:spacing w:after="100" w:before="200"/>
      </w:pPr>
      <w:r>
        <w:rPr>
          <w:b/>
          <w:bCs/>
          <w:i/>
          <w:iCs/>
        </w:rPr>
        <w:t xml:space="preserve">J. Recovery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Recovery Element</w:t>
            </w:r>
          </w:p>
        </w:tc>
        <w:tc>
          <w:tcPr>
            <w:tcW w:type="dxa" w:w="7661"/>
            <w:shd w:fill="D9D9D9" w:color="auto" w:val="clear"/>
          </w:tcPr>
          <w:p>
            <w:r>
              <w:rPr>
                <w:b/>
                <w:bCs/>
                <w:sz w:val="18"/>
                <w:szCs w:val="18"/>
              </w:rPr>
              <w:t xml:space="preserve">Detail</w:t>
            </w:r>
          </w:p>
        </w:tc>
      </w:tr>
      <w:tr>
        <w:tc>
          <w:tcPr>
            <w:tcW w:type="dxa" w:w="2419"/>
          </w:tcPr>
          <w:p>
            <w:r>
              <w:rPr>
                <w:sz w:val="18"/>
                <w:szCs w:val="18"/>
              </w:rPr>
              <w:t xml:space="preserve">Rollback Trigger</w:t>
            </w:r>
          </w:p>
        </w:tc>
        <w:tc>
          <w:tcPr>
            <w:tcW w:type="dxa" w:w="7661"/>
          </w:tcPr>
          <w:p>
            <w:r>
              <w:rPr>
                <w:sz w:val="18"/>
                <w:szCs w:val="18"/>
              </w:rPr>
              <w:t xml:space="preserve">Not Applicable in the migration sense — this Work Package makes no database change. If a discrepancy is found after publication, it is a documentation-accuracy defect, not a rollback event.</w:t>
            </w:r>
          </w:p>
        </w:tc>
      </w:tr>
      <w:tr>
        <w:tc>
          <w:tcPr>
            <w:tcW w:type="dxa" w:w="2419"/>
          </w:tcPr>
          <w:p>
            <w:r>
              <w:rPr>
                <w:sz w:val="18"/>
                <w:szCs w:val="18"/>
              </w:rPr>
              <w:t xml:space="preserve">Recovery Approach</w:t>
            </w:r>
          </w:p>
        </w:tc>
        <w:tc>
          <w:tcPr>
            <w:tcW w:type="dxa" w:w="7661"/>
          </w:tcPr>
          <w:p>
            <w:r>
              <w:rPr>
                <w:sz w:val="18"/>
                <w:szCs w:val="18"/>
              </w:rPr>
              <w:t xml:space="preserve">Correct via document revision rather than a technical rollback.</w:t>
            </w:r>
          </w:p>
        </w:tc>
      </w:tr>
      <w:tr>
        <w:tc>
          <w:tcPr>
            <w:tcW w:type="dxa" w:w="2419"/>
          </w:tcPr>
          <w:p>
            <w:r>
              <w:rPr>
                <w:sz w:val="18"/>
                <w:szCs w:val="18"/>
              </w:rPr>
              <w:t xml:space="preserve">Re-verification</w:t>
            </w:r>
          </w:p>
        </w:tc>
        <w:tc>
          <w:tcPr>
            <w:tcW w:type="dxa" w:w="7661"/>
          </w:tcPr>
          <w:p>
            <w:r>
              <w:rPr>
                <w:sz w:val="18"/>
                <w:szCs w:val="18"/>
              </w:rPr>
              <w:t xml:space="preserve">Prior document version remains available in the documentation repository's version history for reference during correction; re-run the table inventory diff.</w:t>
            </w:r>
          </w:p>
        </w:tc>
      </w:tr>
      <w:tr>
        <w:tc>
          <w:tcPr>
            <w:tcW w:type="dxa" w:w="2419"/>
          </w:tcPr>
          <w:p>
            <w:r>
              <w:rPr>
                <w:sz w:val="18"/>
                <w:szCs w:val="18"/>
              </w:rPr>
              <w:t xml:space="preserve">Governance Approval</w:t>
            </w:r>
          </w:p>
        </w:tc>
        <w:tc>
          <w:tcPr>
            <w:tcW w:type="dxa" w:w="7661"/>
          </w:tcPr>
          <w:p>
            <w:r>
              <w:rPr>
                <w:sz w:val="18"/>
                <w:szCs w:val="18"/>
              </w:rPr>
              <w:t xml:space="preserve">Not Applicable — ER-0002 and VAR-02 status updates are only applied once the diff shows zero discrepancies; no governance reversal is required.</w:t>
            </w:r>
          </w:p>
        </w:tc>
      </w:tr>
      <w:tr>
        <w:tc>
          <w:tcPr>
            <w:tcW w:type="dxa" w:w="2419"/>
          </w:tcPr>
          <w:p>
            <w:r>
              <w:rPr>
                <w:sz w:val="18"/>
                <w:szCs w:val="18"/>
              </w:rPr>
              <w:t xml:space="preserve">Closure</w:t>
            </w:r>
          </w:p>
        </w:tc>
        <w:tc>
          <w:tcPr>
            <w:tcW w:type="dxa" w:w="7661"/>
          </w:tcPr>
          <w:p>
            <w:r>
              <w:rPr>
                <w:sz w:val="18"/>
                <w:szCs w:val="18"/>
              </w:rPr>
              <w:t xml:space="preserve">KPI-02 = 100; zero discrepancies confirmed; Certification Level advances toward L4 (Section 7).</w:t>
            </w:r>
          </w:p>
        </w:tc>
      </w:tr>
    </w:tbl>
    <w:p>
      <w:pPr>
        <w:pStyle w:val="Heading3"/>
        <w:spacing w:after="120" w:before="260"/>
      </w:pPr>
      <w:r>
        <w:t xml:space="preserve">WP-0002 — Verify Row-Level Security Coverage on Student-Owned Tables</w:t>
      </w:r>
    </w:p>
    <w:p>
      <w:pPr>
        <w:spacing w:after="100" w:before="200"/>
      </w:pPr>
      <w:r>
        <w:rPr>
          <w:b/>
          <w:bCs/>
          <w:i/>
          <w:iCs/>
        </w:rPr>
        <w:t xml:space="preserve">A. Risk Overview</w:t>
      </w:r>
    </w:p>
    <w:p>
      <w:pPr>
        <w:spacing w:after="160"/>
      </w:pPr>
      <w:r>
        <w:t xml:space="preserve">Risk Objective: close the one confirmed, Critical-until-verified security gap in the enterprise baseline (Section 2, WP-0002.C).</w:t>
      </w:r>
    </w:p>
    <w:p>
      <w:pPr>
        <w:spacing w:after="160"/>
      </w:pPr>
      <w:r>
        <w:t xml:space="preserve">Primary Implementation Risk: RLS ownership-check coverage is confirmed only on student_academic_records and student_academic_subjects; coverage on student_activities, student_cognitive_responses, student_signal_vectors, and related tables is unknown until checked (Phase A.2 §8; Phase A.3 §1.7).</w:t>
      </w:r>
    </w:p>
    <w:p>
      <w:pPr>
        <w:spacing w:after="160"/>
      </w:pPr>
      <w:r>
        <w:t xml:space="preserve">Overall Risk Posture: High if gap confirmed; Critical-until-verified (Phase A.2 §8; Phase B §4, §10) — the second of the baseline's two High-rated risks (Section 2, WP-0002.C).</w:t>
      </w:r>
    </w:p>
    <w:p>
      <w:pPr>
        <w:spacing w:after="100" w:before="200"/>
      </w:pPr>
      <w:r>
        <w:rPr>
          <w:b/>
          <w:bCs/>
          <w:i/>
          <w:iCs/>
        </w:rPr>
        <w:t xml:space="preserve">B. Architecture Risks</w:t>
      </w:r>
    </w:p>
    <w:p>
      <w:pPr>
        <w:pStyle w:val="ListParagraph"/>
        <w:numPr>
          <w:ilvl w:val="0"/>
          <w:numId w:val="1"/>
        </w:numPr>
        <w:spacing w:after="80"/>
      </w:pPr>
      <w:r>
        <w:t xml:space="preserve">AR-0007 (Security) is Partially conformant, partially unverified (Phase A.3 §3) — the one item in the baseline treated as an open unknown rather than a governed variance (no VAR assigned).</w:t>
      </w:r>
    </w:p>
    <w:p>
      <w:pPr>
        <w:pStyle w:val="ListParagraph"/>
        <w:numPr>
          <w:ilvl w:val="0"/>
          <w:numId w:val="1"/>
        </w:numPr>
        <w:spacing w:after="80"/>
      </w:pPr>
      <w:r>
        <w:t xml:space="preserve">Traceability risk: ER-0007 remains Planned until this Work Package produces written confirmation, at which point it updates to Implemented (Phase A.3 §5).</w:t>
      </w:r>
    </w:p>
    <w:p>
      <w:pPr>
        <w:spacing w:after="100" w:before="200"/>
      </w:pPr>
      <w:r>
        <w:rPr>
          <w:b/>
          <w:bCs/>
          <w:i/>
          <w:iCs/>
        </w:rPr>
        <w:t xml:space="preserve">C. Governance Risks</w:t>
      </w:r>
    </w:p>
    <w:p>
      <w:pPr>
        <w:pStyle w:val="ListParagraph"/>
        <w:numPr>
          <w:ilvl w:val="0"/>
          <w:numId w:val="1"/>
        </w:numPr>
        <w:spacing w:after="80"/>
      </w:pPr>
      <w:r>
        <w:t xml:space="preserve">EGD-0007 is Accepted, in progress = WP-0002 (Phase A.3 §4); no open governance-approval risk once WP-0006 assigns the Security/Platform Engineer.</w:t>
      </w:r>
    </w:p>
    <w:p>
      <w:pPr>
        <w:pStyle w:val="ListParagraph"/>
        <w:numPr>
          <w:ilvl w:val="0"/>
          <w:numId w:val="1"/>
        </w:numPr>
        <w:spacing w:after="80"/>
      </w:pPr>
      <w:r>
        <w:t xml:space="preserve">Ownership risk: Responsible/Governance/Review/Approval Authority named (Security/Platform Engineer) but unassigned pending WP-0006 (KPI-08 = 0%).</w:t>
      </w:r>
    </w:p>
    <w:p>
      <w:pPr>
        <w:pStyle w:val="ListParagraph"/>
        <w:numPr>
          <w:ilvl w:val="0"/>
          <w:numId w:val="1"/>
        </w:numPr>
        <w:spacing w:after="80"/>
      </w:pPr>
      <w:r>
        <w:t xml:space="preserve">Certification risk: AR-0007 cannot advance to Certification Level L4 until written RLS status and policy-list confirmation exists for every student-owned table (Phase A.3 §7).</w:t>
      </w:r>
    </w:p>
    <w:p>
      <w:pPr>
        <w:spacing w:after="100" w:before="200"/>
      </w:pPr>
      <w:r>
        <w:rPr>
          <w:b/>
          <w:bCs/>
          <w:i/>
          <w:iCs/>
        </w:rPr>
        <w:t xml:space="preserve">D. Repository Risks — Database and Test Repository (Section 3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234"/>
        <w:gridCol w:w="3628"/>
      </w:tblGrid>
      <w:tr>
        <w:trPr>
          <w:tblHeader/>
        </w:trPr>
        <w:tc>
          <w:tcPr>
            <w:tcW w:type="dxa" w:w="2218"/>
            <w:shd w:fill="D9D9D9" w:color="auto" w:val="clear"/>
          </w:tcPr>
          <w:p>
            <w:r>
              <w:rPr>
                <w:b/>
                <w:bCs/>
                <w:sz w:val="18"/>
                <w:szCs w:val="18"/>
              </w:rPr>
              <w:t xml:space="preserve">Risk Dimension</w:t>
            </w:r>
          </w:p>
        </w:tc>
        <w:tc>
          <w:tcPr>
            <w:tcW w:type="dxa" w:w="4234"/>
            <w:shd w:fill="D9D9D9" w:color="auto" w:val="clear"/>
          </w:tcPr>
          <w:p>
            <w:r>
              <w:rPr>
                <w:b/>
                <w:bCs/>
                <w:sz w:val="18"/>
                <w:szCs w:val="18"/>
              </w:rPr>
              <w:t xml:space="preserve">Assessment</w:t>
            </w:r>
          </w:p>
        </w:tc>
        <w:tc>
          <w:tcPr>
            <w:tcW w:type="dxa" w:w="3628"/>
            <w:shd w:fill="D9D9D9" w:color="auto" w:val="clear"/>
          </w:tcPr>
          <w:p>
            <w:r>
              <w:rPr>
                <w:b/>
                <w:bCs/>
                <w:sz w:val="18"/>
                <w:szCs w:val="18"/>
              </w:rPr>
              <w:t xml:space="preserve">Mitigation</w:t>
            </w:r>
          </w:p>
        </w:tc>
      </w:tr>
      <w:tr>
        <w:tc>
          <w:tcPr>
            <w:tcW w:type="dxa" w:w="2218"/>
          </w:tcPr>
          <w:p>
            <w:r>
              <w:rPr>
                <w:sz w:val="18"/>
                <w:szCs w:val="18"/>
              </w:rPr>
              <w:t xml:space="preserve">Change Risk</w:t>
            </w:r>
          </w:p>
        </w:tc>
        <w:tc>
          <w:tcPr>
            <w:tcW w:type="dxa" w:w="4234"/>
          </w:tcPr>
          <w:p>
            <w:r>
              <w:rPr>
                <w:sz w:val="18"/>
                <w:szCs w:val="18"/>
              </w:rPr>
              <w:t xml:space="preserve">Low across WP-0002 baseline scope — verification only, no migration.</w:t>
            </w:r>
          </w:p>
        </w:tc>
        <w:tc>
          <w:tcPr>
            <w:tcW w:type="dxa" w:w="3628"/>
          </w:tcPr>
          <w:p>
            <w:r>
              <w:rPr>
                <w:sz w:val="18"/>
                <w:szCs w:val="18"/>
              </w:rPr>
              <w:t xml:space="preserve">No large-scale schema rewrite is planned or justified by current evidence (Phase B §1).</w:t>
            </w:r>
          </w:p>
        </w:tc>
      </w:tr>
      <w:tr>
        <w:tc>
          <w:tcPr>
            <w:tcW w:type="dxa" w:w="2218"/>
          </w:tcPr>
          <w:p>
            <w:r>
              <w:rPr>
                <w:sz w:val="18"/>
                <w:szCs w:val="18"/>
              </w:rPr>
              <w:t xml:space="preserve">Verification Risk</w:t>
            </w:r>
          </w:p>
        </w:tc>
        <w:tc>
          <w:tcPr>
            <w:tcW w:type="dxa" w:w="4234"/>
          </w:tcPr>
          <w:p>
            <w:r>
              <w:rPr>
                <w:sz w:val="18"/>
                <w:szCs w:val="18"/>
              </w:rPr>
              <w:t xml:space="preserve">High-until-verified — RLS coverage on activity/cognitive/signal tables is unknown until checked (Phase A.2 §8).</w:t>
            </w:r>
          </w:p>
        </w:tc>
        <w:tc>
          <w:tcPr>
            <w:tcW w:type="dxa" w:w="3628"/>
          </w:tcPr>
          <w:p>
            <w:r>
              <w:rPr>
                <w:sz w:val="18"/>
                <w:szCs w:val="18"/>
              </w:rPr>
              <w:t xml:space="preserve">Immediate verification per WP-0002; written confirmation with query evidence.</w:t>
            </w:r>
          </w:p>
        </w:tc>
      </w:tr>
      <w:tr>
        <w:tc>
          <w:tcPr>
            <w:tcW w:type="dxa" w:w="2218"/>
          </w:tcPr>
          <w:p>
            <w:r>
              <w:rPr>
                <w:sz w:val="18"/>
                <w:szCs w:val="18"/>
              </w:rPr>
              <w:t xml:space="preserve">Migration Risk</w:t>
            </w:r>
          </w:p>
        </w:tc>
        <w:tc>
          <w:tcPr>
            <w:tcW w:type="dxa" w:w="4234"/>
          </w:tcPr>
          <w:p>
            <w:r>
              <w:rPr>
                <w:sz w:val="18"/>
                <w:szCs w:val="18"/>
              </w:rPr>
              <w:t xml:space="preserve">Not Applicable to baseline scope (contingency corrective policy only).</w:t>
            </w:r>
          </w:p>
        </w:tc>
        <w:tc>
          <w:tcPr>
            <w:tcW w:type="dxa" w:w="3628"/>
          </w:tcPr>
          <w:p>
            <w:r>
              <w:rPr>
                <w:sz w:val="18"/>
                <w:szCs w:val="18"/>
              </w:rPr>
              <w:t xml:space="preserve">N/A beyond the contingency corrective action below.</w:t>
            </w:r>
          </w:p>
        </w:tc>
      </w:tr>
      <w:tr>
        <w:tc>
          <w:tcPr>
            <w:tcW w:type="dxa" w:w="2218"/>
          </w:tcPr>
          <w:p>
            <w:r>
              <w:rPr>
                <w:sz w:val="18"/>
                <w:szCs w:val="18"/>
              </w:rPr>
              <w:t xml:space="preserve">Security Risk</w:t>
            </w:r>
          </w:p>
        </w:tc>
        <w:tc>
          <w:tcPr>
            <w:tcW w:type="dxa" w:w="4234"/>
          </w:tcPr>
          <w:p>
            <w:r>
              <w:rPr>
                <w:sz w:val="18"/>
                <w:szCs w:val="18"/>
              </w:rPr>
              <w:t xml:space="preserve">High if a WP-0002 coverage gap is confirmed.</w:t>
            </w:r>
          </w:p>
        </w:tc>
        <w:tc>
          <w:tcPr>
            <w:tcW w:type="dxa" w:w="3628"/>
          </w:tcPr>
          <w:p>
            <w:r>
              <w:rPr>
                <w:sz w:val="18"/>
                <w:szCs w:val="18"/>
              </w:rPr>
              <w:t xml:space="preserve">Apply the proven RLS pattern from student_academic_records without delay if a gap is found (Phase B §10).</w:t>
            </w:r>
          </w:p>
        </w:tc>
      </w:tr>
      <w:tr>
        <w:tc>
          <w:tcPr>
            <w:tcW w:type="dxa" w:w="2218"/>
          </w:tcPr>
          <w:p>
            <w:r>
              <w:rPr>
                <w:sz w:val="18"/>
                <w:szCs w:val="18"/>
              </w:rPr>
              <w:t xml:space="preserve">Test Repository — Verification Risk</w:t>
            </w:r>
          </w:p>
        </w:tc>
        <w:tc>
          <w:tcPr>
            <w:tcW w:type="dxa" w:w="4234"/>
          </w:tcPr>
          <w:p>
            <w:r>
              <w:rPr>
                <w:sz w:val="18"/>
                <w:szCs w:val="18"/>
              </w:rPr>
              <w:t xml:space="preserve">Low — the written, query-evidenced method is already proven in concept and ready to execute.</w:t>
            </w:r>
          </w:p>
        </w:tc>
        <w:tc>
          <w:tcPr>
            <w:tcW w:type="dxa" w:w="3628"/>
          </w:tcPr>
          <w:p>
            <w:r>
              <w:rPr>
                <w:sz w:val="18"/>
                <w:szCs w:val="18"/>
              </w:rPr>
              <w:t xml:space="preserve">Adopted as the template for every future Realize-class verification (Section 1 §7).</w:t>
            </w:r>
          </w:p>
        </w:tc>
      </w:tr>
      <w:tr>
        <w:tc>
          <w:tcPr>
            <w:tcW w:type="dxa" w:w="2218"/>
          </w:tcPr>
          <w:p>
            <w:r>
              <w:rPr>
                <w:sz w:val="18"/>
                <w:szCs w:val="18"/>
              </w:rPr>
              <w:t xml:space="preserve">Operational Risk</w:t>
            </w:r>
          </w:p>
        </w:tc>
        <w:tc>
          <w:tcPr>
            <w:tcW w:type="dxa" w:w="4234"/>
          </w:tcPr>
          <w:p>
            <w:r>
              <w:rPr>
                <w:sz w:val="18"/>
                <w:szCs w:val="18"/>
              </w:rPr>
              <w:t xml:space="preserve">Not Evidenced in Current Baseline.</w:t>
            </w:r>
          </w:p>
        </w:tc>
        <w:tc>
          <w:tcPr>
            <w:tcW w:type="dxa" w:w="3628"/>
          </w:tcPr>
          <w:p>
            <w:r>
              <w:rPr>
                <w:sz w:val="18"/>
                <w:szCs w:val="18"/>
              </w:rPr>
              <w:t xml:space="preserve">N/A.</w:t>
            </w:r>
          </w:p>
        </w:tc>
      </w:tr>
    </w:tbl>
    <w:p>
      <w:pPr>
        <w:spacing w:after="200"/>
      </w:pPr>
    </w:p>
    <w:p>
      <w:pPr>
        <w:spacing w:after="100" w:before="200"/>
      </w:pPr>
      <w:r>
        <w:rPr>
          <w:b/>
          <w:bCs/>
          <w:i/>
          <w:iCs/>
        </w:rPr>
        <w:t xml:space="preserve">E. Engineering Risks</w:t>
      </w:r>
    </w:p>
    <w:p>
      <w:pPr>
        <w:pStyle w:val="ListParagraph"/>
        <w:numPr>
          <w:ilvl w:val="0"/>
          <w:numId w:val="1"/>
        </w:numPr>
        <w:spacing w:after="80"/>
      </w:pPr>
      <w:r>
        <w:t xml:space="preserve">Implementation Complexity: Low (Phase A.3 §9).</w:t>
      </w:r>
    </w:p>
    <w:p>
      <w:pPr>
        <w:pStyle w:val="ListParagraph"/>
        <w:numPr>
          <w:ilvl w:val="0"/>
          <w:numId w:val="1"/>
        </w:numPr>
        <w:spacing w:after="80"/>
      </w:pPr>
      <w:r>
        <w:t xml:space="preserve">Verification Dependency: query-based verification with written evidence per table — the standing verification template this baseline adopts for Realize-class Work Packages (Section 1 §7; Section 4 §8).</w:t>
      </w:r>
    </w:p>
    <w:p>
      <w:pPr>
        <w:pStyle w:val="ListParagraph"/>
        <w:numPr>
          <w:ilvl w:val="0"/>
          <w:numId w:val="1"/>
        </w:numPr>
        <w:spacing w:after="80"/>
      </w:pPr>
      <w:r>
        <w:t xml:space="preserve">Rollback Dependency: applicable only to the contingency corrective policy change, not to the baseline verification activity itself (Section 5 §F, WP-0002).</w:t>
      </w:r>
    </w:p>
    <w:p>
      <w:pPr>
        <w:pStyle w:val="ListParagraph"/>
        <w:numPr>
          <w:ilvl w:val="0"/>
          <w:numId w:val="1"/>
        </w:numPr>
        <w:spacing w:after="80"/>
      </w:pPr>
      <w:r>
        <w:t xml:space="preserve">Engineering Readiness: immediately startable — no blocking dependency (Phase B §4, §7).</w:t>
      </w:r>
    </w:p>
    <w:p>
      <w:pPr>
        <w:spacing w:after="100" w:before="200"/>
      </w:pPr>
      <w:r>
        <w:rPr>
          <w:b/>
          <w:bCs/>
          <w:i/>
          <w:iCs/>
        </w:rPr>
        <w:t xml:space="preserve">F. Security Risks</w:t>
      </w:r>
    </w:p>
    <w:p>
      <w:pPr>
        <w:spacing w:after="160"/>
      </w:pPr>
      <w:r>
        <w:t xml:space="preserve">Primary deliverable of this Work Package. A confirmed coverage gap on any in-scope table is recorded in the verification ledger and triggers immediate, pre-approved contingency-only corrective policy action — the one severity/corrective path the baseline evidences explicitly (Phase B §10; Section 6 §8; Section 7 §4).</w:t>
      </w:r>
    </w:p>
    <w:p>
      <w:pPr>
        <w:spacing w:after="100" w:before="200"/>
      </w:pPr>
      <w:r>
        <w:rPr>
          <w:b/>
          <w:bCs/>
          <w:i/>
          <w:iCs/>
        </w:rPr>
        <w:t xml:space="preserve">G. Delivery Risks</w:t>
      </w:r>
    </w:p>
    <w:p>
      <w:pPr>
        <w:pStyle w:val="ListParagraph"/>
        <w:numPr>
          <w:ilvl w:val="0"/>
          <w:numId w:val="1"/>
        </w:numPr>
        <w:spacing w:after="80"/>
      </w:pPr>
      <w:r>
        <w:t xml:space="preserve">Scheduling Risk: Low — 1–2 days, Wave 1 (Critical Foundation) (Phase A.3 §9; Phase B §5).</w:t>
      </w:r>
    </w:p>
    <w:p>
      <w:pPr>
        <w:pStyle w:val="ListParagraph"/>
        <w:numPr>
          <w:ilvl w:val="0"/>
          <w:numId w:val="1"/>
        </w:numPr>
        <w:spacing w:after="80"/>
      </w:pPr>
      <w:r>
        <w:t xml:space="preserve">Dependency Risk: None — startable immediately with zero blocking dependency (Phase B §7).</w:t>
      </w:r>
    </w:p>
    <w:p>
      <w:pPr>
        <w:pStyle w:val="ListParagraph"/>
        <w:numPr>
          <w:ilvl w:val="0"/>
          <w:numId w:val="1"/>
        </w:numPr>
        <w:spacing w:after="80"/>
      </w:pPr>
      <w:r>
        <w:t xml:space="preserve">Resource Risk: Security/Platform Engineer role currently unassigned (KPI-08 = 0%).</w:t>
      </w:r>
    </w:p>
    <w:p>
      <w:pPr>
        <w:pStyle w:val="ListParagraph"/>
        <w:numPr>
          <w:ilvl w:val="0"/>
          <w:numId w:val="1"/>
        </w:numPr>
        <w:spacing w:after="80"/>
      </w:pPr>
      <w:r>
        <w:t xml:space="preserve">Approval Risk: Verification approval authority (Executive Sponsor / Governance Board, Phase B §9) is Not Evidenced in Current Baseline as a distinct verification-approval process (Section 7 §3).</w:t>
      </w:r>
    </w:p>
    <w:p>
      <w:pPr>
        <w:spacing w:after="100" w:before="200"/>
      </w:pPr>
      <w:r>
        <w:rPr>
          <w:b/>
          <w:bCs/>
          <w:i/>
          <w:iCs/>
        </w:rPr>
        <w:t xml:space="preserve">H. Risk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D9D9D9" w:color="auto" w:val="clear"/>
          </w:tcPr>
          <w:p>
            <w:r>
              <w:rPr>
                <w:b/>
                <w:bCs/>
                <w:sz w:val="18"/>
                <w:szCs w:val="18"/>
              </w:rPr>
              <w:t xml:space="preserve">Control Type</w:t>
            </w:r>
          </w:p>
        </w:tc>
        <w:tc>
          <w:tcPr>
            <w:tcW w:type="dxa" w:w="7862"/>
            <w:shd w:fill="D9D9D9" w:color="auto" w:val="clear"/>
          </w:tcPr>
          <w:p>
            <w:r>
              <w:rPr>
                <w:b/>
                <w:bCs/>
                <w:sz w:val="18"/>
                <w:szCs w:val="18"/>
              </w:rPr>
              <w:t xml:space="preserve">Control</w:t>
            </w:r>
          </w:p>
        </w:tc>
      </w:tr>
      <w:tr>
        <w:tc>
          <w:tcPr>
            <w:tcW w:type="dxa" w:w="2218"/>
          </w:tcPr>
          <w:p>
            <w:r>
              <w:rPr>
                <w:sz w:val="18"/>
                <w:szCs w:val="18"/>
              </w:rPr>
              <w:t xml:space="preserve">Preventive</w:t>
            </w:r>
          </w:p>
        </w:tc>
        <w:tc>
          <w:tcPr>
            <w:tcW w:type="dxa" w:w="7862"/>
          </w:tcPr>
          <w:p>
            <w:r>
              <w:rPr>
                <w:sz w:val="18"/>
                <w:szCs w:val="18"/>
              </w:rPr>
              <w:t xml:space="preserve">None evidenced beyond adopting the query-based verification method as standing practice for all Realize-class Work Packages (Section 3 §6, Test Repository).</w:t>
            </w:r>
          </w:p>
        </w:tc>
      </w:tr>
      <w:tr>
        <w:tc>
          <w:tcPr>
            <w:tcW w:type="dxa" w:w="2218"/>
          </w:tcPr>
          <w:p>
            <w:r>
              <w:rPr>
                <w:sz w:val="18"/>
                <w:szCs w:val="18"/>
              </w:rPr>
              <w:t xml:space="preserve">Detective</w:t>
            </w:r>
          </w:p>
        </w:tc>
        <w:tc>
          <w:tcPr>
            <w:tcW w:type="dxa" w:w="7862"/>
          </w:tcPr>
          <w:p>
            <w:r>
              <w:rPr>
                <w:sz w:val="18"/>
                <w:szCs w:val="18"/>
              </w:rPr>
              <w:t xml:space="preserve">Per-table RLS coverage verification ledger; query outputs confirming policy presence/function per table (Section 7 §4).</w:t>
            </w:r>
          </w:p>
        </w:tc>
      </w:tr>
      <w:tr>
        <w:tc>
          <w:tcPr>
            <w:tcW w:type="dxa" w:w="2218"/>
          </w:tcPr>
          <w:p>
            <w:r>
              <w:rPr>
                <w:sz w:val="18"/>
                <w:szCs w:val="18"/>
              </w:rPr>
              <w:t xml:space="preserve">Corrective</w:t>
            </w:r>
          </w:p>
        </w:tc>
        <w:tc>
          <w:tcPr>
            <w:tcW w:type="dxa" w:w="7862"/>
          </w:tcPr>
          <w:p>
            <w:r>
              <w:rPr>
                <w:sz w:val="18"/>
                <w:szCs w:val="18"/>
              </w:rPr>
              <w:t xml:space="preserve">Apply the proven RLS pattern from student_academic_records without delay if a gap is confirmed, then re-run the same query-based check against the corrected policy (Phase B §10; Section 6 §8).</w:t>
            </w:r>
          </w:p>
        </w:tc>
      </w:tr>
    </w:tbl>
    <w:p>
      <w:pPr>
        <w:spacing w:after="200"/>
      </w:pPr>
    </w:p>
    <w:p>
      <w:pPr>
        <w:spacing w:after="100" w:before="200"/>
      </w:pPr>
      <w:r>
        <w:rPr>
          <w:b/>
          <w:bCs/>
          <w:i/>
          <w:iCs/>
        </w:rPr>
        <w:t xml:space="preserve">I. Mitigation Strategy</w:t>
      </w:r>
    </w:p>
    <w:p>
      <w:pPr>
        <w:spacing w:after="160"/>
      </w:pPr>
      <w:r>
        <w:t xml:space="preserve">Mitigation Approach: immediate verification producing written RLS status and policy-list confirmation for every student-owned table (Phase B §10).</w:t>
      </w:r>
    </w:p>
    <w:p>
      <w:pPr>
        <w:spacing w:after="160"/>
      </w:pPr>
      <w:r>
        <w:t xml:space="preserve">Residual Risk: none evidenced beyond the pre-verification period, during which coverage on activity/cognitive/signal tables remains unknown (Phase A.3 §1.7).</w:t>
      </w:r>
    </w:p>
    <w:p>
      <w:pPr>
        <w:spacing w:after="160"/>
      </w:pPr>
      <w:r>
        <w:t xml:space="preserve">Escalation Criteria: unresolved blocking risks (currently: unassigned ownership) escalate to the Executive Sponsor, not to individual Work Package owners who cannot resolve it themselves (Section 1 §5; Phase B §13).</w:t>
      </w:r>
    </w:p>
    <w:p>
      <w:pPr>
        <w:spacing w:after="160"/>
      </w:pPr>
      <w:r>
        <w:t xml:space="preserve">Monitoring Approach: KPI-06 (RLS Coverage %) measured immediately on completion, then per-release; KPI-09 (Technical Debt by Class) Critical item closes on verification (Phase A.3 §10).</w:t>
      </w:r>
    </w:p>
    <w:p>
      <w:pPr>
        <w:spacing w:after="100" w:before="200"/>
      </w:pPr>
      <w:r>
        <w:rPr>
          <w:b/>
          <w:bCs/>
          <w:i/>
          <w:iCs/>
        </w:rPr>
        <w:t xml:space="preserve">J. Recovery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Recovery Element</w:t>
            </w:r>
          </w:p>
        </w:tc>
        <w:tc>
          <w:tcPr>
            <w:tcW w:type="dxa" w:w="7661"/>
            <w:shd w:fill="D9D9D9" w:color="auto" w:val="clear"/>
          </w:tcPr>
          <w:p>
            <w:r>
              <w:rPr>
                <w:b/>
                <w:bCs/>
                <w:sz w:val="18"/>
                <w:szCs w:val="18"/>
              </w:rPr>
              <w:t xml:space="preserve">Detail</w:t>
            </w:r>
          </w:p>
        </w:tc>
      </w:tr>
      <w:tr>
        <w:tc>
          <w:tcPr>
            <w:tcW w:type="dxa" w:w="2419"/>
          </w:tcPr>
          <w:p>
            <w:r>
              <w:rPr>
                <w:sz w:val="18"/>
                <w:szCs w:val="18"/>
              </w:rPr>
              <w:t xml:space="preserve">Rollback Trigger</w:t>
            </w:r>
          </w:p>
        </w:tc>
        <w:tc>
          <w:tcPr>
            <w:tcW w:type="dxa" w:w="7661"/>
          </w:tcPr>
          <w:p>
            <w:r>
              <w:rPr>
                <w:sz w:val="18"/>
                <w:szCs w:val="18"/>
              </w:rPr>
              <w:t xml:space="preserve">Applicable only to the contingency corrective policy change — a rollback would be triggered if the applied RLS policy is found to break legitimate application access post-deployment.</w:t>
            </w:r>
          </w:p>
        </w:tc>
      </w:tr>
      <w:tr>
        <w:tc>
          <w:tcPr>
            <w:tcW w:type="dxa" w:w="2419"/>
          </w:tcPr>
          <w:p>
            <w:r>
              <w:rPr>
                <w:sz w:val="18"/>
                <w:szCs w:val="18"/>
              </w:rPr>
              <w:t xml:space="preserve">Recovery Approach</w:t>
            </w:r>
          </w:p>
        </w:tc>
        <w:tc>
          <w:tcPr>
            <w:tcW w:type="dxa" w:w="7661"/>
          </w:tcPr>
          <w:p>
            <w:r>
              <w:rPr>
                <w:sz w:val="18"/>
                <w:szCs w:val="18"/>
              </w:rPr>
              <w:t xml:space="preserve">Per the AR-0010/EGD-0009 accepted standard: any corrective RLS policy migration is idempotent and rollback-ready by design (Phase B §10; Section 1 §4).</w:t>
            </w:r>
          </w:p>
        </w:tc>
      </w:tr>
      <w:tr>
        <w:tc>
          <w:tcPr>
            <w:tcW w:type="dxa" w:w="2419"/>
          </w:tcPr>
          <w:p>
            <w:r>
              <w:rPr>
                <w:sz w:val="18"/>
                <w:szCs w:val="18"/>
              </w:rPr>
              <w:t xml:space="preserve">Re-verification</w:t>
            </w:r>
          </w:p>
        </w:tc>
        <w:tc>
          <w:tcPr>
            <w:tcW w:type="dxa" w:w="7661"/>
          </w:tcPr>
          <w:p>
            <w:r>
              <w:rPr>
                <w:sz w:val="18"/>
                <w:szCs w:val="18"/>
              </w:rPr>
              <w:t xml:space="preserve">Revert the corrective migration in the database repository to the pre-change policy state, per its accompanying rollback script; reissue the written RLS status document reflecting the reverted state.</w:t>
            </w:r>
          </w:p>
        </w:tc>
      </w:tr>
      <w:tr>
        <w:tc>
          <w:tcPr>
            <w:tcW w:type="dxa" w:w="2419"/>
          </w:tcPr>
          <w:p>
            <w:r>
              <w:rPr>
                <w:sz w:val="18"/>
                <w:szCs w:val="18"/>
              </w:rPr>
              <w:t xml:space="preserve">Governance Approval</w:t>
            </w:r>
          </w:p>
        </w:tc>
        <w:tc>
          <w:tcPr>
            <w:tcW w:type="dxa" w:w="7661"/>
          </w:tcPr>
          <w:p>
            <w:r>
              <w:rPr>
                <w:sz w:val="18"/>
                <w:szCs w:val="18"/>
              </w:rPr>
              <w:t xml:space="preserve">Reopen ER-0007 to Planned pending re-remediation; log the reversal as a new variance per AP-007 (Section 1 §5).</w:t>
            </w:r>
          </w:p>
        </w:tc>
      </w:tr>
      <w:tr>
        <w:tc>
          <w:tcPr>
            <w:tcW w:type="dxa" w:w="2419"/>
          </w:tcPr>
          <w:p>
            <w:r>
              <w:rPr>
                <w:sz w:val="18"/>
                <w:szCs w:val="18"/>
              </w:rPr>
              <w:t xml:space="preserve">Closure</w:t>
            </w:r>
          </w:p>
        </w:tc>
        <w:tc>
          <w:tcPr>
            <w:tcW w:type="dxa" w:w="7661"/>
          </w:tcPr>
          <w:p>
            <w:r>
              <w:rPr>
                <w:sz w:val="18"/>
                <w:szCs w:val="18"/>
              </w:rPr>
              <w:t xml:space="preserve">KPI-06 RLS Coverage % = 100% confirmed; AR-0007 advances to Certification Level L4; KPI-09 Critical class reduces from 1 to 0.</w:t>
            </w:r>
          </w:p>
        </w:tc>
      </w:tr>
    </w:tbl>
    <w:p>
      <w:pPr>
        <w:pStyle w:val="Heading3"/>
        <w:spacing w:after="120" w:before="260"/>
      </w:pPr>
      <w:r>
        <w:t xml:space="preserve">WP-0003 — Partitioning Assessment and Plan for High-Growth Tables</w:t>
      </w:r>
    </w:p>
    <w:p>
      <w:pPr>
        <w:spacing w:after="100" w:before="200"/>
      </w:pPr>
      <w:r>
        <w:rPr>
          <w:b/>
          <w:bCs/>
          <w:i/>
          <w:iCs/>
        </w:rPr>
        <w:t xml:space="preserve">A. Risk Overview</w:t>
      </w:r>
    </w:p>
    <w:p>
      <w:pPr>
        <w:spacing w:after="160"/>
      </w:pPr>
      <w:r>
        <w:t xml:space="preserve">Risk Objective: preserve a correctly-deferred item as monitored, not neglected, per AP-008.</w:t>
      </w:r>
    </w:p>
    <w:p>
      <w:pPr>
        <w:spacing w:after="160"/>
      </w:pPr>
      <w:r>
        <w:t xml:space="preserve">Primary Implementation Risk: unpartitioned tables degrade under continued historical growth (Phase B §10) — native range partitioning on 4 high-growth historical/derived tables (AR-0004) remains non-conformant and deferred.</w:t>
      </w:r>
    </w:p>
    <w:p>
      <w:pPr>
        <w:spacing w:after="160"/>
      </w:pPr>
      <w:r>
        <w:t xml:space="preserve">Overall Risk Posture: Medium, growing over time (Phase B §4); trigger-gated, not calendar-gated — begins only once row-count/growth data justifies it (EGD-0004 trigger).</w:t>
      </w:r>
    </w:p>
    <w:p>
      <w:pPr>
        <w:spacing w:after="100" w:before="200"/>
      </w:pPr>
      <w:r>
        <w:rPr>
          <w:b/>
          <w:bCs/>
          <w:i/>
          <w:iCs/>
        </w:rPr>
        <w:t xml:space="preserve">B. Architecture Risks</w:t>
      </w:r>
    </w:p>
    <w:p>
      <w:pPr>
        <w:pStyle w:val="ListParagraph"/>
        <w:numPr>
          <w:ilvl w:val="0"/>
          <w:numId w:val="1"/>
        </w:numPr>
        <w:spacing w:after="80"/>
      </w:pPr>
      <w:r>
        <w:t xml:space="preserve">AR-0004 (Performance/Scalability) is Non-conformant, deferred (Phase A.3 §3); this is an approved, standing variance (VAR-04), not an open implementation item (Section 2, WP-0003.D).</w:t>
      </w:r>
    </w:p>
    <w:p>
      <w:pPr>
        <w:pStyle w:val="ListParagraph"/>
        <w:numPr>
          <w:ilvl w:val="0"/>
          <w:numId w:val="1"/>
        </w:numPr>
        <w:spacing w:after="80"/>
      </w:pPr>
      <w:r>
        <w:t xml:space="preserve">Traceability risk: ER-0004 remains Deferred, trigger-based; no traceability gap exists while the trigger is unfired (Phase A.3 §5).</w:t>
      </w:r>
    </w:p>
    <w:p>
      <w:pPr>
        <w:spacing w:after="100" w:before="200"/>
      </w:pPr>
      <w:r>
        <w:rPr>
          <w:b/>
          <w:bCs/>
          <w:i/>
          <w:iCs/>
        </w:rPr>
        <w:t xml:space="preserve">C. Governance Risks</w:t>
      </w:r>
    </w:p>
    <w:p>
      <w:pPr>
        <w:pStyle w:val="ListParagraph"/>
        <w:numPr>
          <w:ilvl w:val="0"/>
          <w:numId w:val="1"/>
        </w:numPr>
        <w:spacing w:after="80"/>
      </w:pPr>
      <w:r>
        <w:t xml:space="preserve">EGD-0004 is Deferred (Phase A.3 §4); owner: Platform Engineering Lead, unassigned pending WP-0006.</w:t>
      </w:r>
    </w:p>
    <w:p>
      <w:pPr>
        <w:pStyle w:val="ListParagraph"/>
        <w:numPr>
          <w:ilvl w:val="0"/>
          <w:numId w:val="1"/>
        </w:numPr>
        <w:spacing w:after="80"/>
      </w:pPr>
      <w:r>
        <w:t xml:space="preserve">Certification risk: AR-0004 holds Certification Level L3 (standing) while dormant; L4 only if triggered and verified (Section 6, WP-0003.H).</w:t>
      </w:r>
    </w:p>
    <w:p>
      <w:pPr>
        <w:spacing w:after="100" w:before="200"/>
      </w:pPr>
      <w:r>
        <w:rPr>
          <w:b/>
          <w:bCs/>
          <w:i/>
          <w:iCs/>
        </w:rPr>
        <w:t xml:space="preserve">D. Repository Risks — Database Repository (Section 3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435"/>
        <w:gridCol w:w="3629"/>
      </w:tblGrid>
      <w:tr>
        <w:trPr>
          <w:tblHeader/>
        </w:trPr>
        <w:tc>
          <w:tcPr>
            <w:tcW w:type="dxa" w:w="2016"/>
            <w:shd w:fill="D9D9D9" w:color="auto" w:val="clear"/>
          </w:tcPr>
          <w:p>
            <w:r>
              <w:rPr>
                <w:b/>
                <w:bCs/>
                <w:sz w:val="18"/>
                <w:szCs w:val="18"/>
              </w:rPr>
              <w:t xml:space="preserve">Risk Dimension</w:t>
            </w:r>
          </w:p>
        </w:tc>
        <w:tc>
          <w:tcPr>
            <w:tcW w:type="dxa" w:w="4435"/>
            <w:shd w:fill="D9D9D9" w:color="auto" w:val="clear"/>
          </w:tcPr>
          <w:p>
            <w:r>
              <w:rPr>
                <w:b/>
                <w:bCs/>
                <w:sz w:val="18"/>
                <w:szCs w:val="18"/>
              </w:rPr>
              <w:t xml:space="preserve">Assessment</w:t>
            </w:r>
          </w:p>
        </w:tc>
        <w:tc>
          <w:tcPr>
            <w:tcW w:type="dxa" w:w="3629"/>
            <w:shd w:fill="D9D9D9" w:color="auto" w:val="clear"/>
          </w:tcPr>
          <w:p>
            <w:r>
              <w:rPr>
                <w:b/>
                <w:bCs/>
                <w:sz w:val="18"/>
                <w:szCs w:val="18"/>
              </w:rPr>
              <w:t xml:space="preserve">Mitigation</w:t>
            </w:r>
          </w:p>
        </w:tc>
      </w:tr>
      <w:tr>
        <w:tc>
          <w:tcPr>
            <w:tcW w:type="dxa" w:w="2016"/>
          </w:tcPr>
          <w:p>
            <w:r>
              <w:rPr>
                <w:sz w:val="18"/>
                <w:szCs w:val="18"/>
              </w:rPr>
              <w:t xml:space="preserve">Change Risk</w:t>
            </w:r>
          </w:p>
        </w:tc>
        <w:tc>
          <w:tcPr>
            <w:tcW w:type="dxa" w:w="4435"/>
          </w:tcPr>
          <w:p>
            <w:r>
              <w:rPr>
                <w:sz w:val="18"/>
                <w:szCs w:val="18"/>
              </w:rPr>
              <w:t xml:space="preserve">Higher for WP-0003 if the partitioning trigger fires, relative to the Low change risk across WP-0002/0004/0005 baseline scope.</w:t>
            </w:r>
          </w:p>
        </w:tc>
        <w:tc>
          <w:tcPr>
            <w:tcW w:type="dxa" w:w="3629"/>
          </w:tcPr>
          <w:p>
            <w:r>
              <w:rPr>
                <w:sz w:val="18"/>
                <w:szCs w:val="18"/>
              </w:rPr>
              <w:t xml:space="preserve">No large-scale schema rewrite is planned or justified by current evidence unless and until the trigger fires (Phase B §1).</w:t>
            </w:r>
          </w:p>
        </w:tc>
      </w:tr>
      <w:tr>
        <w:tc>
          <w:tcPr>
            <w:tcW w:type="dxa" w:w="2016"/>
          </w:tcPr>
          <w:p>
            <w:r>
              <w:rPr>
                <w:sz w:val="18"/>
                <w:szCs w:val="18"/>
              </w:rPr>
              <w:t xml:space="preserve">Verification Risk</w:t>
            </w:r>
          </w:p>
        </w:tc>
        <w:tc>
          <w:tcPr>
            <w:tcW w:type="dxa" w:w="4435"/>
          </w:tcPr>
          <w:p>
            <w:r>
              <w:rPr>
                <w:sz w:val="18"/>
                <w:szCs w:val="18"/>
              </w:rPr>
              <w:t xml:space="preserve">Not Applicable until triggered; migration and rollback verification once triggered (Section 6, WP-0003.D).</w:t>
            </w:r>
          </w:p>
        </w:tc>
      </w:tr>
      <w:tr>
        <w:tc>
          <w:tcPr>
            <w:tcW w:type="dxa" w:w="2016"/>
          </w:tcPr>
          <w:p>
            <w:r>
              <w:rPr>
                <w:sz w:val="18"/>
                <w:szCs w:val="18"/>
              </w:rPr>
              <w:t xml:space="preserve">Migration Risk</w:t>
            </w:r>
          </w:p>
        </w:tc>
        <w:tc>
          <w:tcPr>
            <w:tcW w:type="dxa" w:w="4435"/>
          </w:tcPr>
          <w:p>
            <w:r>
              <w:rPr>
                <w:sz w:val="18"/>
                <w:szCs w:val="18"/>
              </w:rPr>
              <w:t xml:space="preserve">Medium, growing over time for WP-0003 (unpartitioned tables) (Section 3 §6).</w:t>
            </w:r>
          </w:p>
        </w:tc>
        <w:tc>
          <w:tcPr>
            <w:tcW w:type="dxa" w:w="3629"/>
          </w:tcPr>
          <w:p>
            <w:r>
              <w:rPr>
                <w:sz w:val="18"/>
                <w:szCs w:val="18"/>
              </w:rPr>
              <w:t xml:space="preserve">Quarterly monitoring against EGD-0004's trigger (10M rows, latency degradation, or 10-downstream-system scale).</w:t>
            </w:r>
          </w:p>
        </w:tc>
      </w:tr>
      <w:tr>
        <w:tc>
          <w:tcPr>
            <w:tcW w:type="dxa" w:w="2016"/>
          </w:tcPr>
          <w:p>
            <w:r>
              <w:rPr>
                <w:sz w:val="18"/>
                <w:szCs w:val="18"/>
              </w:rPr>
              <w:t xml:space="preserve">Security Risk</w:t>
            </w:r>
          </w:p>
        </w:tc>
        <w:tc>
          <w:tcPr>
            <w:tcW w:type="dxa" w:w="4435"/>
          </w:tcPr>
          <w:p>
            <w:r>
              <w:rPr>
                <w:sz w:val="18"/>
                <w:szCs w:val="18"/>
              </w:rPr>
              <w:t xml:space="preserve">Not Applicable to this Work Package.</w:t>
            </w:r>
          </w:p>
        </w:tc>
        <w:tc>
          <w:tcPr>
            <w:tcW w:type="dxa" w:w="3629"/>
          </w:tcPr>
          <w:p>
            <w:r>
              <w:rPr>
                <w:sz w:val="18"/>
                <w:szCs w:val="18"/>
              </w:rPr>
              <w:t xml:space="preserve">N/A.</w:t>
            </w:r>
          </w:p>
        </w:tc>
      </w:tr>
      <w:tr>
        <w:tc>
          <w:tcPr>
            <w:tcW w:type="dxa" w:w="2016"/>
          </w:tcPr>
          <w:p>
            <w:r>
              <w:rPr>
                <w:sz w:val="18"/>
                <w:szCs w:val="18"/>
              </w:rPr>
              <w:t xml:space="preserve">Operational Risk</w:t>
            </w:r>
          </w:p>
        </w:tc>
        <w:tc>
          <w:tcPr>
            <w:tcW w:type="dxa" w:w="4435"/>
          </w:tcPr>
          <w:p>
            <w:r>
              <w:rPr>
                <w:sz w:val="18"/>
                <w:szCs w:val="18"/>
              </w:rPr>
              <w:t xml:space="preserve">Not Evidenced in Current Baseline.</w:t>
            </w:r>
          </w:p>
        </w:tc>
        <w:tc>
          <w:tcPr>
            <w:tcW w:type="dxa" w:w="3629"/>
          </w:tcPr>
          <w:p>
            <w:r>
              <w:rPr>
                <w:sz w:val="18"/>
                <w:szCs w:val="18"/>
              </w:rPr>
              <w:t xml:space="preserve">N/A.</w:t>
            </w:r>
          </w:p>
        </w:tc>
      </w:tr>
    </w:tbl>
    <w:p>
      <w:pPr>
        <w:spacing w:after="200"/>
      </w:pPr>
    </w:p>
    <w:p>
      <w:pPr>
        <w:spacing w:after="100" w:before="200"/>
      </w:pPr>
      <w:r>
        <w:rPr>
          <w:b/>
          <w:bCs/>
          <w:i/>
          <w:iCs/>
        </w:rPr>
        <w:t xml:space="preserve">E. Engineering Risks</w:t>
      </w:r>
    </w:p>
    <w:p>
      <w:pPr>
        <w:pStyle w:val="ListParagraph"/>
        <w:numPr>
          <w:ilvl w:val="0"/>
          <w:numId w:val="1"/>
        </w:numPr>
        <w:spacing w:after="80"/>
      </w:pPr>
      <w:r>
        <w:t xml:space="preserve">Implementation Complexity: Medium for assessment; High if migration is ultimately chosen (Phase A.3 §9).</w:t>
      </w:r>
    </w:p>
    <w:p>
      <w:pPr>
        <w:pStyle w:val="ListParagraph"/>
        <w:numPr>
          <w:ilvl w:val="0"/>
          <w:numId w:val="1"/>
        </w:numPr>
        <w:spacing w:after="80"/>
      </w:pPr>
      <w:r>
        <w:t xml:space="preserve">Verification Dependency: quarterly row-count/latency check against the EGD-0004 trigger thresholds (Phase A.3 §7).</w:t>
      </w:r>
    </w:p>
    <w:p>
      <w:pPr>
        <w:pStyle w:val="ListParagraph"/>
        <w:numPr>
          <w:ilvl w:val="0"/>
          <w:numId w:val="1"/>
        </w:numPr>
        <w:spacing w:after="80"/>
      </w:pPr>
      <w:r>
        <w:t xml:space="preserve">Rollback Dependency: applicable only if a migration is built and executed — triggered by a failed partitioning migration, unexpected query-plan regression, or a rollback request during verification (Section 5 §F, WP-0003).</w:t>
      </w:r>
    </w:p>
    <w:p>
      <w:pPr>
        <w:pStyle w:val="ListParagraph"/>
        <w:numPr>
          <w:ilvl w:val="0"/>
          <w:numId w:val="1"/>
        </w:numPr>
        <w:spacing w:after="80"/>
      </w:pPr>
      <w:r>
        <w:t xml:space="preserve">Engineering Readiness: Blocked — trigger-gated on row-count/growth data not yet gathered, an external, not-yet-available data dependency (Phase B §7; Section 3 §5).</w:t>
      </w:r>
    </w:p>
    <w:p>
      <w:pPr>
        <w:spacing w:after="100" w:before="200"/>
      </w:pPr>
      <w:r>
        <w:rPr>
          <w:b/>
          <w:bCs/>
          <w:i/>
          <w:iCs/>
        </w:rPr>
        <w:t xml:space="preserve">F. Security Risks</w:t>
      </w:r>
    </w:p>
    <w:p>
      <w:pPr>
        <w:spacing w:after="160"/>
      </w:pPr>
      <w:r>
        <w:t xml:space="preserve">Not Applicable to this Work Package (Section 2, WP-0003.D).</w:t>
      </w:r>
    </w:p>
    <w:p>
      <w:pPr>
        <w:spacing w:after="100" w:before="200"/>
      </w:pPr>
      <w:r>
        <w:rPr>
          <w:b/>
          <w:bCs/>
          <w:i/>
          <w:iCs/>
        </w:rPr>
        <w:t xml:space="preserve">G. Delivery Risks</w:t>
      </w:r>
    </w:p>
    <w:p>
      <w:pPr>
        <w:pStyle w:val="ListParagraph"/>
        <w:numPr>
          <w:ilvl w:val="0"/>
          <w:numId w:val="1"/>
        </w:numPr>
        <w:spacing w:after="80"/>
      </w:pPr>
      <w:r>
        <w:t xml:space="preserve">Scheduling Risk: Medium, trigger-gated — not calendar-gated (Phase A.3 §9; Phase B §5).</w:t>
      </w:r>
    </w:p>
    <w:p>
      <w:pPr>
        <w:pStyle w:val="ListParagraph"/>
        <w:numPr>
          <w:ilvl w:val="0"/>
          <w:numId w:val="1"/>
        </w:numPr>
        <w:spacing w:after="80"/>
      </w:pPr>
      <w:r>
        <w:t xml:space="preserve">Dependency Risk: blocked on external row-count/growth data not yet gathered — a data-availability blocker, not a Work-Package-level blocker (Phase B §7).</w:t>
      </w:r>
    </w:p>
    <w:p>
      <w:pPr>
        <w:pStyle w:val="ListParagraph"/>
        <w:numPr>
          <w:ilvl w:val="0"/>
          <w:numId w:val="1"/>
        </w:numPr>
        <w:spacing w:after="80"/>
      </w:pPr>
      <w:r>
        <w:t xml:space="preserve">Resource Risk: Platform Engineering Lead role currently unassigned (KPI-08 = 0%).</w:t>
      </w:r>
    </w:p>
    <w:p>
      <w:pPr>
        <w:pStyle w:val="ListParagraph"/>
        <w:numPr>
          <w:ilvl w:val="0"/>
          <w:numId w:val="1"/>
        </w:numPr>
        <w:spacing w:after="80"/>
      </w:pPr>
      <w:r>
        <w:t xml:space="preserve">Approval Risk: escalation path for a fired trigger is quarterly assessment → migration design → EGD-0004 execution; no re-verification requirement is evidenced beyond the standard quarterly cycle until execution begins (Section 6 §G, WP-0003).</w:t>
      </w:r>
    </w:p>
    <w:p>
      <w:pPr>
        <w:spacing w:after="100" w:before="200"/>
      </w:pPr>
      <w:r>
        <w:rPr>
          <w:b/>
          <w:bCs/>
          <w:i/>
          <w:iCs/>
        </w:rPr>
        <w:t xml:space="preserve">H. Risk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D9D9D9" w:color="auto" w:val="clear"/>
          </w:tcPr>
          <w:p>
            <w:r>
              <w:rPr>
                <w:b/>
                <w:bCs/>
                <w:sz w:val="18"/>
                <w:szCs w:val="18"/>
              </w:rPr>
              <w:t xml:space="preserve">Control Type</w:t>
            </w:r>
          </w:p>
        </w:tc>
        <w:tc>
          <w:tcPr>
            <w:tcW w:type="dxa" w:w="7862"/>
            <w:shd w:fill="D9D9D9" w:color="auto" w:val="clear"/>
          </w:tcPr>
          <w:p>
            <w:r>
              <w:rPr>
                <w:b/>
                <w:bCs/>
                <w:sz w:val="18"/>
                <w:szCs w:val="18"/>
              </w:rPr>
              <w:t xml:space="preserve">Control</w:t>
            </w:r>
          </w:p>
        </w:tc>
      </w:tr>
      <w:tr>
        <w:tc>
          <w:tcPr>
            <w:tcW w:type="dxa" w:w="2218"/>
          </w:tcPr>
          <w:p>
            <w:r>
              <w:rPr>
                <w:sz w:val="18"/>
                <w:szCs w:val="18"/>
              </w:rPr>
              <w:t xml:space="preserve">Preventive</w:t>
            </w:r>
          </w:p>
        </w:tc>
        <w:tc>
          <w:tcPr>
            <w:tcW w:type="dxa" w:w="7862"/>
          </w:tcPr>
          <w:p>
            <w:r>
              <w:rPr>
                <w:sz w:val="18"/>
                <w:szCs w:val="18"/>
              </w:rPr>
              <w:t xml:space="preserve">Quarterly row-count/latency monitoring against the EGD-0004 trigger, preserving the correctly-deferred status per AP-008.</w:t>
            </w:r>
          </w:p>
        </w:tc>
      </w:tr>
      <w:tr>
        <w:tc>
          <w:tcPr>
            <w:tcW w:type="dxa" w:w="2218"/>
          </w:tcPr>
          <w:p>
            <w:r>
              <w:rPr>
                <w:sz w:val="18"/>
                <w:szCs w:val="18"/>
              </w:rPr>
              <w:t xml:space="preserve">Detective</w:t>
            </w:r>
          </w:p>
        </w:tc>
        <w:tc>
          <w:tcPr>
            <w:tcW w:type="dxa" w:w="7862"/>
          </w:tcPr>
          <w:p>
            <w:r>
              <w:rPr>
                <w:sz w:val="18"/>
                <w:szCs w:val="18"/>
              </w:rPr>
              <w:t xml:space="preserve">Quarterly assessment report measuring row count against the 10M threshold and downstream-system count against the 10-system threshold (Section 2, WP-0003.J).</w:t>
            </w:r>
          </w:p>
        </w:tc>
      </w:tr>
      <w:tr>
        <w:tc>
          <w:tcPr>
            <w:tcW w:type="dxa" w:w="2218"/>
          </w:tcPr>
          <w:p>
            <w:r>
              <w:rPr>
                <w:sz w:val="18"/>
                <w:szCs w:val="18"/>
              </w:rPr>
              <w:t xml:space="preserve">Corrective</w:t>
            </w:r>
          </w:p>
        </w:tc>
        <w:tc>
          <w:tcPr>
            <w:tcW w:type="dxa" w:w="7862"/>
          </w:tcPr>
          <w:p>
            <w:r>
              <w:rPr>
                <w:sz w:val="18"/>
                <w:szCs w:val="18"/>
              </w:rPr>
              <w:t xml:space="preserve">Per the AR-0010/EGD-0009 accepted standard, the migration is designed as idempotent and rollback-ready before it is executed, once the trigger fires (Section 5 §F, WP-0003).</w:t>
            </w:r>
          </w:p>
        </w:tc>
      </w:tr>
    </w:tbl>
    <w:p>
      <w:pPr>
        <w:spacing w:after="200"/>
      </w:pPr>
    </w:p>
    <w:p>
      <w:pPr>
        <w:spacing w:after="100" w:before="200"/>
      </w:pPr>
      <w:r>
        <w:rPr>
          <w:b/>
          <w:bCs/>
          <w:i/>
          <w:iCs/>
        </w:rPr>
        <w:t xml:space="preserve">I. Mitigation Strategy</w:t>
      </w:r>
    </w:p>
    <w:p>
      <w:pPr>
        <w:spacing w:after="160"/>
      </w:pPr>
      <w:r>
        <w:t xml:space="preserve">Mitigation Approach: quarterly monitoring against ADR-004's trigger (EGD-0004) (Phase B §10).</w:t>
      </w:r>
    </w:p>
    <w:p>
      <w:pPr>
        <w:spacing w:after="160"/>
      </w:pPr>
      <w:r>
        <w:t xml:space="preserve">Residual Risk: Medium, growing over time, until the trigger fires and the assessment/migration is executed (Phase B §10).</w:t>
      </w:r>
    </w:p>
    <w:p>
      <w:pPr>
        <w:spacing w:after="160"/>
      </w:pPr>
      <w:r>
        <w:t xml:space="preserve">Escalation Criteria: fired trigger escalates to quarterly assessment → migration design → EGD-0004 execution (Section 6 §G, WP-0003).</w:t>
      </w:r>
    </w:p>
    <w:p>
      <w:pPr>
        <w:spacing w:after="160"/>
      </w:pPr>
      <w:r>
        <w:t xml:space="preserve">Monitoring Approach: KPI-05 (Deferred Decisions) and KPI-09 (Technical Debt by Class, Tactical) tracked quarterly (Phase A.3 §10).</w:t>
      </w:r>
    </w:p>
    <w:p>
      <w:pPr>
        <w:spacing w:after="100" w:before="200"/>
      </w:pPr>
      <w:r>
        <w:rPr>
          <w:b/>
          <w:bCs/>
          <w:i/>
          <w:iCs/>
        </w:rPr>
        <w:t xml:space="preserve">J. Recovery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Recovery Element</w:t>
            </w:r>
          </w:p>
        </w:tc>
        <w:tc>
          <w:tcPr>
            <w:tcW w:type="dxa" w:w="7661"/>
            <w:shd w:fill="D9D9D9" w:color="auto" w:val="clear"/>
          </w:tcPr>
          <w:p>
            <w:r>
              <w:rPr>
                <w:b/>
                <w:bCs/>
                <w:sz w:val="18"/>
                <w:szCs w:val="18"/>
              </w:rPr>
              <w:t xml:space="preserve">Detail</w:t>
            </w:r>
          </w:p>
        </w:tc>
      </w:tr>
      <w:tr>
        <w:tc>
          <w:tcPr>
            <w:tcW w:type="dxa" w:w="2419"/>
          </w:tcPr>
          <w:p>
            <w:r>
              <w:rPr>
                <w:sz w:val="18"/>
                <w:szCs w:val="18"/>
              </w:rPr>
              <w:t xml:space="preserve">Rollback Trigger</w:t>
            </w:r>
          </w:p>
        </w:tc>
        <w:tc>
          <w:tcPr>
            <w:tcW w:type="dxa" w:w="7661"/>
          </w:tcPr>
          <w:p>
            <w:r>
              <w:rPr>
                <w:sz w:val="18"/>
                <w:szCs w:val="18"/>
              </w:rPr>
              <w:t xml:space="preserve">Applicable only if a migration is built and executed — triggered by a failed partitioning migration, unexpected query-plan regression, or a rollback request during verification.</w:t>
            </w:r>
          </w:p>
        </w:tc>
      </w:tr>
      <w:tr>
        <w:tc>
          <w:tcPr>
            <w:tcW w:type="dxa" w:w="2419"/>
          </w:tcPr>
          <w:p>
            <w:r>
              <w:rPr>
                <w:sz w:val="18"/>
                <w:szCs w:val="18"/>
              </w:rPr>
              <w:t xml:space="preserve">Recovery Approach</w:t>
            </w:r>
          </w:p>
        </w:tc>
        <w:tc>
          <w:tcPr>
            <w:tcW w:type="dxa" w:w="7661"/>
          </w:tcPr>
          <w:p>
            <w:r>
              <w:rPr>
                <w:sz w:val="18"/>
                <w:szCs w:val="18"/>
              </w:rPr>
              <w:t xml:space="preserve">Per the AR-0010/EGD-0009 accepted standard: the migration is designed as idempotent and rollback-ready before it is executed.</w:t>
            </w:r>
          </w:p>
        </w:tc>
      </w:tr>
      <w:tr>
        <w:tc>
          <w:tcPr>
            <w:tcW w:type="dxa" w:w="2419"/>
          </w:tcPr>
          <w:p>
            <w:r>
              <w:rPr>
                <w:sz w:val="18"/>
                <w:szCs w:val="18"/>
              </w:rPr>
              <w:t xml:space="preserve">Re-verification</w:t>
            </w:r>
          </w:p>
        </w:tc>
        <w:tc>
          <w:tcPr>
            <w:tcW w:type="dxa" w:w="7661"/>
          </w:tcPr>
          <w:p>
            <w:r>
              <w:rPr>
                <w:sz w:val="18"/>
                <w:szCs w:val="18"/>
              </w:rPr>
              <w:t xml:space="preserve">Execute the migration's accompanying rollback script to restore the pre-partition table structure in the database repository; amend the assessment report to record the rollback event and its cause.</w:t>
            </w:r>
          </w:p>
        </w:tc>
      </w:tr>
      <w:tr>
        <w:tc>
          <w:tcPr>
            <w:tcW w:type="dxa" w:w="2419"/>
          </w:tcPr>
          <w:p>
            <w:r>
              <w:rPr>
                <w:sz w:val="18"/>
                <w:szCs w:val="18"/>
              </w:rPr>
              <w:t xml:space="preserve">Governance Approval</w:t>
            </w:r>
          </w:p>
        </w:tc>
        <w:tc>
          <w:tcPr>
            <w:tcW w:type="dxa" w:w="7661"/>
          </w:tcPr>
          <w:p>
            <w:r>
              <w:rPr>
                <w:sz w:val="18"/>
                <w:szCs w:val="18"/>
              </w:rPr>
              <w:t xml:space="preserve">Update the EGD-0004 trigger-monitoring log to reflect the rollback; the trigger condition remains active for a future re-attempt.</w:t>
            </w:r>
          </w:p>
        </w:tc>
      </w:tr>
      <w:tr>
        <w:tc>
          <w:tcPr>
            <w:tcW w:type="dxa" w:w="2419"/>
          </w:tcPr>
          <w:p>
            <w:r>
              <w:rPr>
                <w:sz w:val="18"/>
                <w:szCs w:val="18"/>
              </w:rPr>
              <w:t xml:space="preserve">Closure</w:t>
            </w:r>
          </w:p>
        </w:tc>
        <w:tc>
          <w:tcPr>
            <w:tcW w:type="dxa" w:w="7661"/>
          </w:tcPr>
          <w:p>
            <w:r>
              <w:rPr>
                <w:sz w:val="18"/>
                <w:szCs w:val="18"/>
              </w:rPr>
              <w:t xml:space="preserve">Quarterly monitoring evidence exists and is current; if triggered, the migration meets the AR-0010 standard with zero rollback failures; Certification Level L3 (standing) is maintained, L4 achieved only if triggered and verified.</w:t>
            </w:r>
          </w:p>
        </w:tc>
      </w:tr>
    </w:tbl>
    <w:p>
      <w:pPr>
        <w:pStyle w:val="Heading3"/>
        <w:spacing w:after="120" w:before="260"/>
      </w:pPr>
      <w:r>
        <w:t xml:space="preserve">WP-0004 — Document the Accepted Direct-FK Taxonomy Pattern and Establish a Per-Release Denormalization Check</w:t>
      </w:r>
    </w:p>
    <w:p>
      <w:pPr>
        <w:spacing w:after="100" w:before="200"/>
      </w:pPr>
      <w:r>
        <w:rPr>
          <w:b/>
          <w:bCs/>
          <w:i/>
          <w:iCs/>
        </w:rPr>
        <w:t xml:space="preserve">A. Risk Overview</w:t>
      </w:r>
    </w:p>
    <w:p>
      <w:pPr>
        <w:spacing w:after="160"/>
      </w:pPr>
      <w:r>
        <w:t xml:space="preserve">Risk Objective: close AR-0003's conditional-acceptance monitoring with a durable, automated check rather than a one-time document (Section 2, WP-0004.C).</w:t>
      </w:r>
    </w:p>
    <w:p>
      <w:pPr>
        <w:spacing w:after="160"/>
      </w:pPr>
      <w:r>
        <w:t xml:space="preserve">Primary Implementation Risk: taxonomy facts could later be denormalized onto student-owned rows (Phase B §10) — the direct-FK taxonomy pattern is accepted conditionally, not unconditionally.</w:t>
      </w:r>
    </w:p>
    <w:p>
      <w:pPr>
        <w:spacing w:after="160"/>
      </w:pPr>
      <w:r>
        <w:t xml:space="preserve">Overall Risk Posture: Medium, latent (Phase B §4) — Low currently, but requires ongoing per-release monitoring (Phase B §10).</w:t>
      </w:r>
    </w:p>
    <w:p>
      <w:pPr>
        <w:spacing w:after="100" w:before="200"/>
      </w:pPr>
      <w:r>
        <w:rPr>
          <w:b/>
          <w:bCs/>
          <w:i/>
          <w:iCs/>
        </w:rPr>
        <w:t xml:space="preserve">B. Architecture Risks</w:t>
      </w:r>
    </w:p>
    <w:p>
      <w:pPr>
        <w:pStyle w:val="ListParagraph"/>
        <w:numPr>
          <w:ilvl w:val="0"/>
          <w:numId w:val="1"/>
        </w:numPr>
        <w:spacing w:after="80"/>
      </w:pPr>
      <w:r>
        <w:t xml:space="preserve">AR-0003 (Data Governance) is Non-conformant, conditionally accepted (Phase A.3 §3) — VAR-03 is an approved, conditional variance monitored per-release, not an open implementation item (Section 2, WP-0004.D).</w:t>
      </w:r>
    </w:p>
    <w:p>
      <w:pPr>
        <w:pStyle w:val="ListParagraph"/>
        <w:numPr>
          <w:ilvl w:val="0"/>
          <w:numId w:val="1"/>
        </w:numPr>
        <w:spacing w:after="80"/>
      </w:pPr>
      <w:r>
        <w:t xml:space="preserve">Traceability risk: ER-0003 remains Accepted, conditional — the specific harm Phase A warned about (denormalized taxonomy facts on operational rows) was not found, but ongoing monitoring is required (Phase A.3 §5).</w:t>
      </w:r>
    </w:p>
    <w:p>
      <w:pPr>
        <w:spacing w:after="100" w:before="200"/>
      </w:pPr>
      <w:r>
        <w:rPr>
          <w:b/>
          <w:bCs/>
          <w:i/>
          <w:iCs/>
        </w:rPr>
        <w:t xml:space="preserve">C. Governance Risks</w:t>
      </w:r>
    </w:p>
    <w:p>
      <w:pPr>
        <w:pStyle w:val="ListParagraph"/>
        <w:numPr>
          <w:ilvl w:val="0"/>
          <w:numId w:val="1"/>
        </w:numPr>
        <w:spacing w:after="80"/>
      </w:pPr>
      <w:r>
        <w:t xml:space="preserve">EGD-0003 is Accepted, conditional (Phase A.3 §4); owner: Data Governance Owner, unassigned pending WP-0006.</w:t>
      </w:r>
    </w:p>
    <w:p>
      <w:pPr>
        <w:pStyle w:val="ListParagraph"/>
        <w:numPr>
          <w:ilvl w:val="0"/>
          <w:numId w:val="1"/>
        </w:numPr>
        <w:spacing w:after="80"/>
      </w:pPr>
      <w:r>
        <w:t xml:space="preserve">Certification risk: AR-0003 advances toward Certification Level L4 only once the per-release automated check is operating (Section 2, WP-0004.C).</w:t>
      </w:r>
    </w:p>
    <w:p>
      <w:pPr>
        <w:spacing w:after="100" w:before="200"/>
      </w:pPr>
      <w:r>
        <w:rPr>
          <w:b/>
          <w:bCs/>
          <w:i/>
          <w:iCs/>
        </w:rPr>
        <w:t xml:space="preserve">D. Repository Risks — Database and Test Repository (Section 3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435"/>
        <w:gridCol w:w="3629"/>
      </w:tblGrid>
      <w:tr>
        <w:trPr>
          <w:tblHeader/>
        </w:trPr>
        <w:tc>
          <w:tcPr>
            <w:tcW w:type="dxa" w:w="2016"/>
            <w:shd w:fill="D9D9D9" w:color="auto" w:val="clear"/>
          </w:tcPr>
          <w:p>
            <w:r>
              <w:rPr>
                <w:b/>
                <w:bCs/>
                <w:sz w:val="18"/>
                <w:szCs w:val="18"/>
              </w:rPr>
              <w:t xml:space="preserve">Risk Dimension</w:t>
            </w:r>
          </w:p>
        </w:tc>
        <w:tc>
          <w:tcPr>
            <w:tcW w:type="dxa" w:w="4435"/>
            <w:shd w:fill="D9D9D9" w:color="auto" w:val="clear"/>
          </w:tcPr>
          <w:p>
            <w:r>
              <w:rPr>
                <w:b/>
                <w:bCs/>
                <w:sz w:val="18"/>
                <w:szCs w:val="18"/>
              </w:rPr>
              <w:t xml:space="preserve">Assessment</w:t>
            </w:r>
          </w:p>
        </w:tc>
        <w:tc>
          <w:tcPr>
            <w:tcW w:type="dxa" w:w="3629"/>
            <w:shd w:fill="D9D9D9" w:color="auto" w:val="clear"/>
          </w:tcPr>
          <w:p>
            <w:r>
              <w:rPr>
                <w:b/>
                <w:bCs/>
                <w:sz w:val="18"/>
                <w:szCs w:val="18"/>
              </w:rPr>
              <w:t xml:space="preserve">Mitigation</w:t>
            </w:r>
          </w:p>
        </w:tc>
      </w:tr>
      <w:tr>
        <w:tc>
          <w:tcPr>
            <w:tcW w:type="dxa" w:w="2016"/>
          </w:tcPr>
          <w:p>
            <w:r>
              <w:rPr>
                <w:sz w:val="18"/>
                <w:szCs w:val="18"/>
              </w:rPr>
              <w:t xml:space="preserve">Change Risk</w:t>
            </w:r>
          </w:p>
        </w:tc>
        <w:tc>
          <w:tcPr>
            <w:tcW w:type="dxa" w:w="4435"/>
          </w:tcPr>
          <w:p>
            <w:r>
              <w:rPr>
                <w:sz w:val="18"/>
                <w:szCs w:val="18"/>
              </w:rPr>
              <w:t xml:space="preserve">Low — the pattern is already implemented and accepted conditionally; no retrofit is in baseline scope.</w:t>
            </w:r>
          </w:p>
        </w:tc>
        <w:tc>
          <w:tcPr>
            <w:tcW w:type="dxa" w:w="3629"/>
          </w:tcPr>
          <w:p>
            <w:r>
              <w:rPr>
                <w:sz w:val="18"/>
                <w:szCs w:val="18"/>
              </w:rPr>
              <w:t xml:space="preserve">None in baseline scope — a retrofit to _code+version applies only as contingency if a violation is found (Section 2, WP-0004.D).</w:t>
            </w:r>
          </w:p>
        </w:tc>
      </w:tr>
      <w:tr>
        <w:tc>
          <w:tcPr>
            <w:tcW w:type="dxa" w:w="2016"/>
          </w:tcPr>
          <w:p>
            <w:r>
              <w:rPr>
                <w:sz w:val="18"/>
                <w:szCs w:val="18"/>
              </w:rPr>
              <w:t xml:space="preserve">Verification Risk</w:t>
            </w:r>
          </w:p>
        </w:tc>
        <w:tc>
          <w:tcPr>
            <w:tcW w:type="dxa" w:w="4435"/>
          </w:tcPr>
          <w:p>
            <w:r>
              <w:rPr>
                <w:sz w:val="18"/>
                <w:szCs w:val="18"/>
              </w:rPr>
              <w:t xml:space="preserve">Not Applicable beyond the per-release automated check itself.</w:t>
            </w:r>
          </w:p>
        </w:tc>
        <w:tc>
          <w:tcPr>
            <w:tcW w:type="dxa" w:w="3629"/>
          </w:tcPr>
          <w:p>
            <w:r>
              <w:rPr>
                <w:sz w:val="18"/>
                <w:szCs w:val="18"/>
              </w:rPr>
              <w:t xml:space="preserve">Per-release automated denormalization check (Section 2, WP-0004.D).</w:t>
            </w:r>
          </w:p>
        </w:tc>
      </w:tr>
      <w:tr>
        <w:tc>
          <w:tcPr>
            <w:tcW w:type="dxa" w:w="2016"/>
          </w:tcPr>
          <w:p>
            <w:r>
              <w:rPr>
                <w:sz w:val="18"/>
                <w:szCs w:val="18"/>
              </w:rPr>
              <w:t xml:space="preserve">Migration Risk</w:t>
            </w:r>
          </w:p>
        </w:tc>
        <w:tc>
          <w:tcPr>
            <w:tcW w:type="dxa" w:w="4435"/>
          </w:tcPr>
          <w:p>
            <w:r>
              <w:rPr>
                <w:sz w:val="18"/>
                <w:szCs w:val="18"/>
              </w:rPr>
              <w:t xml:space="preserve">Medium, latent for WP-0004 (taxonomy retrofit contingency) (Section 3 §6).</w:t>
            </w:r>
          </w:p>
        </w:tc>
        <w:tc>
          <w:tcPr>
            <w:tcW w:type="dxa" w:w="3629"/>
          </w:tcPr>
          <w:p>
            <w:r>
              <w:rPr>
                <w:sz w:val="18"/>
                <w:szCs w:val="18"/>
              </w:rPr>
              <w:t xml:space="preserve">Per-release automated check against EGD-0003's condition.</w:t>
            </w:r>
          </w:p>
        </w:tc>
      </w:tr>
      <w:tr>
        <w:tc>
          <w:tcPr>
            <w:tcW w:type="dxa" w:w="2016"/>
          </w:tcPr>
          <w:p>
            <w:r>
              <w:rPr>
                <w:sz w:val="18"/>
                <w:szCs w:val="18"/>
              </w:rPr>
              <w:t xml:space="preserve">Security Risk</w:t>
            </w:r>
          </w:p>
        </w:tc>
        <w:tc>
          <w:tcPr>
            <w:tcW w:type="dxa" w:w="4435"/>
          </w:tcPr>
          <w:p>
            <w:r>
              <w:rPr>
                <w:sz w:val="18"/>
                <w:szCs w:val="18"/>
              </w:rPr>
              <w:t xml:space="preserve">Not Applicable to this Work Package.</w:t>
            </w:r>
          </w:p>
        </w:tc>
        <w:tc>
          <w:tcPr>
            <w:tcW w:type="dxa" w:w="3629"/>
          </w:tcPr>
          <w:p>
            <w:r>
              <w:rPr>
                <w:sz w:val="18"/>
                <w:szCs w:val="18"/>
              </w:rPr>
              <w:t xml:space="preserve">N/A.</w:t>
            </w:r>
          </w:p>
        </w:tc>
      </w:tr>
      <w:tr>
        <w:tc>
          <w:tcPr>
            <w:tcW w:type="dxa" w:w="2016"/>
          </w:tcPr>
          <w:p>
            <w:r>
              <w:rPr>
                <w:sz w:val="18"/>
                <w:szCs w:val="18"/>
              </w:rPr>
              <w:t xml:space="preserve">Operational Risk</w:t>
            </w:r>
          </w:p>
        </w:tc>
        <w:tc>
          <w:tcPr>
            <w:tcW w:type="dxa" w:w="4435"/>
          </w:tcPr>
          <w:p>
            <w:r>
              <w:rPr>
                <w:sz w:val="18"/>
                <w:szCs w:val="18"/>
              </w:rPr>
              <w:t xml:space="preserve">Not Evidenced in Current Baseline beyond the per-release check itself — broader CI/CD tooling is not evidenced (Section 2, WP-0004.D).</w:t>
            </w:r>
          </w:p>
        </w:tc>
        <w:tc>
          <w:tcPr>
            <w:tcW w:type="dxa" w:w="3629"/>
          </w:tcPr>
          <w:p>
            <w:r>
              <w:rPr>
                <w:sz w:val="18"/>
                <w:szCs w:val="18"/>
              </w:rPr>
              <w:t xml:space="preserve">N/A.</w:t>
            </w:r>
          </w:p>
        </w:tc>
      </w:tr>
    </w:tbl>
    <w:p>
      <w:pPr>
        <w:spacing w:after="200"/>
      </w:pPr>
    </w:p>
    <w:p>
      <w:pPr>
        <w:spacing w:after="100" w:before="200"/>
      </w:pPr>
      <w:r>
        <w:rPr>
          <w:b/>
          <w:bCs/>
          <w:i/>
          <w:iCs/>
        </w:rPr>
        <w:t xml:space="preserve">E. Engineering Risks</w:t>
      </w:r>
    </w:p>
    <w:p>
      <w:pPr>
        <w:pStyle w:val="ListParagraph"/>
        <w:numPr>
          <w:ilvl w:val="0"/>
          <w:numId w:val="1"/>
        </w:numPr>
        <w:spacing w:after="80"/>
      </w:pPr>
      <w:r>
        <w:t xml:space="preserve">Implementation Complexity: Low for documentation; High only if a retrofit is ever triggered (Phase A.3 §9).</w:t>
      </w:r>
    </w:p>
    <w:p>
      <w:pPr>
        <w:pStyle w:val="ListParagraph"/>
        <w:numPr>
          <w:ilvl w:val="0"/>
          <w:numId w:val="1"/>
        </w:numPr>
        <w:spacing w:after="80"/>
      </w:pPr>
      <w:r>
        <w:t xml:space="preserve">Verification Dependency: per-release automated denormalization check against academic_boards.country_id-style direct foreign keys (Section 2, WP-0004.D).</w:t>
      </w:r>
    </w:p>
    <w:p>
      <w:pPr>
        <w:pStyle w:val="ListParagraph"/>
        <w:numPr>
          <w:ilvl w:val="0"/>
          <w:numId w:val="1"/>
        </w:numPr>
        <w:spacing w:after="80"/>
      </w:pPr>
      <w:r>
        <w:t xml:space="preserve">Rollback Dependency: baseline scope (documentation and automated check) carries no database change and therefore no rollback trigger; applicable only to the contingency retrofit if EGD-0003's condition is triggered (Section 5 §F, WP-0004).</w:t>
      </w:r>
    </w:p>
    <w:p>
      <w:pPr>
        <w:pStyle w:val="ListParagraph"/>
        <w:numPr>
          <w:ilvl w:val="0"/>
          <w:numId w:val="1"/>
        </w:numPr>
        <w:spacing w:after="80"/>
      </w:pPr>
      <w:r>
        <w:t xml:space="preserve">Engineering Readiness: startable now; benefits from WP-0001's naming clarity but is not blocked by it (Phase B §4).</w:t>
      </w:r>
    </w:p>
    <w:p>
      <w:pPr>
        <w:spacing w:after="100" w:before="200"/>
      </w:pPr>
      <w:r>
        <w:rPr>
          <w:b/>
          <w:bCs/>
          <w:i/>
          <w:iCs/>
        </w:rPr>
        <w:t xml:space="preserve">F. Security Risks</w:t>
      </w:r>
    </w:p>
    <w:p>
      <w:pPr>
        <w:spacing w:after="160"/>
      </w:pPr>
      <w:r>
        <w:t xml:space="preserve">Not Applicable to this Work Package (Section 2, WP-0004.D).</w:t>
      </w:r>
    </w:p>
    <w:p>
      <w:pPr>
        <w:spacing w:after="100" w:before="200"/>
      </w:pPr>
      <w:r>
        <w:rPr>
          <w:b/>
          <w:bCs/>
          <w:i/>
          <w:iCs/>
        </w:rPr>
        <w:t xml:space="preserve">G. Delivery Risks</w:t>
      </w:r>
    </w:p>
    <w:p>
      <w:pPr>
        <w:pStyle w:val="ListParagraph"/>
        <w:numPr>
          <w:ilvl w:val="0"/>
          <w:numId w:val="1"/>
        </w:numPr>
        <w:spacing w:after="80"/>
      </w:pPr>
      <w:r>
        <w:t xml:space="preserve">Scheduling Risk: Low for documentation, High only if retrofit triggered; Wave 2 (Platform Stabilization) (Phase A.3 §9; Phase B §5).</w:t>
      </w:r>
    </w:p>
    <w:p>
      <w:pPr>
        <w:pStyle w:val="ListParagraph"/>
        <w:numPr>
          <w:ilvl w:val="0"/>
          <w:numId w:val="1"/>
        </w:numPr>
        <w:spacing w:after="80"/>
      </w:pPr>
      <w:r>
        <w:t xml:space="preserve">Dependency Risk: benefits from WP-0001's naming clarity — an optional, non-blocking dependency (Phase B §4).</w:t>
      </w:r>
    </w:p>
    <w:p>
      <w:pPr>
        <w:pStyle w:val="ListParagraph"/>
        <w:numPr>
          <w:ilvl w:val="0"/>
          <w:numId w:val="1"/>
        </w:numPr>
        <w:spacing w:after="80"/>
      </w:pPr>
      <w:r>
        <w:t xml:space="preserve">Resource Risk: Data Governance Owner role currently unassigned (KPI-08 = 0%).</w:t>
      </w:r>
    </w:p>
    <w:p>
      <w:pPr>
        <w:pStyle w:val="ListParagraph"/>
        <w:numPr>
          <w:ilvl w:val="0"/>
          <w:numId w:val="1"/>
        </w:numPr>
        <w:spacing w:after="80"/>
      </w:pPr>
      <w:r>
        <w:t xml:space="preserve">Approval Risk: EGD-0003 is already dispositioned in Phase A.3; no new governance is required (Section 2, WP-0004.F).</w:t>
      </w:r>
    </w:p>
    <w:p>
      <w:pPr>
        <w:spacing w:after="100" w:before="200"/>
      </w:pPr>
      <w:r>
        <w:rPr>
          <w:b/>
          <w:bCs/>
          <w:i/>
          <w:iCs/>
        </w:rPr>
        <w:t xml:space="preserve">H. Risk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D9D9D9" w:color="auto" w:val="clear"/>
          </w:tcPr>
          <w:p>
            <w:r>
              <w:rPr>
                <w:b/>
                <w:bCs/>
                <w:sz w:val="18"/>
                <w:szCs w:val="18"/>
              </w:rPr>
              <w:t xml:space="preserve">Control Type</w:t>
            </w:r>
          </w:p>
        </w:tc>
        <w:tc>
          <w:tcPr>
            <w:tcW w:type="dxa" w:w="7862"/>
            <w:shd w:fill="D9D9D9" w:color="auto" w:val="clear"/>
          </w:tcPr>
          <w:p>
            <w:r>
              <w:rPr>
                <w:b/>
                <w:bCs/>
                <w:sz w:val="18"/>
                <w:szCs w:val="18"/>
              </w:rPr>
              <w:t xml:space="preserve">Control</w:t>
            </w:r>
          </w:p>
        </w:tc>
      </w:tr>
      <w:tr>
        <w:tc>
          <w:tcPr>
            <w:tcW w:type="dxa" w:w="2218"/>
          </w:tcPr>
          <w:p>
            <w:r>
              <w:rPr>
                <w:sz w:val="18"/>
                <w:szCs w:val="18"/>
              </w:rPr>
              <w:t xml:space="preserve">Preventive</w:t>
            </w:r>
          </w:p>
        </w:tc>
        <w:tc>
          <w:tcPr>
            <w:tcW w:type="dxa" w:w="7862"/>
          </w:tcPr>
          <w:p>
            <w:r>
              <w:rPr>
                <w:sz w:val="18"/>
                <w:szCs w:val="18"/>
              </w:rPr>
              <w:t xml:space="preserve">Document the accepted direct-FK taxonomy pattern so future engineering does not unknowingly denormalize a taxonomy fact (Section 2, WP-0004.C).</w:t>
            </w:r>
          </w:p>
        </w:tc>
      </w:tr>
      <w:tr>
        <w:tc>
          <w:tcPr>
            <w:tcW w:type="dxa" w:w="2218"/>
          </w:tcPr>
          <w:p>
            <w:r>
              <w:rPr>
                <w:sz w:val="18"/>
                <w:szCs w:val="18"/>
              </w:rPr>
              <w:t xml:space="preserve">Detective</w:t>
            </w:r>
          </w:p>
        </w:tc>
        <w:tc>
          <w:tcPr>
            <w:tcW w:type="dxa" w:w="7862"/>
          </w:tcPr>
          <w:p>
            <w:r>
              <w:rPr>
                <w:sz w:val="18"/>
                <w:szCs w:val="18"/>
              </w:rPr>
              <w:t xml:space="preserve">Per-release automated denormalization check operating on an ongoing basis (Section 2, WP-0004.G).</w:t>
            </w:r>
          </w:p>
        </w:tc>
      </w:tr>
      <w:tr>
        <w:tc>
          <w:tcPr>
            <w:tcW w:type="dxa" w:w="2218"/>
          </w:tcPr>
          <w:p>
            <w:r>
              <w:rPr>
                <w:sz w:val="18"/>
                <w:szCs w:val="18"/>
              </w:rPr>
              <w:t xml:space="preserve">Corrective</w:t>
            </w:r>
          </w:p>
        </w:tc>
        <w:tc>
          <w:tcPr>
            <w:tcW w:type="dxa" w:w="7862"/>
          </w:tcPr>
          <w:p>
            <w:r>
              <w:rPr>
                <w:sz w:val="18"/>
                <w:szCs w:val="18"/>
              </w:rPr>
              <w:t xml:space="preserve">Retrofit to _code+taxonomy_version_id pattern applies only as contingency if a violation is found, per the AR-0010/EGD-0009 idempotent, rollback-ready standard (Section 2, WP-0004.D; Section 5 §F).</w:t>
            </w:r>
          </w:p>
        </w:tc>
      </w:tr>
    </w:tbl>
    <w:p>
      <w:pPr>
        <w:spacing w:after="200"/>
      </w:pPr>
    </w:p>
    <w:p>
      <w:pPr>
        <w:spacing w:after="100" w:before="200"/>
      </w:pPr>
      <w:r>
        <w:rPr>
          <w:b/>
          <w:bCs/>
          <w:i/>
          <w:iCs/>
        </w:rPr>
        <w:t xml:space="preserve">I. Mitigation Strategy</w:t>
      </w:r>
    </w:p>
    <w:p>
      <w:pPr>
        <w:spacing w:after="160"/>
      </w:pPr>
      <w:r>
        <w:t xml:space="preserve">Mitigation Approach: WP-0004 — per-release automated check (Phase B §10).</w:t>
      </w:r>
    </w:p>
    <w:p>
      <w:pPr>
        <w:spacing w:after="160"/>
      </w:pPr>
      <w:r>
        <w:t xml:space="preserve">Residual Risk: Low currently, latent, pending ongoing per-release monitoring (Phase B §10).</w:t>
      </w:r>
    </w:p>
    <w:p>
      <w:pPr>
        <w:spacing w:after="160"/>
      </w:pPr>
      <w:r>
        <w:t xml:space="preserve">Escalation Criteria: any student-owned table denormalizes a taxonomy fact, or taxonomy versioning becomes necessary (EGD-0003 trigger, Phase A.3 §4).</w:t>
      </w:r>
    </w:p>
    <w:p>
      <w:pPr>
        <w:spacing w:after="160"/>
      </w:pPr>
      <w:r>
        <w:t xml:space="preserve">Monitoring Approach: KPI-04 (Approved Variances, count) and KPI-09 (Technical Debt by Class, Strategic) tracked per review cycle (Phase A.3 §10).</w:t>
      </w:r>
    </w:p>
    <w:p>
      <w:pPr>
        <w:spacing w:after="100" w:before="200"/>
      </w:pPr>
      <w:r>
        <w:rPr>
          <w:b/>
          <w:bCs/>
          <w:i/>
          <w:iCs/>
        </w:rPr>
        <w:t xml:space="preserve">J. Recovery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Recovery Element</w:t>
            </w:r>
          </w:p>
        </w:tc>
        <w:tc>
          <w:tcPr>
            <w:tcW w:type="dxa" w:w="7661"/>
            <w:shd w:fill="D9D9D9" w:color="auto" w:val="clear"/>
          </w:tcPr>
          <w:p>
            <w:r>
              <w:rPr>
                <w:b/>
                <w:bCs/>
                <w:sz w:val="18"/>
                <w:szCs w:val="18"/>
              </w:rPr>
              <w:t xml:space="preserve">Detail</w:t>
            </w:r>
          </w:p>
        </w:tc>
      </w:tr>
      <w:tr>
        <w:tc>
          <w:tcPr>
            <w:tcW w:type="dxa" w:w="2419"/>
          </w:tcPr>
          <w:p>
            <w:r>
              <w:rPr>
                <w:sz w:val="18"/>
                <w:szCs w:val="18"/>
              </w:rPr>
              <w:t xml:space="preserve">Rollback Trigger</w:t>
            </w:r>
          </w:p>
        </w:tc>
        <w:tc>
          <w:tcPr>
            <w:tcW w:type="dxa" w:w="7661"/>
          </w:tcPr>
          <w:p>
            <w:r>
              <w:rPr>
                <w:sz w:val="18"/>
                <w:szCs w:val="18"/>
              </w:rPr>
              <w:t xml:space="preserve">Baseline scope carries no rollback trigger. Applicable only to the contingency retrofit, if EGD-0003's condition is triggered by a confirmed violation.</w:t>
            </w:r>
          </w:p>
        </w:tc>
      </w:tr>
      <w:tr>
        <w:tc>
          <w:tcPr>
            <w:tcW w:type="dxa" w:w="2419"/>
          </w:tcPr>
          <w:p>
            <w:r>
              <w:rPr>
                <w:sz w:val="18"/>
                <w:szCs w:val="18"/>
              </w:rPr>
              <w:t xml:space="preserve">Recovery Approach</w:t>
            </w:r>
          </w:p>
        </w:tc>
        <w:tc>
          <w:tcPr>
            <w:tcW w:type="dxa" w:w="7661"/>
          </w:tcPr>
          <w:p>
            <w:r>
              <w:rPr>
                <w:sz w:val="18"/>
                <w:szCs w:val="18"/>
              </w:rPr>
              <w:t xml:space="preserve">Per the AR-0010/EGD-0009 accepted standard, any contingency retrofit migration is idempotent and rollback-ready by design.</w:t>
            </w:r>
          </w:p>
        </w:tc>
      </w:tr>
      <w:tr>
        <w:tc>
          <w:tcPr>
            <w:tcW w:type="dxa" w:w="2419"/>
          </w:tcPr>
          <w:p>
            <w:r>
              <w:rPr>
                <w:sz w:val="18"/>
                <w:szCs w:val="18"/>
              </w:rPr>
              <w:t xml:space="preserve">Re-verification</w:t>
            </w:r>
          </w:p>
        </w:tc>
        <w:tc>
          <w:tcPr>
            <w:tcW w:type="dxa" w:w="7661"/>
          </w:tcPr>
          <w:p>
            <w:r>
              <w:rPr>
                <w:sz w:val="18"/>
                <w:szCs w:val="18"/>
              </w:rPr>
              <w:t xml:space="preserve">Revert the contingency retrofit migration in the database repository to the pre-change direct-FK state, per its accompanying rollback script; amend the taxonomy pattern documentation to reflect the reverted state.</w:t>
            </w:r>
          </w:p>
        </w:tc>
      </w:tr>
      <w:tr>
        <w:tc>
          <w:tcPr>
            <w:tcW w:type="dxa" w:w="2419"/>
          </w:tcPr>
          <w:p>
            <w:r>
              <w:rPr>
                <w:sz w:val="18"/>
                <w:szCs w:val="18"/>
              </w:rPr>
              <w:t xml:space="preserve">Governance Approval</w:t>
            </w:r>
          </w:p>
        </w:tc>
        <w:tc>
          <w:tcPr>
            <w:tcW w:type="dxa" w:w="7661"/>
          </w:tcPr>
          <w:p>
            <w:r>
              <w:rPr>
                <w:sz w:val="18"/>
                <w:szCs w:val="18"/>
              </w:rPr>
              <w:t xml:space="preserve">Log the reversal as a new VAR-03 review entry; re-open EGD-0003 condition monitoring.</w:t>
            </w:r>
          </w:p>
        </w:tc>
      </w:tr>
      <w:tr>
        <w:tc>
          <w:tcPr>
            <w:tcW w:type="dxa" w:w="2419"/>
          </w:tcPr>
          <w:p>
            <w:r>
              <w:rPr>
                <w:sz w:val="18"/>
                <w:szCs w:val="18"/>
              </w:rPr>
              <w:t xml:space="preserve">Closure</w:t>
            </w:r>
          </w:p>
        </w:tc>
        <w:tc>
          <w:tcPr>
            <w:tcW w:type="dxa" w:w="7661"/>
          </w:tcPr>
          <w:p>
            <w:r>
              <w:rPr>
                <w:sz w:val="18"/>
                <w:szCs w:val="18"/>
              </w:rPr>
              <w:t xml:space="preserve">Zero denormalization violations detected in the check's operating history; KPI-04 remains stable or declines; AR-0003 advances toward Certification Level L4.</w:t>
            </w:r>
          </w:p>
        </w:tc>
      </w:tr>
    </w:tbl>
    <w:p>
      <w:pPr>
        <w:pStyle w:val="Heading3"/>
        <w:spacing w:after="120" w:before="260"/>
      </w:pPr>
      <w:r>
        <w:t xml:space="preserve">WP-0005 — Column-Level Access Review for Free-Text/JSON Payload Columns</w:t>
      </w:r>
    </w:p>
    <w:p>
      <w:pPr>
        <w:spacing w:after="100" w:before="200"/>
      </w:pPr>
      <w:r>
        <w:rPr>
          <w:b/>
          <w:bCs/>
          <w:i/>
          <w:iCs/>
        </w:rPr>
        <w:t xml:space="preserve">A. Risk Overview</w:t>
      </w:r>
    </w:p>
    <w:p>
      <w:pPr>
        <w:spacing w:after="160"/>
      </w:pPr>
      <w:r>
        <w:t xml:space="preserve">Risk Objective: close the column-level protection decision for cognitive raw-response and other free-text/JSON payload data (Section 2, WP-0005.C).</w:t>
      </w:r>
    </w:p>
    <w:p>
      <w:pPr>
        <w:spacing w:after="160"/>
      </w:pPr>
      <w:r>
        <w:t xml:space="preserve">Primary Implementation Risk: free-text/JSON payload columns (e.g., cognitive raw responses) carry no documented column-level access-control decision beyond the table-level RLS verified under WP-0002 (Phase A.1 §8; Section 2, WP-0005.B).</w:t>
      </w:r>
    </w:p>
    <w:p>
      <w:pPr>
        <w:spacing w:after="160"/>
      </w:pPr>
      <w:r>
        <w:t xml:space="preserve">Overall Risk Posture: Low–Medium latent (Phase B §4) — an extension of AR-0007, not a newly discovered gap.</w:t>
      </w:r>
    </w:p>
    <w:p>
      <w:pPr>
        <w:spacing w:after="100" w:before="200"/>
      </w:pPr>
      <w:r>
        <w:rPr>
          <w:b/>
          <w:bCs/>
          <w:i/>
          <w:iCs/>
        </w:rPr>
        <w:t xml:space="preserve">B. Architecture Risks</w:t>
      </w:r>
    </w:p>
    <w:p>
      <w:pPr>
        <w:pStyle w:val="ListParagraph"/>
        <w:numPr>
          <w:ilvl w:val="0"/>
          <w:numId w:val="1"/>
        </w:numPr>
        <w:spacing w:after="80"/>
      </w:pPr>
      <w:r>
        <w:t xml:space="preserve">AR-0007 (extension) — column-level protection for free-text/JSON payload columns, beyond the table-level RLS verified under WP-0002 (Section 2, WP-0005.B).</w:t>
      </w:r>
    </w:p>
    <w:p>
      <w:pPr>
        <w:pStyle w:val="ListParagraph"/>
        <w:numPr>
          <w:ilvl w:val="0"/>
          <w:numId w:val="1"/>
        </w:numPr>
        <w:spacing w:after="80"/>
      </w:pPr>
      <w:r>
        <w:t xml:space="preserve">No VAR is assigned to this extension scope; it inherits AR-0007's status as an open item rather than a governed variance.</w:t>
      </w:r>
    </w:p>
    <w:p>
      <w:pPr>
        <w:spacing w:after="100" w:before="200"/>
      </w:pPr>
      <w:r>
        <w:rPr>
          <w:b/>
          <w:bCs/>
          <w:i/>
          <w:iCs/>
        </w:rPr>
        <w:t xml:space="preserve">C. Governance Risks</w:t>
      </w:r>
    </w:p>
    <w:p>
      <w:pPr>
        <w:pStyle w:val="ListParagraph"/>
        <w:numPr>
          <w:ilvl w:val="0"/>
          <w:numId w:val="1"/>
        </w:numPr>
        <w:spacing w:after="80"/>
      </w:pPr>
      <w:r>
        <w:t xml:space="preserve">EGD-0007 — Realize, verify RLS coverage immediately; this Work Package extends the same decision to column-level protection (Section 2, WP-0005.B).</w:t>
      </w:r>
    </w:p>
    <w:p>
      <w:pPr>
        <w:pStyle w:val="ListParagraph"/>
        <w:numPr>
          <w:ilvl w:val="0"/>
          <w:numId w:val="1"/>
        </w:numPr>
        <w:spacing w:after="80"/>
      </w:pPr>
      <w:r>
        <w:t xml:space="preserve">ER-0007 — same resolution family as WP-0002 (Planned → Implemented on completion) (Section 2, WP-0005.B).</w:t>
      </w:r>
    </w:p>
    <w:p>
      <w:pPr>
        <w:pStyle w:val="ListParagraph"/>
        <w:numPr>
          <w:ilvl w:val="0"/>
          <w:numId w:val="1"/>
        </w:numPr>
        <w:spacing w:after="80"/>
      </w:pPr>
      <w:r>
        <w:t xml:space="preserve">Certification risk: AR-0007 (extension) advances toward Certification Level L4 only once a documented protection-level decision exists for every reviewed column (Section 5, WP-0005.H).</w:t>
      </w:r>
    </w:p>
    <w:p>
      <w:pPr>
        <w:spacing w:after="100" w:before="200"/>
      </w:pPr>
      <w:r>
        <w:rPr>
          <w:b/>
          <w:bCs/>
          <w:i/>
          <w:iCs/>
        </w:rPr>
        <w:t xml:space="preserve">D. Repository Risks — Database Repository (Section 3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435"/>
        <w:gridCol w:w="3629"/>
      </w:tblGrid>
      <w:tr>
        <w:trPr>
          <w:tblHeader/>
        </w:trPr>
        <w:tc>
          <w:tcPr>
            <w:tcW w:type="dxa" w:w="2016"/>
            <w:shd w:fill="D9D9D9" w:color="auto" w:val="clear"/>
          </w:tcPr>
          <w:p>
            <w:r>
              <w:rPr>
                <w:b/>
                <w:bCs/>
                <w:sz w:val="18"/>
                <w:szCs w:val="18"/>
              </w:rPr>
              <w:t xml:space="preserve">Risk Dimension</w:t>
            </w:r>
          </w:p>
        </w:tc>
        <w:tc>
          <w:tcPr>
            <w:tcW w:type="dxa" w:w="4435"/>
            <w:shd w:fill="D9D9D9" w:color="auto" w:val="clear"/>
          </w:tcPr>
          <w:p>
            <w:r>
              <w:rPr>
                <w:b/>
                <w:bCs/>
                <w:sz w:val="18"/>
                <w:szCs w:val="18"/>
              </w:rPr>
              <w:t xml:space="preserve">Assessment</w:t>
            </w:r>
          </w:p>
        </w:tc>
        <w:tc>
          <w:tcPr>
            <w:tcW w:type="dxa" w:w="3629"/>
            <w:shd w:fill="D9D9D9" w:color="auto" w:val="clear"/>
          </w:tcPr>
          <w:p>
            <w:r>
              <w:rPr>
                <w:b/>
                <w:bCs/>
                <w:sz w:val="18"/>
                <w:szCs w:val="18"/>
              </w:rPr>
              <w:t xml:space="preserve">Mitigation</w:t>
            </w:r>
          </w:p>
        </w:tc>
      </w:tr>
      <w:tr>
        <w:tc>
          <w:tcPr>
            <w:tcW w:type="dxa" w:w="2016"/>
          </w:tcPr>
          <w:p>
            <w:r>
              <w:rPr>
                <w:sz w:val="18"/>
                <w:szCs w:val="18"/>
              </w:rPr>
              <w:t xml:space="preserve">Change Risk</w:t>
            </w:r>
          </w:p>
        </w:tc>
        <w:tc>
          <w:tcPr>
            <w:tcW w:type="dxa" w:w="4435"/>
          </w:tcPr>
          <w:p>
            <w:r>
              <w:rPr>
                <w:sz w:val="18"/>
                <w:szCs w:val="18"/>
              </w:rPr>
              <w:t xml:space="preserve">Low — review-based, no migration in baseline scope.</w:t>
            </w:r>
          </w:p>
        </w:tc>
        <w:tc>
          <w:tcPr>
            <w:tcW w:type="dxa" w:w="3629"/>
          </w:tcPr>
          <w:p>
            <w:r>
              <w:rPr>
                <w:sz w:val="18"/>
                <w:szCs w:val="18"/>
              </w:rPr>
              <w:t xml:space="preserve">Column-level policy change applies only if the review finds a protection gap warranting one (Section 2, WP-0005.D).</w:t>
            </w:r>
          </w:p>
        </w:tc>
      </w:tr>
      <w:tr>
        <w:tc>
          <w:tcPr>
            <w:tcW w:type="dxa" w:w="2016"/>
          </w:tcPr>
          <w:p>
            <w:r>
              <w:rPr>
                <w:sz w:val="18"/>
                <w:szCs w:val="18"/>
              </w:rPr>
              <w:t xml:space="preserve">Verification Risk</w:t>
            </w:r>
          </w:p>
        </w:tc>
        <w:tc>
          <w:tcPr>
            <w:tcW w:type="dxa" w:w="4435"/>
          </w:tcPr>
          <w:p>
            <w:r>
              <w:rPr>
                <w:sz w:val="18"/>
                <w:szCs w:val="18"/>
              </w:rPr>
              <w:t xml:space="preserve">Low — review-based verification, following WP-0002's written-evidence template (Section 2, WP-0005.D).</w:t>
            </w:r>
          </w:p>
        </w:tc>
        <w:tc>
          <w:tcPr>
            <w:tcW w:type="dxa" w:w="3629"/>
          </w:tcPr>
          <w:p>
            <w:r>
              <w:rPr>
                <w:sz w:val="18"/>
                <w:szCs w:val="18"/>
              </w:rPr>
              <w:t xml:space="preserve">Adopts WP-0002's proven, query-evidenced method rather than defining a new one (Section 3 §5).</w:t>
            </w:r>
          </w:p>
        </w:tc>
      </w:tr>
      <w:tr>
        <w:tc>
          <w:tcPr>
            <w:tcW w:type="dxa" w:w="2016"/>
          </w:tcPr>
          <w:p>
            <w:r>
              <w:rPr>
                <w:sz w:val="18"/>
                <w:szCs w:val="18"/>
              </w:rPr>
              <w:t xml:space="preserve">Migration Risk</w:t>
            </w:r>
          </w:p>
        </w:tc>
        <w:tc>
          <w:tcPr>
            <w:tcW w:type="dxa" w:w="4435"/>
          </w:tcPr>
          <w:p>
            <w:r>
              <w:rPr>
                <w:sz w:val="18"/>
                <w:szCs w:val="18"/>
              </w:rPr>
              <w:t xml:space="preserve">Not Applicable in baseline scope; conditional only if a gap is found.</w:t>
            </w:r>
          </w:p>
        </w:tc>
        <w:tc>
          <w:tcPr>
            <w:tcW w:type="dxa" w:w="3629"/>
          </w:tcPr>
          <w:p>
            <w:r>
              <w:rPr>
                <w:sz w:val="18"/>
                <w:szCs w:val="18"/>
              </w:rPr>
              <w:t xml:space="preserve">N/A beyond the conditional column-level policy change.</w:t>
            </w:r>
          </w:p>
        </w:tc>
      </w:tr>
      <w:tr>
        <w:tc>
          <w:tcPr>
            <w:tcW w:type="dxa" w:w="2016"/>
          </w:tcPr>
          <w:p>
            <w:r>
              <w:rPr>
                <w:sz w:val="18"/>
                <w:szCs w:val="18"/>
              </w:rPr>
              <w:t xml:space="preserve">Security Risk</w:t>
            </w:r>
          </w:p>
        </w:tc>
        <w:tc>
          <w:tcPr>
            <w:tcW w:type="dxa" w:w="4435"/>
          </w:tcPr>
          <w:p>
            <w:r>
              <w:rPr>
                <w:sz w:val="18"/>
                <w:szCs w:val="18"/>
              </w:rPr>
              <w:t xml:space="preserve">Directly tied to the Database Repository's Security Risk for WP-0002 above, extended to column-level scope (Section 3 §6, Test Repository).</w:t>
            </w:r>
          </w:p>
        </w:tc>
        <w:tc>
          <w:tcPr>
            <w:tcW w:type="dxa" w:w="3629"/>
          </w:tcPr>
          <w:p>
            <w:r>
              <w:rPr>
                <w:sz w:val="18"/>
                <w:szCs w:val="18"/>
              </w:rPr>
              <w:t xml:space="preserve">Same mitigation — WP-0002 execution, extended to column-level review.</w:t>
            </w:r>
          </w:p>
        </w:tc>
      </w:tr>
      <w:tr>
        <w:tc>
          <w:tcPr>
            <w:tcW w:type="dxa" w:w="2016"/>
          </w:tcPr>
          <w:p>
            <w:r>
              <w:rPr>
                <w:sz w:val="18"/>
                <w:szCs w:val="18"/>
              </w:rPr>
              <w:t xml:space="preserve">Operational Risk</w:t>
            </w:r>
          </w:p>
        </w:tc>
        <w:tc>
          <w:tcPr>
            <w:tcW w:type="dxa" w:w="4435"/>
          </w:tcPr>
          <w:p>
            <w:r>
              <w:rPr>
                <w:sz w:val="18"/>
                <w:szCs w:val="18"/>
              </w:rPr>
              <w:t xml:space="preserve">Not Evidenced in Current Baseline.</w:t>
            </w:r>
          </w:p>
        </w:tc>
        <w:tc>
          <w:tcPr>
            <w:tcW w:type="dxa" w:w="3629"/>
          </w:tcPr>
          <w:p>
            <w:r>
              <w:rPr>
                <w:sz w:val="18"/>
                <w:szCs w:val="18"/>
              </w:rPr>
              <w:t xml:space="preserve">N/A.</w:t>
            </w:r>
          </w:p>
        </w:tc>
      </w:tr>
    </w:tbl>
    <w:p>
      <w:pPr>
        <w:spacing w:after="200"/>
      </w:pPr>
    </w:p>
    <w:p>
      <w:pPr>
        <w:spacing w:after="100" w:before="200"/>
      </w:pPr>
      <w:r>
        <w:rPr>
          <w:b/>
          <w:bCs/>
          <w:i/>
          <w:iCs/>
        </w:rPr>
        <w:t xml:space="preserve">E. Engineering Risks</w:t>
      </w:r>
    </w:p>
    <w:p>
      <w:pPr>
        <w:pStyle w:val="ListParagraph"/>
        <w:numPr>
          <w:ilvl w:val="0"/>
          <w:numId w:val="1"/>
        </w:numPr>
        <w:spacing w:after="80"/>
      </w:pPr>
      <w:r>
        <w:t xml:space="preserve">Implementation Complexity: Low–Medium (Phase A.3 §9).</w:t>
      </w:r>
    </w:p>
    <w:p>
      <w:pPr>
        <w:pStyle w:val="ListParagraph"/>
        <w:numPr>
          <w:ilvl w:val="0"/>
          <w:numId w:val="1"/>
        </w:numPr>
        <w:spacing w:after="80"/>
      </w:pPr>
      <w:r>
        <w:t xml:space="preserve">Verification Dependency: review-based verification, following WP-0002's written-evidence template (Section 2, WP-0005.D).</w:t>
      </w:r>
    </w:p>
    <w:p>
      <w:pPr>
        <w:pStyle w:val="ListParagraph"/>
        <w:numPr>
          <w:ilvl w:val="0"/>
          <w:numId w:val="1"/>
        </w:numPr>
        <w:spacing w:after="80"/>
      </w:pPr>
      <w:r>
        <w:t xml:space="preserve">Rollback Dependency: applicable only to the contingency corrective column-level policy change — triggered if the applied policy is found to break legitimate application access (Section 5 §F, WP-0005).</w:t>
      </w:r>
    </w:p>
    <w:p>
      <w:pPr>
        <w:pStyle w:val="ListParagraph"/>
        <w:numPr>
          <w:ilvl w:val="0"/>
          <w:numId w:val="1"/>
        </w:numPr>
        <w:spacing w:after="80"/>
      </w:pPr>
      <w:r>
        <w:t xml:space="preserve">Engineering Readiness: startable; benefits from WP-0002's completion (same tables, same reviewer) but is not strictly blocked by it (Phase A.3 §8).</w:t>
      </w:r>
    </w:p>
    <w:p>
      <w:pPr>
        <w:spacing w:after="100" w:before="200"/>
      </w:pPr>
      <w:r>
        <w:rPr>
          <w:b/>
          <w:bCs/>
          <w:i/>
          <w:iCs/>
        </w:rPr>
        <w:t xml:space="preserve">F. Security Risks</w:t>
      </w:r>
    </w:p>
    <w:p>
      <w:pPr>
        <w:spacing w:after="160"/>
      </w:pPr>
      <w:r>
        <w:t xml:space="preserve">Primary deliverable of this Work Package — an extension of AR-0007's security posture beyond table-level RLS (Section 2, WP-0005.D).</w:t>
      </w:r>
    </w:p>
    <w:p>
      <w:pPr>
        <w:spacing w:after="100" w:before="200"/>
      </w:pPr>
      <w:r>
        <w:rPr>
          <w:b/>
          <w:bCs/>
          <w:i/>
          <w:iCs/>
        </w:rPr>
        <w:t xml:space="preserve">G. Delivery Risks</w:t>
      </w:r>
    </w:p>
    <w:p>
      <w:pPr>
        <w:pStyle w:val="ListParagraph"/>
        <w:numPr>
          <w:ilvl w:val="0"/>
          <w:numId w:val="1"/>
        </w:numPr>
        <w:spacing w:after="80"/>
      </w:pPr>
      <w:r>
        <w:t xml:space="preserve">Scheduling Risk: 2–3 days, Wave 2 (Platform Stabilization) (Phase A.3 §9; Phase B §5).</w:t>
      </w:r>
    </w:p>
    <w:p>
      <w:pPr>
        <w:pStyle w:val="ListParagraph"/>
        <w:numPr>
          <w:ilvl w:val="0"/>
          <w:numId w:val="1"/>
        </w:numPr>
        <w:spacing w:after="80"/>
      </w:pPr>
      <w:r>
        <w:t xml:space="preserve">Dependency Risk: benefits from WP-0002's completion — same tables, same reviewer (Phase B §4) — an optional, non-blocking dependency.</w:t>
      </w:r>
    </w:p>
    <w:p>
      <w:pPr>
        <w:pStyle w:val="ListParagraph"/>
        <w:numPr>
          <w:ilvl w:val="0"/>
          <w:numId w:val="1"/>
        </w:numPr>
        <w:spacing w:after="80"/>
      </w:pPr>
      <w:r>
        <w:t xml:space="preserve">Resource Risk: Security/Platform Engineer role currently unassigned (KPI-08 = 0%).</w:t>
      </w:r>
    </w:p>
    <w:p>
      <w:pPr>
        <w:pStyle w:val="ListParagraph"/>
        <w:numPr>
          <w:ilvl w:val="0"/>
          <w:numId w:val="1"/>
        </w:numPr>
        <w:spacing w:after="80"/>
      </w:pPr>
      <w:r>
        <w:t xml:space="preserve">Approval Risk: EGD-0007 is already dispositioned; no new governance is required (Section 2, WP-0005.F).</w:t>
      </w:r>
    </w:p>
    <w:p>
      <w:pPr>
        <w:spacing w:after="100" w:before="200"/>
      </w:pPr>
      <w:r>
        <w:rPr>
          <w:b/>
          <w:bCs/>
          <w:i/>
          <w:iCs/>
        </w:rPr>
        <w:t xml:space="preserve">H. Risk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D9D9D9" w:color="auto" w:val="clear"/>
          </w:tcPr>
          <w:p>
            <w:r>
              <w:rPr>
                <w:b/>
                <w:bCs/>
                <w:sz w:val="18"/>
                <w:szCs w:val="18"/>
              </w:rPr>
              <w:t xml:space="preserve">Control Type</w:t>
            </w:r>
          </w:p>
        </w:tc>
        <w:tc>
          <w:tcPr>
            <w:tcW w:type="dxa" w:w="7862"/>
            <w:shd w:fill="D9D9D9" w:color="auto" w:val="clear"/>
          </w:tcPr>
          <w:p>
            <w:r>
              <w:rPr>
                <w:b/>
                <w:bCs/>
                <w:sz w:val="18"/>
                <w:szCs w:val="18"/>
              </w:rPr>
              <w:t xml:space="preserve">Control</w:t>
            </w:r>
          </w:p>
        </w:tc>
      </w:tr>
      <w:tr>
        <w:tc>
          <w:tcPr>
            <w:tcW w:type="dxa" w:w="2218"/>
          </w:tcPr>
          <w:p>
            <w:r>
              <w:rPr>
                <w:sz w:val="18"/>
                <w:szCs w:val="18"/>
              </w:rPr>
              <w:t xml:space="preserve">Preventive</w:t>
            </w:r>
          </w:p>
        </w:tc>
        <w:tc>
          <w:tcPr>
            <w:tcW w:type="dxa" w:w="7862"/>
          </w:tcPr>
          <w:p>
            <w:r>
              <w:rPr>
                <w:sz w:val="18"/>
                <w:szCs w:val="18"/>
              </w:rPr>
              <w:t xml:space="preserve">Adopts WP-0002's proven written-evidence verification template rather than defining a new, unproven method (Section 2, WP-0005.D).</w:t>
            </w:r>
          </w:p>
        </w:tc>
      </w:tr>
      <w:tr>
        <w:tc>
          <w:tcPr>
            <w:tcW w:type="dxa" w:w="2218"/>
          </w:tcPr>
          <w:p>
            <w:r>
              <w:rPr>
                <w:sz w:val="18"/>
                <w:szCs w:val="18"/>
              </w:rPr>
              <w:t xml:space="preserve">Detective</w:t>
            </w:r>
          </w:p>
        </w:tc>
        <w:tc>
          <w:tcPr>
            <w:tcW w:type="dxa" w:w="7862"/>
          </w:tcPr>
          <w:p>
            <w:r>
              <w:rPr>
                <w:sz w:val="18"/>
                <w:szCs w:val="18"/>
              </w:rPr>
              <w:t xml:space="preserve">Per-column protection-level decision ledger recording a documented decision for every reviewed column (Section 5, WP-0005.G).</w:t>
            </w:r>
          </w:p>
        </w:tc>
      </w:tr>
      <w:tr>
        <w:tc>
          <w:tcPr>
            <w:tcW w:type="dxa" w:w="2218"/>
          </w:tcPr>
          <w:p>
            <w:r>
              <w:rPr>
                <w:sz w:val="18"/>
                <w:szCs w:val="18"/>
              </w:rPr>
              <w:t xml:space="preserve">Corrective</w:t>
            </w:r>
          </w:p>
        </w:tc>
        <w:tc>
          <w:tcPr>
            <w:tcW w:type="dxa" w:w="7862"/>
          </w:tcPr>
          <w:p>
            <w:r>
              <w:rPr>
                <w:sz w:val="18"/>
                <w:szCs w:val="18"/>
              </w:rPr>
              <w:t xml:space="preserve">Column-level policy or REVOKE change applied without delay if the review finds a protection gap, per the AR-0010/EGD-0009 idempotent, rollback-ready standard (Section 6 §8; Section 5 §F).</w:t>
            </w:r>
          </w:p>
        </w:tc>
      </w:tr>
    </w:tbl>
    <w:p>
      <w:pPr>
        <w:spacing w:after="200"/>
      </w:pPr>
    </w:p>
    <w:p>
      <w:pPr>
        <w:spacing w:after="100" w:before="200"/>
      </w:pPr>
      <w:r>
        <w:rPr>
          <w:b/>
          <w:bCs/>
          <w:i/>
          <w:iCs/>
        </w:rPr>
        <w:t xml:space="preserve">I. Mitigation Strategy</w:t>
      </w:r>
    </w:p>
    <w:p>
      <w:pPr>
        <w:spacing w:after="160"/>
      </w:pPr>
      <w:r>
        <w:t xml:space="preserve">Mitigation Approach: column-level access review producing a documented protection-level decision per column (Section 2, WP-0005.C).</w:t>
      </w:r>
    </w:p>
    <w:p>
      <w:pPr>
        <w:spacing w:after="160"/>
      </w:pPr>
      <w:r>
        <w:t xml:space="preserve">Residual Risk: Low–Medium, latent, until every free-text/JSON payload column has been reviewed (Phase B §4).</w:t>
      </w:r>
    </w:p>
    <w:p>
      <w:pPr>
        <w:spacing w:after="160"/>
      </w:pPr>
      <w:r>
        <w:t xml:space="preserve">Escalation Criteria: a confirmed column-level protection gap triggers contingency-only policy or REVOKE action, applied only if the review finds a gap (Section 7 §4).</w:t>
      </w:r>
    </w:p>
    <w:p>
      <w:pPr>
        <w:spacing w:after="160"/>
      </w:pPr>
      <w:r>
        <w:t xml:space="preserve">Monitoring Approach: KPI-06 (RLS Coverage %, extension scope) and KPI-09 (Technical Debt by Class) tracked on completion (Section 2, WP-0005.B).</w:t>
      </w:r>
    </w:p>
    <w:p>
      <w:pPr>
        <w:spacing w:after="100" w:before="200"/>
      </w:pPr>
      <w:r>
        <w:rPr>
          <w:b/>
          <w:bCs/>
          <w:i/>
          <w:iCs/>
        </w:rPr>
        <w:t xml:space="preserve">J. Recovery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Recovery Element</w:t>
            </w:r>
          </w:p>
        </w:tc>
        <w:tc>
          <w:tcPr>
            <w:tcW w:type="dxa" w:w="7661"/>
            <w:shd w:fill="D9D9D9" w:color="auto" w:val="clear"/>
          </w:tcPr>
          <w:p>
            <w:r>
              <w:rPr>
                <w:b/>
                <w:bCs/>
                <w:sz w:val="18"/>
                <w:szCs w:val="18"/>
              </w:rPr>
              <w:t xml:space="preserve">Detail</w:t>
            </w:r>
          </w:p>
        </w:tc>
      </w:tr>
      <w:tr>
        <w:tc>
          <w:tcPr>
            <w:tcW w:type="dxa" w:w="2419"/>
          </w:tcPr>
          <w:p>
            <w:r>
              <w:rPr>
                <w:sz w:val="18"/>
                <w:szCs w:val="18"/>
              </w:rPr>
              <w:t xml:space="preserve">Rollback Trigger</w:t>
            </w:r>
          </w:p>
        </w:tc>
        <w:tc>
          <w:tcPr>
            <w:tcW w:type="dxa" w:w="7661"/>
          </w:tcPr>
          <w:p>
            <w:r>
              <w:rPr>
                <w:sz w:val="18"/>
                <w:szCs w:val="18"/>
              </w:rPr>
              <w:t xml:space="preserve">Applicable only to the contingency corrective column-level policy change — triggered if the applied policy is found to break legitimate application access.</w:t>
            </w:r>
          </w:p>
        </w:tc>
      </w:tr>
      <w:tr>
        <w:tc>
          <w:tcPr>
            <w:tcW w:type="dxa" w:w="2419"/>
          </w:tcPr>
          <w:p>
            <w:r>
              <w:rPr>
                <w:sz w:val="18"/>
                <w:szCs w:val="18"/>
              </w:rPr>
              <w:t xml:space="preserve">Recovery Approach</w:t>
            </w:r>
          </w:p>
        </w:tc>
        <w:tc>
          <w:tcPr>
            <w:tcW w:type="dxa" w:w="7661"/>
          </w:tcPr>
          <w:p>
            <w:r>
              <w:rPr>
                <w:sz w:val="18"/>
                <w:szCs w:val="18"/>
              </w:rPr>
              <w:t xml:space="preserve">Per the AR-0010/EGD-0009 accepted standard: any corrective column-level policy or REVOKE change is idempotent and rollback-ready by design.</w:t>
            </w:r>
          </w:p>
        </w:tc>
      </w:tr>
      <w:tr>
        <w:tc>
          <w:tcPr>
            <w:tcW w:type="dxa" w:w="2419"/>
          </w:tcPr>
          <w:p>
            <w:r>
              <w:rPr>
                <w:sz w:val="18"/>
                <w:szCs w:val="18"/>
              </w:rPr>
              <w:t xml:space="preserve">Re-verification</w:t>
            </w:r>
          </w:p>
        </w:tc>
        <w:tc>
          <w:tcPr>
            <w:tcW w:type="dxa" w:w="7661"/>
          </w:tcPr>
          <w:p>
            <w:r>
              <w:rPr>
                <w:sz w:val="18"/>
                <w:szCs w:val="18"/>
              </w:rPr>
              <w:t xml:space="preserve">Revert the corrective policy change in the database repository to the pre-change column-access state, per its accompanying rollback script; amend the review report to reflect the reverted decision.</w:t>
            </w:r>
          </w:p>
        </w:tc>
      </w:tr>
      <w:tr>
        <w:tc>
          <w:tcPr>
            <w:tcW w:type="dxa" w:w="2419"/>
          </w:tcPr>
          <w:p>
            <w:r>
              <w:rPr>
                <w:sz w:val="18"/>
                <w:szCs w:val="18"/>
              </w:rPr>
              <w:t xml:space="preserve">Governance Approval</w:t>
            </w:r>
          </w:p>
        </w:tc>
        <w:tc>
          <w:tcPr>
            <w:tcW w:type="dxa" w:w="7661"/>
          </w:tcPr>
          <w:p>
            <w:r>
              <w:rPr>
                <w:sz w:val="18"/>
                <w:szCs w:val="18"/>
              </w:rPr>
              <w:t xml:space="preserve">Log the reversal in the protection-level decision ledger; re-open the affected column for review.</w:t>
            </w:r>
          </w:p>
        </w:tc>
      </w:tr>
      <w:tr>
        <w:tc>
          <w:tcPr>
            <w:tcW w:type="dxa" w:w="2419"/>
          </w:tcPr>
          <w:p>
            <w:r>
              <w:rPr>
                <w:sz w:val="18"/>
                <w:szCs w:val="18"/>
              </w:rPr>
              <w:t xml:space="preserve">Closure</w:t>
            </w:r>
          </w:p>
        </w:tc>
        <w:tc>
          <w:tcPr>
            <w:tcW w:type="dxa" w:w="7661"/>
          </w:tcPr>
          <w:p>
            <w:r>
              <w:rPr>
                <w:sz w:val="18"/>
                <w:szCs w:val="18"/>
              </w:rPr>
              <w:t xml:space="preserve">A documented decision exists for every reviewed column; zero unreviewed cognitive raw-response or equivalent free-text/JSON columns remain; AR-0007 (extension) advances toward Certification Level L4.</w:t>
            </w:r>
          </w:p>
        </w:tc>
      </w:tr>
    </w:tbl>
    <w:p>
      <w:pPr>
        <w:pStyle w:val="Heading3"/>
        <w:spacing w:after="120" w:before="260"/>
      </w:pPr>
      <w:r>
        <w:t xml:space="preserve">WP-0006 — Assign Named, Accountable Owners to Every Unassigned Architecture, Data-Governance, Security/Platform, and Compliance Role</w:t>
      </w:r>
    </w:p>
    <w:p>
      <w:pPr>
        <w:spacing w:after="100" w:before="200"/>
      </w:pPr>
      <w:r>
        <w:rPr>
          <w:b/>
          <w:bCs/>
          <w:i/>
          <w:iCs/>
        </w:rPr>
        <w:t xml:space="preserve">A. Risk Overview</w:t>
      </w:r>
    </w:p>
    <w:p>
      <w:pPr>
        <w:spacing w:after="160"/>
      </w:pPr>
      <w:r>
        <w:t xml:space="preserve">Risk Objective: this Work Package is itself the mitigation for the baseline's single blocking governance risk; it is not, itself, risky (Phase A.3 §9).</w:t>
      </w:r>
    </w:p>
    <w:p>
      <w:pPr>
        <w:spacing w:after="160"/>
      </w:pPr>
      <w:r>
        <w:t xml:space="preserve">Primary Implementation Risk: no accountable owner exists for any governance decision — confirmed, already occurring — every ADR and register entry in this program lists its owner as 'unassigned,' found not by design but by simply trying to fill in a standard field (Phase A.2 §12; Phase B §10).</w:t>
      </w:r>
    </w:p>
    <w:p>
      <w:pPr>
        <w:spacing w:after="160"/>
      </w:pPr>
      <w:r>
        <w:t xml:space="preserve">Overall Risk Posture: N/A — Risk Classification is not applicable to this Work Package's own execution (Phase A.3 §9); its risk profile is entirely about the governance gap it resolves for every other Work Package.</w:t>
      </w:r>
    </w:p>
    <w:p>
      <w:pPr>
        <w:spacing w:after="100" w:before="200"/>
      </w:pPr>
      <w:r>
        <w:rPr>
          <w:b/>
          <w:bCs/>
          <w:i/>
          <w:iCs/>
        </w:rPr>
        <w:t xml:space="preserve">B. Architecture Risks</w:t>
      </w:r>
    </w:p>
    <w:p>
      <w:pPr>
        <w:pStyle w:val="ListParagraph"/>
        <w:numPr>
          <w:ilvl w:val="0"/>
          <w:numId w:val="1"/>
        </w:numPr>
        <w:spacing w:after="80"/>
      </w:pPr>
      <w:r>
        <w:t xml:space="preserve">No AR is directly assigned to WP-0006; its governing principle is AP-009 (every governance decision requires a named, accountable owner), applied across all nine EGDs (Phase A.3 §2, §9).</w:t>
      </w:r>
    </w:p>
    <w:p>
      <w:pPr>
        <w:pStyle w:val="ListParagraph"/>
        <w:numPr>
          <w:ilvl w:val="0"/>
          <w:numId w:val="1"/>
        </w:numPr>
        <w:spacing w:after="80"/>
      </w:pPr>
      <w:r>
        <w:t xml:space="preserve">Without this Work Package, every disposition in the baseline is aspirational, not executable (Phase A.2 §12) — a systemic architecture-governance risk rather than a single AR-level risk.</w:t>
      </w:r>
    </w:p>
    <w:p>
      <w:pPr>
        <w:spacing w:after="100" w:before="200"/>
      </w:pPr>
      <w:r>
        <w:rPr>
          <w:b/>
          <w:bCs/>
          <w:i/>
          <w:iCs/>
        </w:rPr>
        <w:t xml:space="preserve">C. Governance Risks</w:t>
      </w:r>
    </w:p>
    <w:p>
      <w:pPr>
        <w:pStyle w:val="ListParagraph"/>
        <w:numPr>
          <w:ilvl w:val="0"/>
          <w:numId w:val="1"/>
        </w:numPr>
        <w:spacing w:after="80"/>
      </w:pPr>
      <w:r>
        <w:t xml:space="preserve">This is the baseline's single Critical, confirmed, already-occurring governance risk (Phase B §10): 'No accountable owner exists for any governance decision.'</w:t>
      </w:r>
    </w:p>
    <w:p>
      <w:pPr>
        <w:pStyle w:val="ListParagraph"/>
        <w:numPr>
          <w:ilvl w:val="0"/>
          <w:numId w:val="1"/>
        </w:numPr>
        <w:spacing w:after="80"/>
      </w:pPr>
      <w:r>
        <w:t xml:space="preserve">Blocking dependency: WP-0006 is the precondition for every other EGD's execution accountability, recommended by Phase A.2 §12 as the first item resolved (Phase A.3 §8).</w:t>
      </w:r>
    </w:p>
    <w:p>
      <w:pPr>
        <w:pStyle w:val="ListParagraph"/>
        <w:numPr>
          <w:ilvl w:val="0"/>
          <w:numId w:val="1"/>
        </w:numPr>
        <w:spacing w:after="80"/>
      </w:pPr>
      <w:r>
        <w:t xml:space="preserve">Certification risk: KPI-08 (Ownership Assignment %) = 0% currently; this Work Package alone moves it to 100% (Phase A.3 §10).</w:t>
      </w:r>
    </w:p>
    <w:p>
      <w:pPr>
        <w:spacing w:after="100" w:before="200"/>
      </w:pPr>
      <w:r>
        <w:rPr>
          <w:b/>
          <w:bCs/>
          <w:i/>
          <w:iCs/>
        </w:rPr>
        <w:t xml:space="preserve">D. Repository Risks</w:t>
      </w:r>
    </w:p>
    <w:p>
      <w:pPr>
        <w:spacing w:after="160"/>
      </w:pPr>
      <w:r>
        <w:t xml:space="preserve">Not Applicable — this Work Package is organizational, not technical, and touches no Documentation, Database, or Test repository directly (Phase A.3 §9; Section 2, WP-0006 Governance Profile).</w:t>
      </w:r>
    </w:p>
    <w:p>
      <w:pPr>
        <w:spacing w:after="100" w:before="200"/>
      </w:pPr>
      <w:r>
        <w:rPr>
          <w:b/>
          <w:bCs/>
          <w:i/>
          <w:iCs/>
        </w:rPr>
        <w:t xml:space="preserve">E. Engineering Risks</w:t>
      </w:r>
    </w:p>
    <w:p>
      <w:pPr>
        <w:pStyle w:val="ListParagraph"/>
        <w:numPr>
          <w:ilvl w:val="0"/>
          <w:numId w:val="1"/>
        </w:numPr>
        <w:spacing w:after="80"/>
      </w:pPr>
      <w:r>
        <w:t xml:space="preserve">Implementation Complexity: Low — organizational, not technical (Phase A.3 §9).</w:t>
      </w:r>
    </w:p>
    <w:p>
      <w:pPr>
        <w:pStyle w:val="ListParagraph"/>
        <w:numPr>
          <w:ilvl w:val="0"/>
          <w:numId w:val="1"/>
        </w:numPr>
        <w:spacing w:after="80"/>
      </w:pPr>
      <w:r>
        <w:t xml:space="preserve">Verification Dependency: named-owner record across all nine EGD entries and all six Work Packages; KPI-08 measurement confirming 100% assignment (Section 5, WP-0006.G).</w:t>
      </w:r>
    </w:p>
    <w:p>
      <w:pPr>
        <w:pStyle w:val="ListParagraph"/>
        <w:numPr>
          <w:ilvl w:val="0"/>
          <w:numId w:val="1"/>
        </w:numPr>
        <w:spacing w:after="80"/>
      </w:pPr>
      <w:r>
        <w:t xml:space="preserve">Rollback Dependency: Not Applicable — reassigning a different individual to a role is a subsequent governance decision, not a technical rollback event (Section 5 §F, WP-0006).</w:t>
      </w:r>
    </w:p>
    <w:p>
      <w:pPr>
        <w:pStyle w:val="ListParagraph"/>
        <w:numPr>
          <w:ilvl w:val="0"/>
          <w:numId w:val="1"/>
        </w:numPr>
        <w:spacing w:after="80"/>
      </w:pPr>
      <w:r>
        <w:t xml:space="preserve">Engineering Readiness: immediately startable — no blocking dependency (Phase B §7).</w:t>
      </w:r>
    </w:p>
    <w:p>
      <w:pPr>
        <w:spacing w:after="100" w:before="200"/>
      </w:pPr>
      <w:r>
        <w:rPr>
          <w:b/>
          <w:bCs/>
          <w:i/>
          <w:iCs/>
        </w:rPr>
        <w:t xml:space="preserve">F. Security Risks</w:t>
      </w:r>
    </w:p>
    <w:p>
      <w:pPr>
        <w:spacing w:after="160"/>
      </w:pPr>
      <w:r>
        <w:t xml:space="preserve">Not Evidenced in Current Baseline as a security risk specific to this Work Package; its downstream effect is to resolve the Resource Risk that gates every security-relevant Work Package (WP-0002, WP-0005) below.</w:t>
      </w:r>
    </w:p>
    <w:p>
      <w:pPr>
        <w:spacing w:after="100" w:before="200"/>
      </w:pPr>
      <w:r>
        <w:rPr>
          <w:b/>
          <w:bCs/>
          <w:i/>
          <w:iCs/>
        </w:rPr>
        <w:t xml:space="preserve">G. Delivery Risks</w:t>
      </w:r>
    </w:p>
    <w:p>
      <w:pPr>
        <w:pStyle w:val="ListParagraph"/>
        <w:numPr>
          <w:ilvl w:val="0"/>
          <w:numId w:val="1"/>
        </w:numPr>
        <w:spacing w:after="80"/>
      </w:pPr>
      <w:r>
        <w:t xml:space="preserve">Scheduling Risk: Low — organizational, days not sprints; Wave 1 (Critical Foundation) (Phase B §4, §5).</w:t>
      </w:r>
    </w:p>
    <w:p>
      <w:pPr>
        <w:pStyle w:val="ListParagraph"/>
        <w:numPr>
          <w:ilvl w:val="0"/>
          <w:numId w:val="1"/>
        </w:numPr>
        <w:spacing w:after="80"/>
      </w:pPr>
      <w:r>
        <w:t xml:space="preserve">Dependency Risk: None — startable immediately with zero blocking dependency (Phase B §7); every other Work Package benefits from, but Phase A.3 §8 does not strictly require, this Work Package first.</w:t>
      </w:r>
    </w:p>
    <w:p>
      <w:pPr>
        <w:pStyle w:val="ListParagraph"/>
        <w:numPr>
          <w:ilvl w:val="0"/>
          <w:numId w:val="1"/>
        </w:numPr>
        <w:spacing w:after="80"/>
      </w:pPr>
      <w:r>
        <w:t xml:space="preserve">Resource Risk: this is the resource risk for the entire baseline — Resource Readiness is the plan's single readiness gap (Phase B §14).</w:t>
      </w:r>
    </w:p>
    <w:p>
      <w:pPr>
        <w:pStyle w:val="ListParagraph"/>
        <w:numPr>
          <w:ilvl w:val="0"/>
          <w:numId w:val="1"/>
        </w:numPr>
        <w:spacing w:after="80"/>
      </w:pPr>
      <w:r>
        <w:t xml:space="preserve">Approval Risk: unresolved past Wave 1 escalates to the Executive Sponsor (Phase B §10).</w:t>
      </w:r>
    </w:p>
    <w:p>
      <w:pPr>
        <w:spacing w:after="100" w:before="200"/>
      </w:pPr>
      <w:r>
        <w:rPr>
          <w:b/>
          <w:bCs/>
          <w:i/>
          <w:iCs/>
        </w:rPr>
        <w:t xml:space="preserve">H. Risk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D9D9D9" w:color="auto" w:val="clear"/>
          </w:tcPr>
          <w:p>
            <w:r>
              <w:rPr>
                <w:b/>
                <w:bCs/>
                <w:sz w:val="18"/>
                <w:szCs w:val="18"/>
              </w:rPr>
              <w:t xml:space="preserve">Control Type</w:t>
            </w:r>
          </w:p>
        </w:tc>
        <w:tc>
          <w:tcPr>
            <w:tcW w:type="dxa" w:w="7862"/>
            <w:shd w:fill="D9D9D9" w:color="auto" w:val="clear"/>
          </w:tcPr>
          <w:p>
            <w:r>
              <w:rPr>
                <w:b/>
                <w:bCs/>
                <w:sz w:val="18"/>
                <w:szCs w:val="18"/>
              </w:rPr>
              <w:t xml:space="preserve">Control</w:t>
            </w:r>
          </w:p>
        </w:tc>
      </w:tr>
      <w:tr>
        <w:tc>
          <w:tcPr>
            <w:tcW w:type="dxa" w:w="2218"/>
          </w:tcPr>
          <w:p>
            <w:r>
              <w:rPr>
                <w:sz w:val="18"/>
                <w:szCs w:val="18"/>
              </w:rPr>
              <w:t xml:space="preserve">Preventive</w:t>
            </w:r>
          </w:p>
        </w:tc>
        <w:tc>
          <w:tcPr>
            <w:tcW w:type="dxa" w:w="7862"/>
          </w:tcPr>
          <w:p>
            <w:r>
              <w:rPr>
                <w:sz w:val="18"/>
                <w:szCs w:val="18"/>
              </w:rPr>
              <w:t xml:space="preserve">Treat WP-0006 as the precondition for every other recommendation being executable rather than aspirational, per Phase A.2 §12's own finding.</w:t>
            </w:r>
          </w:p>
        </w:tc>
      </w:tr>
      <w:tr>
        <w:tc>
          <w:tcPr>
            <w:tcW w:type="dxa" w:w="2218"/>
          </w:tcPr>
          <w:p>
            <w:r>
              <w:rPr>
                <w:sz w:val="18"/>
                <w:szCs w:val="18"/>
              </w:rPr>
              <w:t xml:space="preserve">Detective</w:t>
            </w:r>
          </w:p>
        </w:tc>
        <w:tc>
          <w:tcPr>
            <w:tcW w:type="dxa" w:w="7862"/>
          </w:tcPr>
          <w:p>
            <w:r>
              <w:rPr>
                <w:sz w:val="18"/>
                <w:szCs w:val="18"/>
              </w:rPr>
              <w:t xml:space="preserve">KPI-08 measurement — 0% today across every EGD/WP owner field (Phase A.3 §10).</w:t>
            </w:r>
          </w:p>
        </w:tc>
      </w:tr>
      <w:tr>
        <w:tc>
          <w:tcPr>
            <w:tcW w:type="dxa" w:w="2218"/>
          </w:tcPr>
          <w:p>
            <w:r>
              <w:rPr>
                <w:sz w:val="18"/>
                <w:szCs w:val="18"/>
              </w:rPr>
              <w:t xml:space="preserve">Corrective</w:t>
            </w:r>
          </w:p>
        </w:tc>
        <w:tc>
          <w:tcPr>
            <w:tcW w:type="dxa" w:w="7862"/>
          </w:tcPr>
          <w:p>
            <w:r>
              <w:rPr>
                <w:sz w:val="18"/>
                <w:szCs w:val="18"/>
              </w:rPr>
              <w:t xml:space="preserve">Assign named, accountable owners immediately to the five roles in Phase B §9; escalate to the Executive Sponsor if unresolved past Wave 1 (Phase B §10).</w:t>
            </w:r>
          </w:p>
        </w:tc>
      </w:tr>
    </w:tbl>
    <w:p>
      <w:pPr>
        <w:spacing w:after="200"/>
      </w:pPr>
    </w:p>
    <w:p>
      <w:pPr>
        <w:spacing w:after="100" w:before="200"/>
      </w:pPr>
      <w:r>
        <w:rPr>
          <w:b/>
          <w:bCs/>
          <w:i/>
          <w:iCs/>
        </w:rPr>
        <w:t xml:space="preserve">I. Mitigation Strategy</w:t>
      </w:r>
    </w:p>
    <w:p>
      <w:pPr>
        <w:spacing w:after="160"/>
      </w:pPr>
      <w:r>
        <w:t xml:space="preserve">Mitigation Approach: WP-0006 — assign named owners immediately (Phase B §10).</w:t>
      </w:r>
    </w:p>
    <w:p>
      <w:pPr>
        <w:spacing w:after="160"/>
      </w:pPr>
      <w:r>
        <w:t xml:space="preserve">Residual Risk: none once KPI-08 reaches 100%; until then, every EGD's execution accountability remains aspirational (Phase A.2 §12).</w:t>
      </w:r>
    </w:p>
    <w:p>
      <w:pPr>
        <w:spacing w:after="160"/>
      </w:pPr>
      <w:r>
        <w:t xml:space="preserve">Escalation Criteria: escalate to the Executive Sponsor if unresolved past Wave 1 (Phase B §10).</w:t>
      </w:r>
    </w:p>
    <w:p>
      <w:pPr>
        <w:spacing w:after="160"/>
      </w:pPr>
      <w:r>
        <w:t xml:space="preserve">Monitoring Approach: KPI-08 (Ownership Assignment %) measured immediately on completion (Phase A.3 §10).</w:t>
      </w:r>
    </w:p>
    <w:p>
      <w:pPr>
        <w:spacing w:after="100" w:before="200"/>
      </w:pPr>
      <w:r>
        <w:rPr>
          <w:b/>
          <w:bCs/>
          <w:i/>
          <w:iCs/>
        </w:rPr>
        <w:t xml:space="preserve">J. Recovery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Recovery Element</w:t>
            </w:r>
          </w:p>
        </w:tc>
        <w:tc>
          <w:tcPr>
            <w:tcW w:type="dxa" w:w="7661"/>
            <w:shd w:fill="D9D9D9" w:color="auto" w:val="clear"/>
          </w:tcPr>
          <w:p>
            <w:r>
              <w:rPr>
                <w:b/>
                <w:bCs/>
                <w:sz w:val="18"/>
                <w:szCs w:val="18"/>
              </w:rPr>
              <w:t xml:space="preserve">Detail</w:t>
            </w:r>
          </w:p>
        </w:tc>
      </w:tr>
      <w:tr>
        <w:tc>
          <w:tcPr>
            <w:tcW w:type="dxa" w:w="2419"/>
          </w:tcPr>
          <w:p>
            <w:r>
              <w:rPr>
                <w:sz w:val="18"/>
                <w:szCs w:val="18"/>
              </w:rPr>
              <w:t xml:space="preserve">Rollback Trigger</w:t>
            </w:r>
          </w:p>
        </w:tc>
        <w:tc>
          <w:tcPr>
            <w:tcW w:type="dxa" w:w="7661"/>
          </w:tcPr>
          <w:p>
            <w:r>
              <w:rPr>
                <w:sz w:val="18"/>
                <w:szCs w:val="18"/>
              </w:rPr>
              <w:t xml:space="preserve">Not Applicable — reassigning a different individual to a role is a subsequent governance decision, not a technical rollback event.</w:t>
            </w:r>
          </w:p>
        </w:tc>
      </w:tr>
      <w:tr>
        <w:tc>
          <w:tcPr>
            <w:tcW w:type="dxa" w:w="2419"/>
          </w:tcPr>
          <w:p>
            <w:r>
              <w:rPr>
                <w:sz w:val="18"/>
                <w:szCs w:val="18"/>
              </w:rPr>
              <w:t xml:space="preserve">Recovery Approach</w:t>
            </w:r>
          </w:p>
        </w:tc>
        <w:tc>
          <w:tcPr>
            <w:tcW w:type="dxa" w:w="7661"/>
          </w:tcPr>
          <w:p>
            <w:r>
              <w:rPr>
                <w:sz w:val="18"/>
                <w:szCs w:val="18"/>
              </w:rPr>
              <w:t xml:space="preserve">Any change to a named owner is handled as a new governance action under the existing change-approval process (AP-003; Section 1 §5), not as a rollback.</w:t>
            </w:r>
          </w:p>
        </w:tc>
      </w:tr>
      <w:tr>
        <w:tc>
          <w:tcPr>
            <w:tcW w:type="dxa" w:w="2419"/>
          </w:tcPr>
          <w:p>
            <w:r>
              <w:rPr>
                <w:sz w:val="18"/>
                <w:szCs w:val="18"/>
              </w:rPr>
              <w:t xml:space="preserve">Re-verification</w:t>
            </w:r>
          </w:p>
        </w:tc>
        <w:tc>
          <w:tcPr>
            <w:tcW w:type="dxa" w:w="7661"/>
          </w:tcPr>
          <w:p>
            <w:r>
              <w:rPr>
                <w:sz w:val="18"/>
                <w:szCs w:val="18"/>
              </w:rPr>
              <w:t xml:space="preserve">Not Applicable — no repository artifact exists to restore.</w:t>
            </w:r>
          </w:p>
        </w:tc>
      </w:tr>
      <w:tr>
        <w:tc>
          <w:tcPr>
            <w:tcW w:type="dxa" w:w="2419"/>
          </w:tcPr>
          <w:p>
            <w:r>
              <w:rPr>
                <w:sz w:val="18"/>
                <w:szCs w:val="18"/>
              </w:rPr>
              <w:t xml:space="preserve">Governance Approval</w:t>
            </w:r>
          </w:p>
        </w:tc>
        <w:tc>
          <w:tcPr>
            <w:tcW w:type="dxa" w:w="7661"/>
          </w:tcPr>
          <w:p>
            <w:r>
              <w:rPr>
                <w:sz w:val="18"/>
                <w:szCs w:val="18"/>
              </w:rPr>
              <w:t xml:space="preserve">A reassignment is recorded as a new dated entry in the owner-assignment record; the prior name is retained for audit history, not erased.</w:t>
            </w:r>
          </w:p>
        </w:tc>
      </w:tr>
      <w:tr>
        <w:tc>
          <w:tcPr>
            <w:tcW w:type="dxa" w:w="2419"/>
          </w:tcPr>
          <w:p>
            <w:r>
              <w:rPr>
                <w:sz w:val="18"/>
                <w:szCs w:val="18"/>
              </w:rPr>
              <w:t xml:space="preserve">Closure</w:t>
            </w:r>
          </w:p>
        </w:tc>
        <w:tc>
          <w:tcPr>
            <w:tcW w:type="dxa" w:w="7661"/>
          </w:tcPr>
          <w:p>
            <w:r>
              <w:rPr>
                <w:sz w:val="18"/>
                <w:szCs w:val="18"/>
              </w:rPr>
              <w:t xml:space="preserve">KPI-08 Ownership Assignment % = 100%; zero unassigned owner fields remain across EGD-0001–EGD-0009 and WP-0001–WP-0006. This Work Package carries no Certification Level of its own — it is an organizational precondition, not itself certified (Section 4 §8).</w:t>
            </w:r>
          </w:p>
        </w:tc>
      </w:tr>
    </w:tbl>
    <w:p>
      <w:pPr>
        <w:pStyle w:val="Heading2"/>
        <w:spacing w:after="160" w:before="360"/>
      </w:pPr>
      <w:r>
        <w:t xml:space="preserve">5. Enterprise Risk Matrix</w:t>
      </w:r>
    </w:p>
    <w:p>
      <w:pPr>
        <w:spacing w:after="160"/>
      </w:pPr>
      <w:r>
        <w:t xml:space="preserve">Every approved repository establishes risk identifiers by Work Package, not by a dedicated sequential Risk-ID family (Phase B §10; Section 2 §2; Section 3 §6). Consistent with the instruction that no new numbering scheme be invented, each row below is organized under its corresponding Work Package identifier. The seven Work Package-linked risks are reused directly from the Phase B §10 Enterprise Risk &amp; Dependency Plan and the Section 2 §2 Risk Classification fields; the eighth row (Compliance / Supersession) is reused from Phase B §10 as the one risk in the approved domain that is monitored under executive awareness rather than mitigated by an active Work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3"/>
        <w:gridCol w:w="694"/>
        <w:gridCol w:w="694"/>
        <w:gridCol w:w="555"/>
        <w:gridCol w:w="832"/>
        <w:gridCol w:w="740"/>
        <w:gridCol w:w="832"/>
        <w:gridCol w:w="555"/>
        <w:gridCol w:w="832"/>
        <w:gridCol w:w="1063"/>
        <w:gridCol w:w="832"/>
        <w:gridCol w:w="1018"/>
      </w:tblGrid>
      <w:tr>
        <w:trPr>
          <w:tblHeader/>
        </w:trPr>
        <w:tc>
          <w:tcPr>
            <w:tcW w:type="dxa" w:w="1433"/>
            <w:shd w:fill="D9D9D9" w:color="auto" w:val="clear"/>
          </w:tcPr>
          <w:p>
            <w:r>
              <w:rPr>
                <w:b/>
                <w:bCs/>
                <w:sz w:val="18"/>
                <w:szCs w:val="18"/>
              </w:rPr>
              <w:t xml:space="preserve">Risk (by WP)</w:t>
            </w:r>
          </w:p>
        </w:tc>
        <w:tc>
          <w:tcPr>
            <w:tcW w:type="dxa" w:w="694"/>
            <w:shd w:fill="D9D9D9" w:color="auto" w:val="clear"/>
          </w:tcPr>
          <w:p>
            <w:r>
              <w:rPr>
                <w:b/>
                <w:bCs/>
                <w:sz w:val="18"/>
                <w:szCs w:val="18"/>
              </w:rPr>
              <w:t xml:space="preserve">AR</w:t>
            </w:r>
          </w:p>
        </w:tc>
        <w:tc>
          <w:tcPr>
            <w:tcW w:type="dxa" w:w="694"/>
            <w:shd w:fill="D9D9D9" w:color="auto" w:val="clear"/>
          </w:tcPr>
          <w:p>
            <w:r>
              <w:rPr>
                <w:b/>
                <w:bCs/>
                <w:sz w:val="18"/>
                <w:szCs w:val="18"/>
              </w:rPr>
              <w:t xml:space="preserve">EGD</w:t>
            </w:r>
          </w:p>
        </w:tc>
        <w:tc>
          <w:tcPr>
            <w:tcW w:type="dxa" w:w="555"/>
            <w:shd w:fill="D9D9D9" w:color="auto" w:val="clear"/>
          </w:tcPr>
          <w:p>
            <w:r>
              <w:rPr>
                <w:b/>
                <w:bCs/>
                <w:sz w:val="18"/>
                <w:szCs w:val="18"/>
              </w:rPr>
              <w:t xml:space="preserve">VAR</w:t>
            </w:r>
          </w:p>
        </w:tc>
        <w:tc>
          <w:tcPr>
            <w:tcW w:type="dxa" w:w="832"/>
            <w:shd w:fill="D9D9D9" w:color="auto" w:val="clear"/>
          </w:tcPr>
          <w:p>
            <w:r>
              <w:rPr>
                <w:b/>
                <w:bCs/>
                <w:sz w:val="18"/>
                <w:szCs w:val="18"/>
              </w:rPr>
              <w:t xml:space="preserve">Repository</w:t>
            </w:r>
          </w:p>
        </w:tc>
        <w:tc>
          <w:tcPr>
            <w:tcW w:type="dxa" w:w="740"/>
            <w:shd w:fill="D9D9D9" w:color="auto" w:val="clear"/>
          </w:tcPr>
          <w:p>
            <w:r>
              <w:rPr>
                <w:b/>
                <w:bCs/>
                <w:sz w:val="18"/>
                <w:szCs w:val="18"/>
              </w:rPr>
              <w:t xml:space="preserve">Category</w:t>
            </w:r>
          </w:p>
        </w:tc>
        <w:tc>
          <w:tcPr>
            <w:tcW w:type="dxa" w:w="832"/>
            <w:shd w:fill="D9D9D9" w:color="auto" w:val="clear"/>
          </w:tcPr>
          <w:p>
            <w:r>
              <w:rPr>
                <w:b/>
                <w:bCs/>
                <w:sz w:val="18"/>
                <w:szCs w:val="18"/>
              </w:rPr>
              <w:t xml:space="preserve">Likelihood</w:t>
            </w:r>
          </w:p>
        </w:tc>
        <w:tc>
          <w:tcPr>
            <w:tcW w:type="dxa" w:w="555"/>
            <w:shd w:fill="D9D9D9" w:color="auto" w:val="clear"/>
          </w:tcPr>
          <w:p>
            <w:r>
              <w:rPr>
                <w:b/>
                <w:bCs/>
                <w:sz w:val="18"/>
                <w:szCs w:val="18"/>
              </w:rPr>
              <w:t xml:space="preserve">Impact</w:t>
            </w:r>
          </w:p>
        </w:tc>
        <w:tc>
          <w:tcPr>
            <w:tcW w:type="dxa" w:w="832"/>
            <w:shd w:fill="D9D9D9" w:color="auto" w:val="clear"/>
          </w:tcPr>
          <w:p>
            <w:r>
              <w:rPr>
                <w:b/>
                <w:bCs/>
                <w:sz w:val="18"/>
                <w:szCs w:val="18"/>
              </w:rPr>
              <w:t xml:space="preserve">Exposure</w:t>
            </w:r>
          </w:p>
        </w:tc>
        <w:tc>
          <w:tcPr>
            <w:tcW w:type="dxa" w:w="1063"/>
            <w:shd w:fill="D9D9D9" w:color="auto" w:val="clear"/>
          </w:tcPr>
          <w:p>
            <w:r>
              <w:rPr>
                <w:b/>
                <w:bCs/>
                <w:sz w:val="18"/>
                <w:szCs w:val="18"/>
              </w:rPr>
              <w:t xml:space="preserve">Mitigation</w:t>
            </w:r>
          </w:p>
        </w:tc>
        <w:tc>
          <w:tcPr>
            <w:tcW w:type="dxa" w:w="832"/>
            <w:shd w:fill="D9D9D9" w:color="auto" w:val="clear"/>
          </w:tcPr>
          <w:p>
            <w:r>
              <w:rPr>
                <w:b/>
                <w:bCs/>
                <w:sz w:val="18"/>
                <w:szCs w:val="18"/>
              </w:rPr>
              <w:t xml:space="preserve">Owner</w:t>
            </w:r>
          </w:p>
        </w:tc>
        <w:tc>
          <w:tcPr>
            <w:tcW w:type="dxa" w:w="1018"/>
            <w:shd w:fill="D9D9D9" w:color="auto" w:val="clear"/>
          </w:tcPr>
          <w:p>
            <w:r>
              <w:rPr>
                <w:b/>
                <w:bCs/>
                <w:sz w:val="18"/>
                <w:szCs w:val="18"/>
              </w:rPr>
              <w:t xml:space="preserve">Status</w:t>
            </w:r>
          </w:p>
        </w:tc>
      </w:tr>
      <w:tr>
        <w:tc>
          <w:tcPr>
            <w:tcW w:type="dxa" w:w="1433"/>
          </w:tcPr>
          <w:p>
            <w:r>
              <w:rPr>
                <w:sz w:val="18"/>
                <w:szCs w:val="18"/>
              </w:rPr>
              <w:t xml:space="preserve">WP-0001 — Documentation drift</w:t>
            </w:r>
          </w:p>
        </w:tc>
        <w:tc>
          <w:tcPr>
            <w:tcW w:type="dxa" w:w="694"/>
          </w:tcPr>
          <w:p>
            <w:r>
              <w:rPr>
                <w:sz w:val="18"/>
                <w:szCs w:val="18"/>
              </w:rPr>
              <w:t xml:space="preserve">AR-0002</w:t>
            </w:r>
          </w:p>
        </w:tc>
        <w:tc>
          <w:tcPr>
            <w:tcW w:type="dxa" w:w="694"/>
          </w:tcPr>
          <w:p>
            <w:r>
              <w:rPr>
                <w:sz w:val="18"/>
                <w:szCs w:val="18"/>
              </w:rPr>
              <w:t xml:space="preserve">EGD-0002</w:t>
            </w:r>
          </w:p>
        </w:tc>
        <w:tc>
          <w:tcPr>
            <w:tcW w:type="dxa" w:w="555"/>
          </w:tcPr>
          <w:p>
            <w:r>
              <w:rPr>
                <w:sz w:val="18"/>
                <w:szCs w:val="18"/>
              </w:rPr>
              <w:t xml:space="preserve">VAR-02</w:t>
            </w:r>
          </w:p>
        </w:tc>
        <w:tc>
          <w:tcPr>
            <w:tcW w:type="dxa" w:w="832"/>
          </w:tcPr>
          <w:p>
            <w:r>
              <w:rPr>
                <w:sz w:val="18"/>
                <w:szCs w:val="18"/>
              </w:rPr>
              <w:t xml:space="preserve">Documentation</w:t>
            </w:r>
          </w:p>
        </w:tc>
        <w:tc>
          <w:tcPr>
            <w:tcW w:type="dxa" w:w="740"/>
          </w:tcPr>
          <w:p>
            <w:r>
              <w:rPr>
                <w:sz w:val="18"/>
                <w:szCs w:val="18"/>
              </w:rPr>
              <w:t xml:space="preserve">Delivery / Governance</w:t>
            </w:r>
          </w:p>
        </w:tc>
        <w:tc>
          <w:tcPr>
            <w:tcW w:type="dxa" w:w="832"/>
          </w:tcPr>
          <w:p>
            <w:r>
              <w:rPr>
                <w:sz w:val="18"/>
                <w:szCs w:val="18"/>
              </w:rPr>
              <w:t xml:space="preserve">Confirmed, already occurring</w:t>
            </w:r>
          </w:p>
        </w:tc>
        <w:tc>
          <w:tcPr>
            <w:tcW w:type="dxa" w:w="555"/>
          </w:tcPr>
          <w:p>
            <w:r>
              <w:rPr>
                <w:sz w:val="18"/>
                <w:szCs w:val="18"/>
              </w:rPr>
              <w:t xml:space="preserve">High</w:t>
            </w:r>
          </w:p>
        </w:tc>
        <w:tc>
          <w:tcPr>
            <w:tcW w:type="dxa" w:w="832"/>
          </w:tcPr>
          <w:p>
            <w:r>
              <w:rPr>
                <w:sz w:val="18"/>
                <w:szCs w:val="18"/>
              </w:rPr>
              <w:t xml:space="preserve">High (confirmed)</w:t>
            </w:r>
          </w:p>
        </w:tc>
        <w:tc>
          <w:tcPr>
            <w:tcW w:type="dxa" w:w="1063"/>
          </w:tcPr>
          <w:p>
            <w:r>
              <w:rPr>
                <w:sz w:val="18"/>
                <w:szCs w:val="18"/>
              </w:rPr>
              <w:t xml:space="preserve">Publish revised Phase A document</w:t>
            </w:r>
          </w:p>
        </w:tc>
        <w:tc>
          <w:tcPr>
            <w:tcW w:type="dxa" w:w="832"/>
          </w:tcPr>
          <w:p>
            <w:r>
              <w:rPr>
                <w:sz w:val="18"/>
                <w:szCs w:val="18"/>
              </w:rPr>
              <w:t xml:space="preserve">Enterprise Architecture Owner (unassigned)</w:t>
            </w:r>
          </w:p>
        </w:tc>
        <w:tc>
          <w:tcPr>
            <w:tcW w:type="dxa" w:w="1018"/>
          </w:tcPr>
          <w:p>
            <w:r>
              <w:rPr>
                <w:sz w:val="18"/>
                <w:szCs w:val="18"/>
              </w:rPr>
              <w:t xml:space="preserve">Open — mitigation not started</w:t>
            </w:r>
          </w:p>
        </w:tc>
      </w:tr>
      <w:tr>
        <w:tc>
          <w:tcPr>
            <w:tcW w:type="dxa" w:w="1433"/>
          </w:tcPr>
          <w:p>
            <w:r>
              <w:rPr>
                <w:sz w:val="18"/>
                <w:szCs w:val="18"/>
              </w:rPr>
              <w:t xml:space="preserve">WP-0002 — RLS coverage gap</w:t>
            </w:r>
          </w:p>
        </w:tc>
        <w:tc>
          <w:tcPr>
            <w:tcW w:type="dxa" w:w="694"/>
          </w:tcPr>
          <w:p>
            <w:r>
              <w:rPr>
                <w:sz w:val="18"/>
                <w:szCs w:val="18"/>
              </w:rPr>
              <w:t xml:space="preserve">AR-0007</w:t>
            </w:r>
          </w:p>
        </w:tc>
        <w:tc>
          <w:tcPr>
            <w:tcW w:type="dxa" w:w="694"/>
          </w:tcPr>
          <w:p>
            <w:r>
              <w:rPr>
                <w:sz w:val="18"/>
                <w:szCs w:val="18"/>
              </w:rPr>
              <w:t xml:space="preserve">EGD-0007</w:t>
            </w:r>
          </w:p>
        </w:tc>
        <w:tc>
          <w:tcPr>
            <w:tcW w:type="dxa" w:w="555"/>
          </w:tcPr>
          <w:p>
            <w:r>
              <w:rPr>
                <w:sz w:val="18"/>
                <w:szCs w:val="18"/>
              </w:rPr>
              <w:t xml:space="preserve">None (open unknown)</w:t>
            </w:r>
          </w:p>
        </w:tc>
        <w:tc>
          <w:tcPr>
            <w:tcW w:type="dxa" w:w="832"/>
          </w:tcPr>
          <w:p>
            <w:r>
              <w:rPr>
                <w:sz w:val="18"/>
                <w:szCs w:val="18"/>
              </w:rPr>
              <w:t xml:space="preserve">Database / Test</w:t>
            </w:r>
          </w:p>
        </w:tc>
        <w:tc>
          <w:tcPr>
            <w:tcW w:type="dxa" w:w="740"/>
          </w:tcPr>
          <w:p>
            <w:r>
              <w:rPr>
                <w:sz w:val="18"/>
                <w:szCs w:val="18"/>
              </w:rPr>
              <w:t xml:space="preserve">Security</w:t>
            </w:r>
          </w:p>
        </w:tc>
        <w:tc>
          <w:tcPr>
            <w:tcW w:type="dxa" w:w="832"/>
          </w:tcPr>
          <w:p>
            <w:r>
              <w:rPr>
                <w:sz w:val="18"/>
                <w:szCs w:val="18"/>
              </w:rPr>
              <w:t xml:space="preserve">Unknown until verified</w:t>
            </w:r>
          </w:p>
        </w:tc>
        <w:tc>
          <w:tcPr>
            <w:tcW w:type="dxa" w:w="555"/>
          </w:tcPr>
          <w:p>
            <w:r>
              <w:rPr>
                <w:sz w:val="18"/>
                <w:szCs w:val="18"/>
              </w:rPr>
              <w:t xml:space="preserve">High if confirmed</w:t>
            </w:r>
          </w:p>
        </w:tc>
        <w:tc>
          <w:tcPr>
            <w:tcW w:type="dxa" w:w="832"/>
          </w:tcPr>
          <w:p>
            <w:r>
              <w:rPr>
                <w:sz w:val="18"/>
                <w:szCs w:val="18"/>
              </w:rPr>
              <w:t xml:space="preserve">Critical-until-verified</w:t>
            </w:r>
          </w:p>
        </w:tc>
        <w:tc>
          <w:tcPr>
            <w:tcW w:type="dxa" w:w="1063"/>
          </w:tcPr>
          <w:p>
            <w:r>
              <w:rPr>
                <w:sz w:val="18"/>
                <w:szCs w:val="18"/>
              </w:rPr>
              <w:t xml:space="preserve">Immediate verification; apply proven RLS pattern if gap found</w:t>
            </w:r>
          </w:p>
        </w:tc>
        <w:tc>
          <w:tcPr>
            <w:tcW w:type="dxa" w:w="832"/>
          </w:tcPr>
          <w:p>
            <w:r>
              <w:rPr>
                <w:sz w:val="18"/>
                <w:szCs w:val="18"/>
              </w:rPr>
              <w:t xml:space="preserve">Security/Platform Engineer (unassigned)</w:t>
            </w:r>
          </w:p>
        </w:tc>
        <w:tc>
          <w:tcPr>
            <w:tcW w:type="dxa" w:w="1018"/>
          </w:tcPr>
          <w:p>
            <w:r>
              <w:rPr>
                <w:sz w:val="18"/>
                <w:szCs w:val="18"/>
              </w:rPr>
              <w:t xml:space="preserve">Open — mitigation not started</w:t>
            </w:r>
          </w:p>
        </w:tc>
      </w:tr>
      <w:tr>
        <w:tc>
          <w:tcPr>
            <w:tcW w:type="dxa" w:w="1433"/>
          </w:tcPr>
          <w:p>
            <w:r>
              <w:rPr>
                <w:sz w:val="18"/>
                <w:szCs w:val="18"/>
              </w:rPr>
              <w:t xml:space="preserve">WP-0006 — Unassigned ownership</w:t>
            </w:r>
          </w:p>
        </w:tc>
        <w:tc>
          <w:tcPr>
            <w:tcW w:type="dxa" w:w="694"/>
          </w:tcPr>
          <w:p>
            <w:r>
              <w:rPr>
                <w:sz w:val="18"/>
                <w:szCs w:val="18"/>
              </w:rPr>
              <w:t xml:space="preserve">N/A (AP-009, all EGDs)</w:t>
            </w:r>
          </w:p>
        </w:tc>
        <w:tc>
          <w:tcPr>
            <w:tcW w:type="dxa" w:w="694"/>
          </w:tcPr>
          <w:p>
            <w:r>
              <w:rPr>
                <w:sz w:val="18"/>
                <w:szCs w:val="18"/>
              </w:rPr>
              <w:t xml:space="preserve">All (EGD-0001–0009)</w:t>
            </w:r>
          </w:p>
        </w:tc>
        <w:tc>
          <w:tcPr>
            <w:tcW w:type="dxa" w:w="555"/>
          </w:tcPr>
          <w:p>
            <w:r>
              <w:rPr>
                <w:sz w:val="18"/>
                <w:szCs w:val="18"/>
              </w:rPr>
              <w:t xml:space="preserve">None</w:t>
            </w:r>
          </w:p>
        </w:tc>
        <w:tc>
          <w:tcPr>
            <w:tcW w:type="dxa" w:w="832"/>
          </w:tcPr>
          <w:p>
            <w:r>
              <w:rPr>
                <w:sz w:val="18"/>
                <w:szCs w:val="18"/>
              </w:rPr>
              <w:t xml:space="preserve">N/A (organizational)</w:t>
            </w:r>
          </w:p>
        </w:tc>
        <w:tc>
          <w:tcPr>
            <w:tcW w:type="dxa" w:w="740"/>
          </w:tcPr>
          <w:p>
            <w:r>
              <w:rPr>
                <w:sz w:val="18"/>
                <w:szCs w:val="18"/>
              </w:rPr>
              <w:t xml:space="preserve">Governance / Delivery</w:t>
            </w:r>
          </w:p>
        </w:tc>
        <w:tc>
          <w:tcPr>
            <w:tcW w:type="dxa" w:w="832"/>
          </w:tcPr>
          <w:p>
            <w:r>
              <w:rPr>
                <w:sz w:val="18"/>
                <w:szCs w:val="18"/>
              </w:rPr>
              <w:t xml:space="preserve">Confirmed, already occurring</w:t>
            </w:r>
          </w:p>
        </w:tc>
        <w:tc>
          <w:tcPr>
            <w:tcW w:type="dxa" w:w="555"/>
          </w:tcPr>
          <w:p>
            <w:r>
              <w:rPr>
                <w:sz w:val="18"/>
                <w:szCs w:val="18"/>
              </w:rPr>
              <w:t xml:space="preserve">Critical (blocks all other mitigation)</w:t>
            </w:r>
          </w:p>
        </w:tc>
        <w:tc>
          <w:tcPr>
            <w:tcW w:type="dxa" w:w="832"/>
          </w:tcPr>
          <w:p>
            <w:r>
              <w:rPr>
                <w:sz w:val="18"/>
                <w:szCs w:val="18"/>
              </w:rPr>
              <w:t xml:space="preserve">Critical (confirmed)</w:t>
            </w:r>
          </w:p>
        </w:tc>
        <w:tc>
          <w:tcPr>
            <w:tcW w:type="dxa" w:w="1063"/>
          </w:tcPr>
          <w:p>
            <w:r>
              <w:rPr>
                <w:sz w:val="18"/>
                <w:szCs w:val="18"/>
              </w:rPr>
              <w:t xml:space="preserve">Assign named owners immediately</w:t>
            </w:r>
          </w:p>
        </w:tc>
        <w:tc>
          <w:tcPr>
            <w:tcW w:type="dxa" w:w="832"/>
          </w:tcPr>
          <w:p>
            <w:r>
              <w:rPr>
                <w:sz w:val="18"/>
                <w:szCs w:val="18"/>
              </w:rPr>
              <w:t xml:space="preserve">Executive Sponsor</w:t>
            </w:r>
          </w:p>
        </w:tc>
        <w:tc>
          <w:tcPr>
            <w:tcW w:type="dxa" w:w="1018"/>
          </w:tcPr>
          <w:p>
            <w:r>
              <w:rPr>
                <w:sz w:val="18"/>
                <w:szCs w:val="18"/>
              </w:rPr>
              <w:t xml:space="preserve">Open — blocking</w:t>
            </w:r>
          </w:p>
        </w:tc>
      </w:tr>
      <w:tr>
        <w:tc>
          <w:tcPr>
            <w:tcW w:type="dxa" w:w="1433"/>
          </w:tcPr>
          <w:p>
            <w:r>
              <w:rPr>
                <w:sz w:val="18"/>
                <w:szCs w:val="18"/>
              </w:rPr>
              <w:t xml:space="preserve">WP-0003 — Unpartitioned-table degradation</w:t>
            </w:r>
          </w:p>
        </w:tc>
        <w:tc>
          <w:tcPr>
            <w:tcW w:type="dxa" w:w="694"/>
          </w:tcPr>
          <w:p>
            <w:r>
              <w:rPr>
                <w:sz w:val="18"/>
                <w:szCs w:val="18"/>
              </w:rPr>
              <w:t xml:space="preserve">AR-0004</w:t>
            </w:r>
          </w:p>
        </w:tc>
        <w:tc>
          <w:tcPr>
            <w:tcW w:type="dxa" w:w="694"/>
          </w:tcPr>
          <w:p>
            <w:r>
              <w:rPr>
                <w:sz w:val="18"/>
                <w:szCs w:val="18"/>
              </w:rPr>
              <w:t xml:space="preserve">EGD-0004</w:t>
            </w:r>
          </w:p>
        </w:tc>
        <w:tc>
          <w:tcPr>
            <w:tcW w:type="dxa" w:w="555"/>
          </w:tcPr>
          <w:p>
            <w:r>
              <w:rPr>
                <w:sz w:val="18"/>
                <w:szCs w:val="18"/>
              </w:rPr>
              <w:t xml:space="preserve">VAR-04</w:t>
            </w:r>
          </w:p>
        </w:tc>
        <w:tc>
          <w:tcPr>
            <w:tcW w:type="dxa" w:w="832"/>
          </w:tcPr>
          <w:p>
            <w:r>
              <w:rPr>
                <w:sz w:val="18"/>
                <w:szCs w:val="18"/>
              </w:rPr>
              <w:t xml:space="preserve">Database</w:t>
            </w:r>
          </w:p>
        </w:tc>
        <w:tc>
          <w:tcPr>
            <w:tcW w:type="dxa" w:w="740"/>
          </w:tcPr>
          <w:p>
            <w:r>
              <w:rPr>
                <w:sz w:val="18"/>
                <w:szCs w:val="18"/>
              </w:rPr>
              <w:t xml:space="preserve">Technical / Performance</w:t>
            </w:r>
          </w:p>
        </w:tc>
        <w:tc>
          <w:tcPr>
            <w:tcW w:type="dxa" w:w="832"/>
          </w:tcPr>
          <w:p>
            <w:r>
              <w:rPr>
                <w:sz w:val="18"/>
                <w:szCs w:val="18"/>
              </w:rPr>
              <w:t xml:space="preserve">Medium, growing over time</w:t>
            </w:r>
          </w:p>
        </w:tc>
        <w:tc>
          <w:tcPr>
            <w:tcW w:type="dxa" w:w="555"/>
          </w:tcPr>
          <w:p>
            <w:r>
              <w:rPr>
                <w:sz w:val="18"/>
                <w:szCs w:val="18"/>
              </w:rPr>
              <w:t xml:space="preserve">Medium</w:t>
            </w:r>
          </w:p>
        </w:tc>
        <w:tc>
          <w:tcPr>
            <w:tcW w:type="dxa" w:w="832"/>
          </w:tcPr>
          <w:p>
            <w:r>
              <w:rPr>
                <w:sz w:val="18"/>
                <w:szCs w:val="18"/>
              </w:rPr>
              <w:t xml:space="preserve">Medium, growing</w:t>
            </w:r>
          </w:p>
        </w:tc>
        <w:tc>
          <w:tcPr>
            <w:tcW w:type="dxa" w:w="1063"/>
          </w:tcPr>
          <w:p>
            <w:r>
              <w:rPr>
                <w:sz w:val="18"/>
                <w:szCs w:val="18"/>
              </w:rPr>
              <w:t xml:space="preserve">Quarterly monitoring against EGD-0004 trigger</w:t>
            </w:r>
          </w:p>
        </w:tc>
        <w:tc>
          <w:tcPr>
            <w:tcW w:type="dxa" w:w="832"/>
          </w:tcPr>
          <w:p>
            <w:r>
              <w:rPr>
                <w:sz w:val="18"/>
                <w:szCs w:val="18"/>
              </w:rPr>
              <w:t xml:space="preserve">Platform Engineering Lead (unassigned)</w:t>
            </w:r>
          </w:p>
        </w:tc>
        <w:tc>
          <w:tcPr>
            <w:tcW w:type="dxa" w:w="1018"/>
          </w:tcPr>
          <w:p>
            <w:r>
              <w:rPr>
                <w:sz w:val="18"/>
                <w:szCs w:val="18"/>
              </w:rPr>
              <w:t xml:space="preserve">Open — deferred, monitored</w:t>
            </w:r>
          </w:p>
        </w:tc>
      </w:tr>
      <w:tr>
        <w:tc>
          <w:tcPr>
            <w:tcW w:type="dxa" w:w="1433"/>
          </w:tcPr>
          <w:p>
            <w:r>
              <w:rPr>
                <w:sz w:val="18"/>
                <w:szCs w:val="18"/>
              </w:rPr>
              <w:t xml:space="preserve">WP-0004 — Taxonomy denormalization</w:t>
            </w:r>
          </w:p>
        </w:tc>
        <w:tc>
          <w:tcPr>
            <w:tcW w:type="dxa" w:w="694"/>
          </w:tcPr>
          <w:p>
            <w:r>
              <w:rPr>
                <w:sz w:val="18"/>
                <w:szCs w:val="18"/>
              </w:rPr>
              <w:t xml:space="preserve">AR-0003</w:t>
            </w:r>
          </w:p>
        </w:tc>
        <w:tc>
          <w:tcPr>
            <w:tcW w:type="dxa" w:w="694"/>
          </w:tcPr>
          <w:p>
            <w:r>
              <w:rPr>
                <w:sz w:val="18"/>
                <w:szCs w:val="18"/>
              </w:rPr>
              <w:t xml:space="preserve">EGD-0003</w:t>
            </w:r>
          </w:p>
        </w:tc>
        <w:tc>
          <w:tcPr>
            <w:tcW w:type="dxa" w:w="555"/>
          </w:tcPr>
          <w:p>
            <w:r>
              <w:rPr>
                <w:sz w:val="18"/>
                <w:szCs w:val="18"/>
              </w:rPr>
              <w:t xml:space="preserve">VAR-03</w:t>
            </w:r>
          </w:p>
        </w:tc>
        <w:tc>
          <w:tcPr>
            <w:tcW w:type="dxa" w:w="832"/>
          </w:tcPr>
          <w:p>
            <w:r>
              <w:rPr>
                <w:sz w:val="18"/>
                <w:szCs w:val="18"/>
              </w:rPr>
              <w:t xml:space="preserve">Database / Test</w:t>
            </w:r>
          </w:p>
        </w:tc>
        <w:tc>
          <w:tcPr>
            <w:tcW w:type="dxa" w:w="740"/>
          </w:tcPr>
          <w:p>
            <w:r>
              <w:rPr>
                <w:sz w:val="18"/>
                <w:szCs w:val="18"/>
              </w:rPr>
              <w:t xml:space="preserve">Data Governance</w:t>
            </w:r>
          </w:p>
        </w:tc>
        <w:tc>
          <w:tcPr>
            <w:tcW w:type="dxa" w:w="832"/>
          </w:tcPr>
          <w:p>
            <w:r>
              <w:rPr>
                <w:sz w:val="18"/>
                <w:szCs w:val="18"/>
              </w:rPr>
              <w:t xml:space="preserve">Low currently, latent</w:t>
            </w:r>
          </w:p>
        </w:tc>
        <w:tc>
          <w:tcPr>
            <w:tcW w:type="dxa" w:w="555"/>
          </w:tcPr>
          <w:p>
            <w:r>
              <w:rPr>
                <w:sz w:val="18"/>
                <w:szCs w:val="18"/>
              </w:rPr>
              <w:t xml:space="preserve">Medium</w:t>
            </w:r>
          </w:p>
        </w:tc>
        <w:tc>
          <w:tcPr>
            <w:tcW w:type="dxa" w:w="832"/>
          </w:tcPr>
          <w:p>
            <w:r>
              <w:rPr>
                <w:sz w:val="18"/>
                <w:szCs w:val="18"/>
              </w:rPr>
              <w:t xml:space="preserve">Low–Medium, latent</w:t>
            </w:r>
          </w:p>
        </w:tc>
        <w:tc>
          <w:tcPr>
            <w:tcW w:type="dxa" w:w="1063"/>
          </w:tcPr>
          <w:p>
            <w:r>
              <w:rPr>
                <w:sz w:val="18"/>
                <w:szCs w:val="18"/>
              </w:rPr>
              <w:t xml:space="preserve">Per-release automated denormalization check</w:t>
            </w:r>
          </w:p>
        </w:tc>
        <w:tc>
          <w:tcPr>
            <w:tcW w:type="dxa" w:w="832"/>
          </w:tcPr>
          <w:p>
            <w:r>
              <w:rPr>
                <w:sz w:val="18"/>
                <w:szCs w:val="18"/>
              </w:rPr>
              <w:t xml:space="preserve">Data Governance Owner (unassigned)</w:t>
            </w:r>
          </w:p>
        </w:tc>
        <w:tc>
          <w:tcPr>
            <w:tcW w:type="dxa" w:w="1018"/>
          </w:tcPr>
          <w:p>
            <w:r>
              <w:rPr>
                <w:sz w:val="18"/>
                <w:szCs w:val="18"/>
              </w:rPr>
              <w:t xml:space="preserve">Open — conditionally accepted, monitored</w:t>
            </w:r>
          </w:p>
        </w:tc>
      </w:tr>
      <w:tr>
        <w:tc>
          <w:tcPr>
            <w:tcW w:type="dxa" w:w="1433"/>
          </w:tcPr>
          <w:p>
            <w:r>
              <w:rPr>
                <w:sz w:val="18"/>
                <w:szCs w:val="18"/>
              </w:rPr>
              <w:t xml:space="preserve">WP-0005 — Column-level protection gap</w:t>
            </w:r>
          </w:p>
        </w:tc>
        <w:tc>
          <w:tcPr>
            <w:tcW w:type="dxa" w:w="694"/>
          </w:tcPr>
          <w:p>
            <w:r>
              <w:rPr>
                <w:sz w:val="18"/>
                <w:szCs w:val="18"/>
              </w:rPr>
              <w:t xml:space="preserve">AR-0007 (extension)</w:t>
            </w:r>
          </w:p>
        </w:tc>
        <w:tc>
          <w:tcPr>
            <w:tcW w:type="dxa" w:w="694"/>
          </w:tcPr>
          <w:p>
            <w:r>
              <w:rPr>
                <w:sz w:val="18"/>
                <w:szCs w:val="18"/>
              </w:rPr>
              <w:t xml:space="preserve">EGD-0007</w:t>
            </w:r>
          </w:p>
        </w:tc>
        <w:tc>
          <w:tcPr>
            <w:tcW w:type="dxa" w:w="555"/>
          </w:tcPr>
          <w:p>
            <w:r>
              <w:rPr>
                <w:sz w:val="18"/>
                <w:szCs w:val="18"/>
              </w:rPr>
              <w:t xml:space="preserve">None</w:t>
            </w:r>
          </w:p>
        </w:tc>
        <w:tc>
          <w:tcPr>
            <w:tcW w:type="dxa" w:w="832"/>
          </w:tcPr>
          <w:p>
            <w:r>
              <w:rPr>
                <w:sz w:val="18"/>
                <w:szCs w:val="18"/>
              </w:rPr>
              <w:t xml:space="preserve">Database</w:t>
            </w:r>
          </w:p>
        </w:tc>
        <w:tc>
          <w:tcPr>
            <w:tcW w:type="dxa" w:w="740"/>
          </w:tcPr>
          <w:p>
            <w:r>
              <w:rPr>
                <w:sz w:val="18"/>
                <w:szCs w:val="18"/>
              </w:rPr>
              <w:t xml:space="preserve">Security</w:t>
            </w:r>
          </w:p>
        </w:tc>
        <w:tc>
          <w:tcPr>
            <w:tcW w:type="dxa" w:w="832"/>
          </w:tcPr>
          <w:p>
            <w:r>
              <w:rPr>
                <w:sz w:val="18"/>
                <w:szCs w:val="18"/>
              </w:rPr>
              <w:t xml:space="preserve">Low–Medium, latent</w:t>
            </w:r>
          </w:p>
        </w:tc>
        <w:tc>
          <w:tcPr>
            <w:tcW w:type="dxa" w:w="555"/>
          </w:tcPr>
          <w:p>
            <w:r>
              <w:rPr>
                <w:sz w:val="18"/>
                <w:szCs w:val="18"/>
              </w:rPr>
              <w:t xml:space="preserve">Medium</w:t>
            </w:r>
          </w:p>
        </w:tc>
        <w:tc>
          <w:tcPr>
            <w:tcW w:type="dxa" w:w="832"/>
          </w:tcPr>
          <w:p>
            <w:r>
              <w:rPr>
                <w:sz w:val="18"/>
                <w:szCs w:val="18"/>
              </w:rPr>
              <w:t xml:space="preserve">Low–Medium, latent</w:t>
            </w:r>
          </w:p>
        </w:tc>
        <w:tc>
          <w:tcPr>
            <w:tcW w:type="dxa" w:w="1063"/>
          </w:tcPr>
          <w:p>
            <w:r>
              <w:rPr>
                <w:sz w:val="18"/>
                <w:szCs w:val="18"/>
              </w:rPr>
              <w:t xml:space="preserve">Column-level access review</w:t>
            </w:r>
          </w:p>
        </w:tc>
        <w:tc>
          <w:tcPr>
            <w:tcW w:type="dxa" w:w="832"/>
          </w:tcPr>
          <w:p>
            <w:r>
              <w:rPr>
                <w:sz w:val="18"/>
                <w:szCs w:val="18"/>
              </w:rPr>
              <w:t xml:space="preserve">Security/Platform Engineer (unassigned)</w:t>
            </w:r>
          </w:p>
        </w:tc>
        <w:tc>
          <w:tcPr>
            <w:tcW w:type="dxa" w:w="1018"/>
          </w:tcPr>
          <w:p>
            <w:r>
              <w:rPr>
                <w:sz w:val="18"/>
                <w:szCs w:val="18"/>
              </w:rPr>
              <w:t xml:space="preserve">Open — mitigation not started</w:t>
            </w:r>
          </w:p>
        </w:tc>
      </w:tr>
      <w:tr>
        <w:tc>
          <w:tcPr>
            <w:tcW w:type="dxa" w:w="1433"/>
          </w:tcPr>
          <w:p>
            <w:r>
              <w:rPr>
                <w:sz w:val="18"/>
                <w:szCs w:val="18"/>
              </w:rPr>
              <w:t xml:space="preserve">Not Work-Package-Bound — Supersession/versioning retrofit non-recoverable if deferred past compliance trigger</w:t>
            </w:r>
          </w:p>
        </w:tc>
        <w:tc>
          <w:tcPr>
            <w:tcW w:type="dxa" w:w="694"/>
          </w:tcPr>
          <w:p>
            <w:r>
              <w:rPr>
                <w:sz w:val="18"/>
                <w:szCs w:val="18"/>
              </w:rPr>
              <w:t xml:space="preserve">AR-0006</w:t>
            </w:r>
          </w:p>
        </w:tc>
        <w:tc>
          <w:tcPr>
            <w:tcW w:type="dxa" w:w="694"/>
          </w:tcPr>
          <w:p>
            <w:r>
              <w:rPr>
                <w:sz w:val="18"/>
                <w:szCs w:val="18"/>
              </w:rPr>
              <w:t xml:space="preserve">EGD-0006</w:t>
            </w:r>
          </w:p>
        </w:tc>
        <w:tc>
          <w:tcPr>
            <w:tcW w:type="dxa" w:w="555"/>
          </w:tcPr>
          <w:p>
            <w:r>
              <w:rPr>
                <w:sz w:val="18"/>
                <w:szCs w:val="18"/>
              </w:rPr>
              <w:t xml:space="preserve">None</w:t>
            </w:r>
          </w:p>
        </w:tc>
        <w:tc>
          <w:tcPr>
            <w:tcW w:type="dxa" w:w="832"/>
          </w:tcPr>
          <w:p>
            <w:r>
              <w:rPr>
                <w:sz w:val="18"/>
                <w:szCs w:val="18"/>
              </w:rPr>
              <w:t xml:space="preserve">Not Applicable</w:t>
            </w:r>
          </w:p>
        </w:tc>
        <w:tc>
          <w:tcPr>
            <w:tcW w:type="dxa" w:w="740"/>
          </w:tcPr>
          <w:p>
            <w:r>
              <w:rPr>
                <w:sz w:val="18"/>
                <w:szCs w:val="18"/>
              </w:rPr>
              <w:t xml:space="preserve">Compliance</w:t>
            </w:r>
          </w:p>
        </w:tc>
        <w:tc>
          <w:tcPr>
            <w:tcW w:type="dxa" w:w="832"/>
          </w:tcPr>
          <w:p>
            <w:r>
              <w:rPr>
                <w:sz w:val="18"/>
                <w:szCs w:val="18"/>
              </w:rPr>
              <w:t xml:space="preserve">Low currently, but irreversible if triggered</w:t>
            </w:r>
          </w:p>
        </w:tc>
        <w:tc>
          <w:tcPr>
            <w:tcW w:type="dxa" w:w="555"/>
          </w:tcPr>
          <w:p>
            <w:r>
              <w:rPr>
                <w:sz w:val="18"/>
                <w:szCs w:val="18"/>
              </w:rPr>
              <w:t xml:space="preserve">High if triggered late</w:t>
            </w:r>
          </w:p>
        </w:tc>
        <w:tc>
          <w:tcPr>
            <w:tcW w:type="dxa" w:w="832"/>
          </w:tcPr>
          <w:p>
            <w:r>
              <w:rPr>
                <w:sz w:val="18"/>
                <w:szCs w:val="18"/>
              </w:rPr>
              <w:t xml:space="preserve">High if triggered late (irreversibility risk flagged)</w:t>
            </w:r>
          </w:p>
        </w:tc>
        <w:tc>
          <w:tcPr>
            <w:tcW w:type="dxa" w:w="1063"/>
          </w:tcPr>
          <w:p>
            <w:r>
              <w:rPr>
                <w:sz w:val="18"/>
                <w:szCs w:val="18"/>
              </w:rPr>
              <w:t xml:space="preserve">Explicit executive awareness (carried from Phase A.2 ADR-006); monitor for compliance scope changes</w:t>
            </w:r>
          </w:p>
        </w:tc>
        <w:tc>
          <w:tcPr>
            <w:tcW w:type="dxa" w:w="832"/>
          </w:tcPr>
          <w:p>
            <w:r>
              <w:rPr>
                <w:sz w:val="18"/>
                <w:szCs w:val="18"/>
              </w:rPr>
              <w:t xml:space="preserve">Compliance/Data Governance Owner (unassigned)</w:t>
            </w:r>
          </w:p>
        </w:tc>
        <w:tc>
          <w:tcPr>
            <w:tcW w:type="dxa" w:w="1018"/>
          </w:tcPr>
          <w:p>
            <w:r>
              <w:rPr>
                <w:sz w:val="18"/>
                <w:szCs w:val="18"/>
              </w:rPr>
              <w:t xml:space="preserve">Open — deferred, no retroactive contingency available</w:t>
            </w:r>
          </w:p>
        </w:tc>
      </w:tr>
    </w:tbl>
    <w:p>
      <w:pPr>
        <w:spacing w:after="200"/>
      </w:pPr>
    </w:p>
    <w:p>
      <w:pPr>
        <w:spacing w:after="160"/>
      </w:pPr>
      <w:r>
        <w:t xml:space="preserve">No risk is asserted for Portfolios 3–7 (Enterprise AI, Business Capabilities, Knowledge Platform, Integration Platform, Operations &amp; Observability) — Reserved for Future Realization Phases, consistent with Section 1 §1 and Section 3 §1, since no AR/EGD evidence exists in those domains.</w:t>
      </w:r>
    </w:p>
    <w:p>
      <w:pPr>
        <w:pStyle w:val="Heading2"/>
        <w:spacing w:after="160" w:before="360"/>
      </w:pPr>
      <w:r>
        <w:t xml:space="preserve">6. Cross-Work Package Risk Analysis</w:t>
      </w:r>
    </w:p>
    <w:p>
      <w:pPr>
        <w:spacing w:after="100" w:before="200"/>
      </w:pPr>
      <w:r>
        <w:rPr>
          <w:b/>
          <w:bCs/>
          <w:i/>
          <w:iCs/>
        </w:rPr>
        <w:t xml:space="preserve">Shared Implementation Risks</w:t>
      </w:r>
    </w:p>
    <w:p>
      <w:pPr>
        <w:spacing w:after="160"/>
      </w:pPr>
      <w:r>
        <w:t xml:space="preserve">WP-0002 and WP-0005 share the same underlying security risk family (AR-0007) and the same verification method — WP-0005 explicitly adopts WP-0002's written, query-evidenced template as its own rather than defining a new one (Section 1 §7; Section 3 §5). A confirmed gap in either carries the same contingency-only corrective-action pattern (Section 6 §8 of the Conformance Plan; Phase B §10).</w:t>
      </w:r>
    </w:p>
    <w:p>
      <w:pPr>
        <w:spacing w:after="100" w:before="200"/>
      </w:pPr>
      <w:r>
        <w:rPr>
          <w:b/>
          <w:bCs/>
          <w:i/>
          <w:iCs/>
        </w:rPr>
        <w:t xml:space="preserve">Shared Governance Risks</w:t>
      </w:r>
    </w:p>
    <w:p>
      <w:pPr>
        <w:spacing w:after="160"/>
      </w:pPr>
      <w:r>
        <w:t xml:space="preserve">Every one of the seven risks in §5 above shares a single root governance risk: zero of the five named roles (Phase B §9) carry a currently-assigned individual (KPI-08 = 0%). WP-0006 is therefore not only its own risk profile's mitigation but the shared precondition for every other risk in this matrix having an accountable owner (Phase A.2 §12; Phase A.3 §8).</w:t>
      </w:r>
    </w:p>
    <w:p>
      <w:pPr>
        <w:spacing w:after="100" w:before="200"/>
      </w:pPr>
      <w:r>
        <w:rPr>
          <w:b/>
          <w:bCs/>
          <w:i/>
          <w:iCs/>
        </w:rPr>
        <w:t xml:space="preserve">Shared Repository Risks</w:t>
      </w:r>
    </w:p>
    <w:p>
      <w:pPr>
        <w:spacing w:after="160"/>
      </w:pPr>
      <w:r>
        <w:t xml:space="preserve">WP-0002 and WP-0005 share Database and Test repository risk exposure (Section 3 §6) — the Test Repository's Security Risk is explicitly tied to the Database Repository's Security Risk for WP-0002, and this matrix extends the same tie to WP-0005's column-level extension. WP-0003 and WP-0004 share Database repository Migration Risk exposure, both contingent on a future trigger rather than an open implementation item today (Section 3 §6).</w:t>
      </w:r>
    </w:p>
    <w:p>
      <w:pPr>
        <w:spacing w:after="100" w:before="200"/>
      </w:pPr>
      <w:r>
        <w:rPr>
          <w:b/>
          <w:bCs/>
          <w:i/>
          <w:iCs/>
        </w:rPr>
        <w:t xml:space="preserve">Shared Verification Risks</w:t>
      </w:r>
    </w:p>
    <w:p>
      <w:pPr>
        <w:spacing w:after="160"/>
      </w:pPr>
      <w:r>
        <w:t xml:space="preserve">WP-0002's query-based, written-evidence verification method is the adopted template for every future Realize-class Work Package in this baseline, reused explicitly by WP-0004 (per-release automated check) and WP-0005 (review-based verification) (Section 1 §7; Section 3 §5).</w:t>
      </w:r>
    </w:p>
    <w:p>
      <w:pPr>
        <w:spacing w:after="100" w:before="200"/>
      </w:pPr>
      <w:r>
        <w:rPr>
          <w:b/>
          <w:bCs/>
          <w:i/>
          <w:iCs/>
        </w:rPr>
        <w:t xml:space="preserve">Shared Dependency Risks</w:t>
      </w:r>
    </w:p>
    <w:p>
      <w:pPr>
        <w:spacing w:after="160"/>
      </w:pPr>
      <w:r>
        <w:t xml:space="preserve">All six Work Packages share the same governance dependency on WP-0006 (Section 3 §5, 'Governance dependency (all Work Packages on WP-0006)'). WP-0003 alone carries an external, not-yet-gathered data dependency (row-count/growth data) that is not shared by any other Work Package (Phase B §7).</w:t>
      </w:r>
    </w:p>
    <w:p>
      <w:pPr>
        <w:spacing w:after="100" w:before="200"/>
      </w:pPr>
      <w:r>
        <w:rPr>
          <w:b/>
          <w:bCs/>
          <w:i/>
          <w:iCs/>
        </w:rPr>
        <w:t xml:space="preserve">Common Mitigation Approaches</w:t>
      </w:r>
    </w:p>
    <w:p>
      <w:pPr>
        <w:spacing w:after="160"/>
      </w:pPr>
      <w:r>
        <w:t xml:space="preserve">Three mitigation patterns recur across the matrix: (1) immediate execution of a low-complexity, already-dispositioned Work Package (WP-0001, WP-0002, WP-0006); (2) quarterly trigger-based monitoring for deferred, evidence-backed variances (WP-0003, WP-0004, and the Compliance risk); and (3) pre-approved, contingency-only corrective action applied without delay if a confirmed gap is found (WP-0002, WP-0005), rather than a new planning cycle (Phase B §10; Section 6 §8).</w:t>
      </w:r>
    </w:p>
    <w:p>
      <w:pPr>
        <w:pStyle w:val="Heading2"/>
        <w:spacing w:after="160" w:before="360"/>
      </w:pPr>
      <w:r>
        <w:t xml:space="preserve">7. Risk Monitoring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Monitoring Element</w:t>
            </w:r>
          </w:p>
        </w:tc>
        <w:tc>
          <w:tcPr>
            <w:tcW w:type="dxa" w:w="7661"/>
            <w:shd w:fill="D9D9D9" w:color="auto" w:val="clear"/>
          </w:tcPr>
          <w:p>
            <w:r>
              <w:rPr>
                <w:b/>
                <w:bCs/>
                <w:sz w:val="18"/>
                <w:szCs w:val="18"/>
              </w:rPr>
              <w:t xml:space="preserve">Detail</w:t>
            </w:r>
          </w:p>
        </w:tc>
      </w:tr>
      <w:tr>
        <w:tc>
          <w:tcPr>
            <w:tcW w:type="dxa" w:w="2419"/>
          </w:tcPr>
          <w:p>
            <w:r>
              <w:rPr>
                <w:sz w:val="18"/>
                <w:szCs w:val="18"/>
              </w:rPr>
              <w:t xml:space="preserve">Risk monitoring activities</w:t>
            </w:r>
          </w:p>
        </w:tc>
        <w:tc>
          <w:tcPr>
            <w:tcW w:type="dxa" w:w="7661"/>
          </w:tcPr>
          <w:p>
            <w:r>
              <w:rPr>
                <w:sz w:val="18"/>
                <w:szCs w:val="18"/>
              </w:rPr>
              <w:t xml:space="preserve">Re-run each Work Package's already-defined verification method (Section 4/Section 5) as the risk-monitoring mechanism; no separate scanning process is evidenced beyond these (Section 6 §8).</w:t>
            </w:r>
          </w:p>
        </w:tc>
      </w:tr>
      <w:tr>
        <w:tc>
          <w:tcPr>
            <w:tcW w:type="dxa" w:w="2419"/>
          </w:tcPr>
          <w:p>
            <w:r>
              <w:rPr>
                <w:sz w:val="18"/>
                <w:szCs w:val="18"/>
              </w:rPr>
              <w:t xml:space="preserve">Monitoring frequency</w:t>
            </w:r>
          </w:p>
        </w:tc>
        <w:tc>
          <w:tcPr>
            <w:tcW w:type="dxa" w:w="7661"/>
          </w:tcPr>
          <w:p>
            <w:r>
              <w:rPr>
                <w:sz w:val="18"/>
                <w:szCs w:val="18"/>
              </w:rPr>
              <w:t xml:space="preserve">Quarterly, aligned to the existing quarterly trigger-review cadence already established for deferred EGDs (KPI-05, KPI-10; Phase A.3 §10).</w:t>
            </w:r>
          </w:p>
        </w:tc>
      </w:tr>
      <w:tr>
        <w:tc>
          <w:tcPr>
            <w:tcW w:type="dxa" w:w="2419"/>
          </w:tcPr>
          <w:p>
            <w:r>
              <w:rPr>
                <w:sz w:val="18"/>
                <w:szCs w:val="18"/>
              </w:rPr>
              <w:t xml:space="preserve">KPI monitoring</w:t>
            </w:r>
          </w:p>
        </w:tc>
        <w:tc>
          <w:tcPr>
            <w:tcW w:type="dxa" w:w="7661"/>
          </w:tcPr>
          <w:p>
            <w:r>
              <w:rPr>
                <w:sz w:val="18"/>
                <w:szCs w:val="18"/>
              </w:rPr>
              <w:t xml:space="preserve">KPI-01 (Architecture Conformance), KPI-02 (Documentation Accuracy), KPI-03 (Governance Compliance), KPI-06 (RLS Coverage), KPI-07 (Governance Decision Traceability), KPI-08 (Ownership Assignment), and KPI-09 (Technical Debt by Class) are the seven KPIs directly tied to risks in this matrix; re-measured at each milestone, not only at phase boundaries (Section 1 §5).</w:t>
            </w:r>
          </w:p>
        </w:tc>
      </w:tr>
      <w:tr>
        <w:tc>
          <w:tcPr>
            <w:tcW w:type="dxa" w:w="2419"/>
          </w:tcPr>
          <w:p>
            <w:r>
              <w:rPr>
                <w:sz w:val="18"/>
                <w:szCs w:val="18"/>
              </w:rPr>
              <w:t xml:space="preserve">Variance monitoring</w:t>
            </w:r>
          </w:p>
        </w:tc>
        <w:tc>
          <w:tcPr>
            <w:tcW w:type="dxa" w:w="7661"/>
          </w:tcPr>
          <w:p>
            <w:r>
              <w:rPr>
                <w:sz w:val="18"/>
                <w:szCs w:val="18"/>
              </w:rPr>
              <w:t xml:space="preserve">VAR-01 (quarterly), VAR-03 (per-release), and VAR-04 (quarterly) each carry their own approved review frequency (Phase A.3 §6); this framework does not alter those frequencies.</w:t>
            </w:r>
          </w:p>
        </w:tc>
      </w:tr>
      <w:tr>
        <w:tc>
          <w:tcPr>
            <w:tcW w:type="dxa" w:w="2419"/>
          </w:tcPr>
          <w:p>
            <w:r>
              <w:rPr>
                <w:sz w:val="18"/>
                <w:szCs w:val="18"/>
              </w:rPr>
              <w:t xml:space="preserve">Escalation thresholds</w:t>
            </w:r>
          </w:p>
        </w:tc>
        <w:tc>
          <w:tcPr>
            <w:tcW w:type="dxa" w:w="7661"/>
          </w:tcPr>
          <w:p>
            <w:r>
              <w:rPr>
                <w:sz w:val="18"/>
                <w:szCs w:val="18"/>
              </w:rPr>
              <w:t xml:space="preserve">Not Evidenced in Current Baseline as a formally named severity classification scheme or escalation SLA. The one evidenced escalation path: unresolved blocking risks (currently: unassigned ownership) escalate to the Executive Sponsor, not to individual Work Package owners who cannot resolve it themselves (Phase B §13; Section 1 §5).</w:t>
            </w:r>
          </w:p>
        </w:tc>
      </w:tr>
      <w:tr>
        <w:tc>
          <w:tcPr>
            <w:tcW w:type="dxa" w:w="2419"/>
          </w:tcPr>
          <w:p>
            <w:r>
              <w:rPr>
                <w:sz w:val="18"/>
                <w:szCs w:val="18"/>
              </w:rPr>
              <w:t xml:space="preserve">Governance reviews</w:t>
            </w:r>
          </w:p>
        </w:tc>
        <w:tc>
          <w:tcPr>
            <w:tcW w:type="dxa" w:w="7661"/>
          </w:tcPr>
          <w:p>
            <w:r>
              <w:rPr>
                <w:sz w:val="18"/>
                <w:szCs w:val="18"/>
              </w:rPr>
              <w:t xml:space="preserve">Architecture review checkpoints at the close of each wave and each milestone; ad hoc on any EGD trigger firing (Phase B §13; Phase A.3 §4 review-frequency column).</w:t>
            </w:r>
          </w:p>
        </w:tc>
      </w:tr>
    </w:tbl>
    <w:p>
      <w:pPr>
        <w:pStyle w:val="Heading2"/>
        <w:spacing w:after="160" w:before="360"/>
      </w:pPr>
      <w:r>
        <w:t xml:space="preserve">8. Risk Traceability Matrix</w:t>
      </w:r>
    </w:p>
    <w:p>
      <w:pPr>
        <w:spacing w:after="160"/>
      </w:pPr>
      <w:r>
        <w:t xml:space="preserve">Extends the traceability chain established in Phase A.3 §7 and carried through Phase B §8, Section 1 §11, Section 3 §8, Section 4 §8, Section 5 §8, and Section 6 (of this baseline), terminating in Risk Control and Mitigation rather than stopping at Certification Level. No identifier is recreated; every AR, EGD, VAR, Repository, WP, and Certification Level below is reused unchanged from prior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33"/>
        <w:gridCol w:w="1191"/>
        <w:gridCol w:w="550"/>
        <w:gridCol w:w="916"/>
        <w:gridCol w:w="1375"/>
        <w:gridCol w:w="1283"/>
        <w:gridCol w:w="1191"/>
        <w:gridCol w:w="1008"/>
        <w:gridCol w:w="916"/>
        <w:gridCol w:w="917"/>
      </w:tblGrid>
      <w:tr>
        <w:trPr>
          <w:tblHeader/>
        </w:trPr>
        <w:tc>
          <w:tcPr>
            <w:tcW w:type="dxa" w:w="733"/>
            <w:shd w:fill="D9D9D9" w:color="auto" w:val="clear"/>
          </w:tcPr>
          <w:p>
            <w:r>
              <w:rPr>
                <w:b/>
                <w:bCs/>
                <w:sz w:val="18"/>
                <w:szCs w:val="18"/>
              </w:rPr>
              <w:t xml:space="preserve">WP</w:t>
            </w:r>
          </w:p>
        </w:tc>
        <w:tc>
          <w:tcPr>
            <w:tcW w:type="dxa" w:w="1191"/>
            <w:shd w:fill="D9D9D9" w:color="auto" w:val="clear"/>
          </w:tcPr>
          <w:p>
            <w:r>
              <w:rPr>
                <w:b/>
                <w:bCs/>
                <w:sz w:val="18"/>
                <w:szCs w:val="18"/>
              </w:rPr>
              <w:t xml:space="preserve">AR / EGD</w:t>
            </w:r>
          </w:p>
        </w:tc>
        <w:tc>
          <w:tcPr>
            <w:tcW w:type="dxa" w:w="550"/>
            <w:shd w:fill="D9D9D9" w:color="auto" w:val="clear"/>
          </w:tcPr>
          <w:p>
            <w:r>
              <w:rPr>
                <w:b/>
                <w:bCs/>
                <w:sz w:val="18"/>
                <w:szCs w:val="18"/>
              </w:rPr>
              <w:t xml:space="preserve">VAR</w:t>
            </w:r>
          </w:p>
        </w:tc>
        <w:tc>
          <w:tcPr>
            <w:tcW w:type="dxa" w:w="916"/>
            <w:shd w:fill="D9D9D9" w:color="auto" w:val="clear"/>
          </w:tcPr>
          <w:p>
            <w:r>
              <w:rPr>
                <w:b/>
                <w:bCs/>
                <w:sz w:val="18"/>
                <w:szCs w:val="18"/>
              </w:rPr>
              <w:t xml:space="preserve">Repository</w:t>
            </w:r>
          </w:p>
        </w:tc>
        <w:tc>
          <w:tcPr>
            <w:tcW w:type="dxa" w:w="1375"/>
            <w:shd w:fill="D9D9D9" w:color="auto" w:val="clear"/>
          </w:tcPr>
          <w:p>
            <w:r>
              <w:rPr>
                <w:b/>
                <w:bCs/>
                <w:sz w:val="18"/>
                <w:szCs w:val="18"/>
              </w:rPr>
              <w:t xml:space="preserve">Engineering Design</w:t>
            </w:r>
          </w:p>
        </w:tc>
        <w:tc>
          <w:tcPr>
            <w:tcW w:type="dxa" w:w="1283"/>
            <w:shd w:fill="D9D9D9" w:color="auto" w:val="clear"/>
          </w:tcPr>
          <w:p>
            <w:r>
              <w:rPr>
                <w:b/>
                <w:bCs/>
                <w:sz w:val="18"/>
                <w:szCs w:val="18"/>
              </w:rPr>
              <w:t xml:space="preserve">Implementation Activity</w:t>
            </w:r>
          </w:p>
        </w:tc>
        <w:tc>
          <w:tcPr>
            <w:tcW w:type="dxa" w:w="1191"/>
            <w:shd w:fill="D9D9D9" w:color="auto" w:val="clear"/>
          </w:tcPr>
          <w:p>
            <w:r>
              <w:rPr>
                <w:b/>
                <w:bCs/>
                <w:sz w:val="18"/>
                <w:szCs w:val="18"/>
              </w:rPr>
              <w:t xml:space="preserve">Verification Evidence</w:t>
            </w:r>
          </w:p>
        </w:tc>
        <w:tc>
          <w:tcPr>
            <w:tcW w:type="dxa" w:w="1008"/>
            <w:shd w:fill="D9D9D9" w:color="auto" w:val="clear"/>
          </w:tcPr>
          <w:p>
            <w:r>
              <w:rPr>
                <w:b/>
                <w:bCs/>
                <w:sz w:val="18"/>
                <w:szCs w:val="18"/>
              </w:rPr>
              <w:t xml:space="preserve">Risk Control</w:t>
            </w:r>
          </w:p>
        </w:tc>
        <w:tc>
          <w:tcPr>
            <w:tcW w:type="dxa" w:w="916"/>
            <w:shd w:fill="D9D9D9" w:color="auto" w:val="clear"/>
          </w:tcPr>
          <w:p>
            <w:r>
              <w:rPr>
                <w:b/>
                <w:bCs/>
                <w:sz w:val="18"/>
                <w:szCs w:val="18"/>
              </w:rPr>
              <w:t xml:space="preserve">Mitigation</w:t>
            </w:r>
          </w:p>
        </w:tc>
        <w:tc>
          <w:tcPr>
            <w:tcW w:type="dxa" w:w="917"/>
            <w:shd w:fill="D9D9D9" w:color="auto" w:val="clear"/>
          </w:tcPr>
          <w:p>
            <w:r>
              <w:rPr>
                <w:b/>
                <w:bCs/>
                <w:sz w:val="18"/>
                <w:szCs w:val="18"/>
              </w:rPr>
              <w:t xml:space="preserve">Certification</w:t>
            </w:r>
          </w:p>
        </w:tc>
      </w:tr>
      <w:tr>
        <w:tc>
          <w:tcPr>
            <w:tcW w:type="dxa" w:w="733"/>
          </w:tcPr>
          <w:p>
            <w:r>
              <w:rPr>
                <w:sz w:val="18"/>
                <w:szCs w:val="18"/>
              </w:rPr>
              <w:t xml:space="preserve">WP-0001</w:t>
            </w:r>
          </w:p>
        </w:tc>
        <w:tc>
          <w:tcPr>
            <w:tcW w:type="dxa" w:w="1191"/>
          </w:tcPr>
          <w:p>
            <w:r>
              <w:rPr>
                <w:sz w:val="18"/>
                <w:szCs w:val="18"/>
              </w:rPr>
              <w:t xml:space="preserve">AR-0002 / EGD-0002</w:t>
            </w:r>
          </w:p>
        </w:tc>
        <w:tc>
          <w:tcPr>
            <w:tcW w:type="dxa" w:w="550"/>
          </w:tcPr>
          <w:p>
            <w:r>
              <w:rPr>
                <w:sz w:val="18"/>
                <w:szCs w:val="18"/>
              </w:rPr>
              <w:t xml:space="preserve">VAR-02</w:t>
            </w:r>
          </w:p>
        </w:tc>
        <w:tc>
          <w:tcPr>
            <w:tcW w:type="dxa" w:w="916"/>
          </w:tcPr>
          <w:p>
            <w:r>
              <w:rPr>
                <w:sz w:val="18"/>
                <w:szCs w:val="18"/>
              </w:rPr>
              <w:t xml:space="preserve">Documentation</w:t>
            </w:r>
          </w:p>
        </w:tc>
        <w:tc>
          <w:tcPr>
            <w:tcW w:type="dxa" w:w="1375"/>
          </w:tcPr>
          <w:p>
            <w:r>
              <w:rPr>
                <w:sz w:val="18"/>
                <w:szCs w:val="18"/>
              </w:rPr>
              <w:t xml:space="preserve">Revised EEP-01 Phase A document</w:t>
            </w:r>
          </w:p>
        </w:tc>
        <w:tc>
          <w:tcPr>
            <w:tcW w:type="dxa" w:w="1283"/>
          </w:tcPr>
          <w:p>
            <w:r>
              <w:rPr>
                <w:sz w:val="18"/>
                <w:szCs w:val="18"/>
              </w:rPr>
              <w:t xml:space="preserve">Document authoring</w:t>
            </w:r>
          </w:p>
        </w:tc>
        <w:tc>
          <w:tcPr>
            <w:tcW w:type="dxa" w:w="1191"/>
          </w:tcPr>
          <w:p>
            <w:r>
              <w:rPr>
                <w:sz w:val="18"/>
                <w:szCs w:val="18"/>
              </w:rPr>
              <w:t xml:space="preserve">Table inventory diff, zero discrepancies</w:t>
            </w:r>
          </w:p>
        </w:tc>
        <w:tc>
          <w:tcPr>
            <w:tcW w:type="dxa" w:w="1008"/>
          </w:tcPr>
          <w:p>
            <w:r>
              <w:rPr>
                <w:sz w:val="18"/>
                <w:szCs w:val="18"/>
              </w:rPr>
              <w:t xml:space="preserve">Detective: diff check</w:t>
            </w:r>
          </w:p>
        </w:tc>
        <w:tc>
          <w:tcPr>
            <w:tcW w:type="dxa" w:w="916"/>
          </w:tcPr>
          <w:p>
            <w:r>
              <w:rPr>
                <w:sz w:val="18"/>
                <w:szCs w:val="18"/>
              </w:rPr>
              <w:t xml:space="preserve">Publish revised document</w:t>
            </w:r>
          </w:p>
        </w:tc>
        <w:tc>
          <w:tcPr>
            <w:tcW w:type="dxa" w:w="917"/>
          </w:tcPr>
          <w:p>
            <w:r>
              <w:rPr>
                <w:sz w:val="18"/>
                <w:szCs w:val="18"/>
              </w:rPr>
              <w:t xml:space="preserve">L4 (pending)</w:t>
            </w:r>
          </w:p>
        </w:tc>
      </w:tr>
      <w:tr>
        <w:tc>
          <w:tcPr>
            <w:tcW w:type="dxa" w:w="733"/>
          </w:tcPr>
          <w:p>
            <w:r>
              <w:rPr>
                <w:sz w:val="18"/>
                <w:szCs w:val="18"/>
              </w:rPr>
              <w:t xml:space="preserve">WP-0002</w:t>
            </w:r>
          </w:p>
        </w:tc>
        <w:tc>
          <w:tcPr>
            <w:tcW w:type="dxa" w:w="1191"/>
          </w:tcPr>
          <w:p>
            <w:r>
              <w:rPr>
                <w:sz w:val="18"/>
                <w:szCs w:val="18"/>
              </w:rPr>
              <w:t xml:space="preserve">AR-0007 / EGD-0007</w:t>
            </w:r>
          </w:p>
        </w:tc>
        <w:tc>
          <w:tcPr>
            <w:tcW w:type="dxa" w:w="550"/>
          </w:tcPr>
          <w:p>
            <w:r>
              <w:rPr>
                <w:sz w:val="18"/>
                <w:szCs w:val="18"/>
              </w:rPr>
              <w:t xml:space="preserve">None</w:t>
            </w:r>
          </w:p>
        </w:tc>
        <w:tc>
          <w:tcPr>
            <w:tcW w:type="dxa" w:w="916"/>
          </w:tcPr>
          <w:p>
            <w:r>
              <w:rPr>
                <w:sz w:val="18"/>
                <w:szCs w:val="18"/>
              </w:rPr>
              <w:t xml:space="preserve">Database + Test</w:t>
            </w:r>
          </w:p>
        </w:tc>
        <w:tc>
          <w:tcPr>
            <w:tcW w:type="dxa" w:w="1375"/>
          </w:tcPr>
          <w:p>
            <w:r>
              <w:rPr>
                <w:sz w:val="18"/>
                <w:szCs w:val="18"/>
              </w:rPr>
              <w:t xml:space="preserve">RLS verification method</w:t>
            </w:r>
          </w:p>
        </w:tc>
        <w:tc>
          <w:tcPr>
            <w:tcW w:type="dxa" w:w="1283"/>
          </w:tcPr>
          <w:p>
            <w:r>
              <w:rPr>
                <w:sz w:val="18"/>
                <w:szCs w:val="18"/>
              </w:rPr>
              <w:t xml:space="preserve">Query-based verification per table</w:t>
            </w:r>
          </w:p>
        </w:tc>
        <w:tc>
          <w:tcPr>
            <w:tcW w:type="dxa" w:w="1191"/>
          </w:tcPr>
          <w:p>
            <w:r>
              <w:rPr>
                <w:sz w:val="18"/>
                <w:szCs w:val="18"/>
              </w:rPr>
              <w:t xml:space="preserve">Per-table verification ledger</w:t>
            </w:r>
          </w:p>
        </w:tc>
        <w:tc>
          <w:tcPr>
            <w:tcW w:type="dxa" w:w="1008"/>
          </w:tcPr>
          <w:p>
            <w:r>
              <w:rPr>
                <w:sz w:val="18"/>
                <w:szCs w:val="18"/>
              </w:rPr>
              <w:t xml:space="preserve">Corrective: apply proven RLS pattern if gap found</w:t>
            </w:r>
          </w:p>
        </w:tc>
        <w:tc>
          <w:tcPr>
            <w:tcW w:type="dxa" w:w="916"/>
          </w:tcPr>
          <w:p>
            <w:r>
              <w:rPr>
                <w:sz w:val="18"/>
                <w:szCs w:val="18"/>
              </w:rPr>
              <w:t xml:space="preserve">Immediate verification</w:t>
            </w:r>
          </w:p>
        </w:tc>
        <w:tc>
          <w:tcPr>
            <w:tcW w:type="dxa" w:w="917"/>
          </w:tcPr>
          <w:p>
            <w:r>
              <w:rPr>
                <w:sz w:val="18"/>
                <w:szCs w:val="18"/>
              </w:rPr>
              <w:t xml:space="preserve">L4 (pending)</w:t>
            </w:r>
          </w:p>
        </w:tc>
      </w:tr>
      <w:tr>
        <w:tc>
          <w:tcPr>
            <w:tcW w:type="dxa" w:w="733"/>
          </w:tcPr>
          <w:p>
            <w:r>
              <w:rPr>
                <w:sz w:val="18"/>
                <w:szCs w:val="18"/>
              </w:rPr>
              <w:t xml:space="preserve">WP-0003</w:t>
            </w:r>
          </w:p>
        </w:tc>
        <w:tc>
          <w:tcPr>
            <w:tcW w:type="dxa" w:w="1191"/>
          </w:tcPr>
          <w:p>
            <w:r>
              <w:rPr>
                <w:sz w:val="18"/>
                <w:szCs w:val="18"/>
              </w:rPr>
              <w:t xml:space="preserve">AR-0004 / EGD-0004</w:t>
            </w:r>
          </w:p>
        </w:tc>
        <w:tc>
          <w:tcPr>
            <w:tcW w:type="dxa" w:w="550"/>
          </w:tcPr>
          <w:p>
            <w:r>
              <w:rPr>
                <w:sz w:val="18"/>
                <w:szCs w:val="18"/>
              </w:rPr>
              <w:t xml:space="preserve">VAR-04</w:t>
            </w:r>
          </w:p>
        </w:tc>
        <w:tc>
          <w:tcPr>
            <w:tcW w:type="dxa" w:w="916"/>
          </w:tcPr>
          <w:p>
            <w:r>
              <w:rPr>
                <w:sz w:val="18"/>
                <w:szCs w:val="18"/>
              </w:rPr>
              <w:t xml:space="preserve">Database (conditional)</w:t>
            </w:r>
          </w:p>
        </w:tc>
        <w:tc>
          <w:tcPr>
            <w:tcW w:type="dxa" w:w="1375"/>
          </w:tcPr>
          <w:p>
            <w:r>
              <w:rPr>
                <w:sz w:val="18"/>
                <w:szCs w:val="18"/>
              </w:rPr>
              <w:t xml:space="preserve">Partitioning migration design (dormant)</w:t>
            </w:r>
          </w:p>
        </w:tc>
        <w:tc>
          <w:tcPr>
            <w:tcW w:type="dxa" w:w="1283"/>
          </w:tcPr>
          <w:p>
            <w:r>
              <w:rPr>
                <w:sz w:val="18"/>
                <w:szCs w:val="18"/>
              </w:rPr>
              <w:t xml:space="preserve">Quarterly row-count/latency monitoring</w:t>
            </w:r>
          </w:p>
        </w:tc>
        <w:tc>
          <w:tcPr>
            <w:tcW w:type="dxa" w:w="1191"/>
          </w:tcPr>
          <w:p>
            <w:r>
              <w:rPr>
                <w:sz w:val="18"/>
                <w:szCs w:val="18"/>
              </w:rPr>
              <w:t xml:space="preserve">Quarterly assessment report</w:t>
            </w:r>
          </w:p>
        </w:tc>
        <w:tc>
          <w:tcPr>
            <w:tcW w:type="dxa" w:w="1008"/>
          </w:tcPr>
          <w:p>
            <w:r>
              <w:rPr>
                <w:sz w:val="18"/>
                <w:szCs w:val="18"/>
              </w:rPr>
              <w:t xml:space="preserve">Preventive: quarterly monitoring</w:t>
            </w:r>
          </w:p>
        </w:tc>
        <w:tc>
          <w:tcPr>
            <w:tcW w:type="dxa" w:w="916"/>
          </w:tcPr>
          <w:p>
            <w:r>
              <w:rPr>
                <w:sz w:val="18"/>
                <w:szCs w:val="18"/>
              </w:rPr>
              <w:t xml:space="preserve">Trigger-based assessment</w:t>
            </w:r>
          </w:p>
        </w:tc>
        <w:tc>
          <w:tcPr>
            <w:tcW w:type="dxa" w:w="917"/>
          </w:tcPr>
          <w:p>
            <w:r>
              <w:rPr>
                <w:sz w:val="18"/>
                <w:szCs w:val="18"/>
              </w:rPr>
              <w:t xml:space="preserve">L3 (standing); L4 if triggered</w:t>
            </w:r>
          </w:p>
        </w:tc>
      </w:tr>
      <w:tr>
        <w:tc>
          <w:tcPr>
            <w:tcW w:type="dxa" w:w="733"/>
          </w:tcPr>
          <w:p>
            <w:r>
              <w:rPr>
                <w:sz w:val="18"/>
                <w:szCs w:val="18"/>
              </w:rPr>
              <w:t xml:space="preserve">WP-0004</w:t>
            </w:r>
          </w:p>
        </w:tc>
        <w:tc>
          <w:tcPr>
            <w:tcW w:type="dxa" w:w="1191"/>
          </w:tcPr>
          <w:p>
            <w:r>
              <w:rPr>
                <w:sz w:val="18"/>
                <w:szCs w:val="18"/>
              </w:rPr>
              <w:t xml:space="preserve">AR-0003 / EGD-0003</w:t>
            </w:r>
          </w:p>
        </w:tc>
        <w:tc>
          <w:tcPr>
            <w:tcW w:type="dxa" w:w="550"/>
          </w:tcPr>
          <w:p>
            <w:r>
              <w:rPr>
                <w:sz w:val="18"/>
                <w:szCs w:val="18"/>
              </w:rPr>
              <w:t xml:space="preserve">VAR-03</w:t>
            </w:r>
          </w:p>
        </w:tc>
        <w:tc>
          <w:tcPr>
            <w:tcW w:type="dxa" w:w="916"/>
          </w:tcPr>
          <w:p>
            <w:r>
              <w:rPr>
                <w:sz w:val="18"/>
                <w:szCs w:val="18"/>
              </w:rPr>
              <w:t xml:space="preserve">Database + Test</w:t>
            </w:r>
          </w:p>
        </w:tc>
        <w:tc>
          <w:tcPr>
            <w:tcW w:type="dxa" w:w="1375"/>
          </w:tcPr>
          <w:p>
            <w:r>
              <w:rPr>
                <w:sz w:val="18"/>
                <w:szCs w:val="18"/>
              </w:rPr>
              <w:t xml:space="preserve">Per-release denormalization check</w:t>
            </w:r>
          </w:p>
        </w:tc>
        <w:tc>
          <w:tcPr>
            <w:tcW w:type="dxa" w:w="1283"/>
          </w:tcPr>
          <w:p>
            <w:r>
              <w:rPr>
                <w:sz w:val="18"/>
                <w:szCs w:val="18"/>
              </w:rPr>
              <w:t xml:space="preserve">Automated check operation</w:t>
            </w:r>
          </w:p>
        </w:tc>
        <w:tc>
          <w:tcPr>
            <w:tcW w:type="dxa" w:w="1191"/>
          </w:tcPr>
          <w:p>
            <w:r>
              <w:rPr>
                <w:sz w:val="18"/>
                <w:szCs w:val="18"/>
              </w:rPr>
              <w:t xml:space="preserve">Per-release check output</w:t>
            </w:r>
          </w:p>
        </w:tc>
        <w:tc>
          <w:tcPr>
            <w:tcW w:type="dxa" w:w="1008"/>
          </w:tcPr>
          <w:p>
            <w:r>
              <w:rPr>
                <w:sz w:val="18"/>
                <w:szCs w:val="18"/>
              </w:rPr>
              <w:t xml:space="preserve">Detective: automated check</w:t>
            </w:r>
          </w:p>
        </w:tc>
        <w:tc>
          <w:tcPr>
            <w:tcW w:type="dxa" w:w="916"/>
          </w:tcPr>
          <w:p>
            <w:r>
              <w:rPr>
                <w:sz w:val="18"/>
                <w:szCs w:val="18"/>
              </w:rPr>
              <w:t xml:space="preserve">Document pattern; retrofit if triggered</w:t>
            </w:r>
          </w:p>
        </w:tc>
        <w:tc>
          <w:tcPr>
            <w:tcW w:type="dxa" w:w="917"/>
          </w:tcPr>
          <w:p>
            <w:r>
              <w:rPr>
                <w:sz w:val="18"/>
                <w:szCs w:val="18"/>
              </w:rPr>
              <w:t xml:space="preserve">L4 (pending)</w:t>
            </w:r>
          </w:p>
        </w:tc>
      </w:tr>
      <w:tr>
        <w:tc>
          <w:tcPr>
            <w:tcW w:type="dxa" w:w="733"/>
          </w:tcPr>
          <w:p>
            <w:r>
              <w:rPr>
                <w:sz w:val="18"/>
                <w:szCs w:val="18"/>
              </w:rPr>
              <w:t xml:space="preserve">WP-0005</w:t>
            </w:r>
          </w:p>
        </w:tc>
        <w:tc>
          <w:tcPr>
            <w:tcW w:type="dxa" w:w="1191"/>
          </w:tcPr>
          <w:p>
            <w:r>
              <w:rPr>
                <w:sz w:val="18"/>
                <w:szCs w:val="18"/>
              </w:rPr>
              <w:t xml:space="preserve">AR-0007 (extension) / EGD-0007</w:t>
            </w:r>
          </w:p>
        </w:tc>
        <w:tc>
          <w:tcPr>
            <w:tcW w:type="dxa" w:w="550"/>
          </w:tcPr>
          <w:p>
            <w:r>
              <w:rPr>
                <w:sz w:val="18"/>
                <w:szCs w:val="18"/>
              </w:rPr>
              <w:t xml:space="preserve">None</w:t>
            </w:r>
          </w:p>
        </w:tc>
        <w:tc>
          <w:tcPr>
            <w:tcW w:type="dxa" w:w="916"/>
          </w:tcPr>
          <w:p>
            <w:r>
              <w:rPr>
                <w:sz w:val="18"/>
                <w:szCs w:val="18"/>
              </w:rPr>
              <w:t xml:space="preserve">Database</w:t>
            </w:r>
          </w:p>
        </w:tc>
        <w:tc>
          <w:tcPr>
            <w:tcW w:type="dxa" w:w="1375"/>
          </w:tcPr>
          <w:p>
            <w:r>
              <w:rPr>
                <w:sz w:val="18"/>
                <w:szCs w:val="18"/>
              </w:rPr>
              <w:t xml:space="preserve">Column-level access review method</w:t>
            </w:r>
          </w:p>
        </w:tc>
        <w:tc>
          <w:tcPr>
            <w:tcW w:type="dxa" w:w="1283"/>
          </w:tcPr>
          <w:p>
            <w:r>
              <w:rPr>
                <w:sz w:val="18"/>
                <w:szCs w:val="18"/>
              </w:rPr>
              <w:t xml:space="preserve">Review of free-text/JSON columns</w:t>
            </w:r>
          </w:p>
        </w:tc>
        <w:tc>
          <w:tcPr>
            <w:tcW w:type="dxa" w:w="1191"/>
          </w:tcPr>
          <w:p>
            <w:r>
              <w:rPr>
                <w:sz w:val="18"/>
                <w:szCs w:val="18"/>
              </w:rPr>
              <w:t xml:space="preserve">Per-column decision ledger</w:t>
            </w:r>
          </w:p>
        </w:tc>
        <w:tc>
          <w:tcPr>
            <w:tcW w:type="dxa" w:w="1008"/>
          </w:tcPr>
          <w:p>
            <w:r>
              <w:rPr>
                <w:sz w:val="18"/>
                <w:szCs w:val="18"/>
              </w:rPr>
              <w:t xml:space="preserve">Corrective: policy/REVOKE if gap found</w:t>
            </w:r>
          </w:p>
        </w:tc>
        <w:tc>
          <w:tcPr>
            <w:tcW w:type="dxa" w:w="916"/>
          </w:tcPr>
          <w:p>
            <w:r>
              <w:rPr>
                <w:sz w:val="18"/>
                <w:szCs w:val="18"/>
              </w:rPr>
              <w:t xml:space="preserve">Column-level review</w:t>
            </w:r>
          </w:p>
        </w:tc>
        <w:tc>
          <w:tcPr>
            <w:tcW w:type="dxa" w:w="917"/>
          </w:tcPr>
          <w:p>
            <w:r>
              <w:rPr>
                <w:sz w:val="18"/>
                <w:szCs w:val="18"/>
              </w:rPr>
              <w:t xml:space="preserve">L4 (pending)</w:t>
            </w:r>
          </w:p>
        </w:tc>
      </w:tr>
      <w:tr>
        <w:tc>
          <w:tcPr>
            <w:tcW w:type="dxa" w:w="733"/>
          </w:tcPr>
          <w:p>
            <w:r>
              <w:rPr>
                <w:sz w:val="18"/>
                <w:szCs w:val="18"/>
              </w:rPr>
              <w:t xml:space="preserve">WP-0006</w:t>
            </w:r>
          </w:p>
        </w:tc>
        <w:tc>
          <w:tcPr>
            <w:tcW w:type="dxa" w:w="1191"/>
          </w:tcPr>
          <w:p>
            <w:r>
              <w:rPr>
                <w:sz w:val="18"/>
                <w:szCs w:val="18"/>
              </w:rPr>
              <w:t xml:space="preserve">AP-009 / all EGDs</w:t>
            </w:r>
          </w:p>
        </w:tc>
        <w:tc>
          <w:tcPr>
            <w:tcW w:type="dxa" w:w="550"/>
          </w:tcPr>
          <w:p>
            <w:r>
              <w:rPr>
                <w:sz w:val="18"/>
                <w:szCs w:val="18"/>
              </w:rPr>
              <w:t xml:space="preserve">None</w:t>
            </w:r>
          </w:p>
        </w:tc>
        <w:tc>
          <w:tcPr>
            <w:tcW w:type="dxa" w:w="916"/>
          </w:tcPr>
          <w:p>
            <w:r>
              <w:rPr>
                <w:sz w:val="18"/>
                <w:szCs w:val="18"/>
              </w:rPr>
              <w:t xml:space="preserve">Not Applicable</w:t>
            </w:r>
          </w:p>
        </w:tc>
        <w:tc>
          <w:tcPr>
            <w:tcW w:type="dxa" w:w="1375"/>
          </w:tcPr>
          <w:p>
            <w:r>
              <w:rPr>
                <w:sz w:val="18"/>
                <w:szCs w:val="18"/>
              </w:rPr>
              <w:t xml:space="preserve">Owner-assignment record</w:t>
            </w:r>
          </w:p>
        </w:tc>
        <w:tc>
          <w:tcPr>
            <w:tcW w:type="dxa" w:w="1283"/>
          </w:tcPr>
          <w:p>
            <w:r>
              <w:rPr>
                <w:sz w:val="18"/>
                <w:szCs w:val="18"/>
              </w:rPr>
              <w:t xml:space="preserve">Assign named owners</w:t>
            </w:r>
          </w:p>
        </w:tc>
        <w:tc>
          <w:tcPr>
            <w:tcW w:type="dxa" w:w="1191"/>
          </w:tcPr>
          <w:p>
            <w:r>
              <w:rPr>
                <w:sz w:val="18"/>
                <w:szCs w:val="18"/>
              </w:rPr>
              <w:t xml:space="preserve">KPI-08 measurement = 100%</w:t>
            </w:r>
          </w:p>
        </w:tc>
        <w:tc>
          <w:tcPr>
            <w:tcW w:type="dxa" w:w="1008"/>
          </w:tcPr>
          <w:p>
            <w:r>
              <w:rPr>
                <w:sz w:val="18"/>
                <w:szCs w:val="18"/>
              </w:rPr>
              <w:t xml:space="preserve">Preventive: named ownership</w:t>
            </w:r>
          </w:p>
        </w:tc>
        <w:tc>
          <w:tcPr>
            <w:tcW w:type="dxa" w:w="916"/>
          </w:tcPr>
          <w:p>
            <w:r>
              <w:rPr>
                <w:sz w:val="18"/>
                <w:szCs w:val="18"/>
              </w:rPr>
              <w:t xml:space="preserve">Assign owners immediately</w:t>
            </w:r>
          </w:p>
        </w:tc>
        <w:tc>
          <w:tcPr>
            <w:tcW w:type="dxa" w:w="917"/>
          </w:tcPr>
          <w:p>
            <w:r>
              <w:rPr>
                <w:sz w:val="18"/>
                <w:szCs w:val="18"/>
              </w:rPr>
              <w:t xml:space="preserve">Not certified (organizational)</w:t>
            </w:r>
          </w:p>
        </w:tc>
      </w:tr>
    </w:tbl>
    <w:p>
      <w:pPr>
        <w:pStyle w:val="Heading2"/>
        <w:spacing w:after="160" w:before="360"/>
      </w:pPr>
      <w:r>
        <w:t xml:space="preserve">9. Enterprise Risk Readiness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544"/>
        <w:gridCol w:w="2318"/>
      </w:tblGrid>
      <w:tr>
        <w:trPr>
          <w:tblHeader/>
        </w:trPr>
        <w:tc>
          <w:tcPr>
            <w:tcW w:type="dxa" w:w="2218"/>
            <w:shd w:fill="D9D9D9" w:color="auto" w:val="clear"/>
          </w:tcPr>
          <w:p>
            <w:r>
              <w:rPr>
                <w:b/>
                <w:bCs/>
                <w:sz w:val="18"/>
                <w:szCs w:val="18"/>
              </w:rPr>
              <w:t xml:space="preserve">Readiness Dimension</w:t>
            </w:r>
          </w:p>
        </w:tc>
        <w:tc>
          <w:tcPr>
            <w:tcW w:type="dxa" w:w="5544"/>
            <w:shd w:fill="D9D9D9" w:color="auto" w:val="clear"/>
          </w:tcPr>
          <w:p>
            <w:r>
              <w:rPr>
                <w:b/>
                <w:bCs/>
                <w:sz w:val="18"/>
                <w:szCs w:val="18"/>
              </w:rPr>
              <w:t xml:space="preserve">Assessment</w:t>
            </w:r>
          </w:p>
        </w:tc>
        <w:tc>
          <w:tcPr>
            <w:tcW w:type="dxa" w:w="2318"/>
            <w:shd w:fill="D9D9D9" w:color="auto" w:val="clear"/>
          </w:tcPr>
          <w:p>
            <w:r>
              <w:rPr>
                <w:b/>
                <w:bCs/>
                <w:sz w:val="18"/>
                <w:szCs w:val="18"/>
              </w:rPr>
              <w:t xml:space="preserve">Basis</w:t>
            </w:r>
          </w:p>
        </w:tc>
      </w:tr>
      <w:tr>
        <w:tc>
          <w:tcPr>
            <w:tcW w:type="dxa" w:w="2218"/>
          </w:tcPr>
          <w:p>
            <w:r>
              <w:rPr>
                <w:sz w:val="18"/>
                <w:szCs w:val="18"/>
              </w:rPr>
              <w:t xml:space="preserve">Architecture risk readiness</w:t>
            </w:r>
          </w:p>
        </w:tc>
        <w:tc>
          <w:tcPr>
            <w:tcW w:type="dxa" w:w="5544"/>
          </w:tcPr>
          <w:p>
            <w:r>
              <w:rPr>
                <w:sz w:val="18"/>
                <w:szCs w:val="18"/>
              </w:rPr>
              <w:t xml:space="preserve">Complete — Phase A.3 established full traceability (L1–L3 met) for every AR this matrix plans against.</w:t>
            </w:r>
          </w:p>
        </w:tc>
        <w:tc>
          <w:tcPr>
            <w:tcW w:type="dxa" w:w="2318"/>
          </w:tcPr>
          <w:p>
            <w:r>
              <w:rPr>
                <w:sz w:val="18"/>
                <w:szCs w:val="18"/>
              </w:rPr>
              <w:t xml:space="preserve">Phase B §14.</w:t>
            </w:r>
          </w:p>
        </w:tc>
      </w:tr>
      <w:tr>
        <w:tc>
          <w:tcPr>
            <w:tcW w:type="dxa" w:w="2218"/>
          </w:tcPr>
          <w:p>
            <w:r>
              <w:rPr>
                <w:sz w:val="18"/>
                <w:szCs w:val="18"/>
              </w:rPr>
              <w:t xml:space="preserve">Repository risk readiness</w:t>
            </w:r>
          </w:p>
        </w:tc>
        <w:tc>
          <w:tcPr>
            <w:tcW w:type="dxa" w:w="5544"/>
          </w:tcPr>
          <w:p>
            <w:r>
              <w:rPr>
                <w:sz w:val="18"/>
                <w:szCs w:val="18"/>
              </w:rPr>
              <w:t xml:space="preserve">All 6 Work Packages have a defined repository-impact and repository-risk profile; 2 of 6 (WP-0002, WP-0006) are startable immediately with zero blocking dependency.</w:t>
            </w:r>
          </w:p>
        </w:tc>
        <w:tc>
          <w:tcPr>
            <w:tcW w:type="dxa" w:w="2318"/>
          </w:tcPr>
          <w:p>
            <w:r>
              <w:rPr>
                <w:sz w:val="18"/>
                <w:szCs w:val="18"/>
              </w:rPr>
              <w:t xml:space="preserve">Section 3 §7.</w:t>
            </w:r>
          </w:p>
        </w:tc>
      </w:tr>
      <w:tr>
        <w:tc>
          <w:tcPr>
            <w:tcW w:type="dxa" w:w="2218"/>
          </w:tcPr>
          <w:p>
            <w:r>
              <w:rPr>
                <w:sz w:val="18"/>
                <w:szCs w:val="18"/>
              </w:rPr>
              <w:t xml:space="preserve">Engineering risk readiness</w:t>
            </w:r>
          </w:p>
        </w:tc>
        <w:tc>
          <w:tcPr>
            <w:tcW w:type="dxa" w:w="5544"/>
          </w:tcPr>
          <w:p>
            <w:r>
              <w:rPr>
                <w:sz w:val="18"/>
                <w:szCs w:val="18"/>
              </w:rPr>
              <w:t xml:space="preserve">High for WP-0002 and WP-0006 (Wave 1, executable today); Medium for WP-0001, WP-0004, WP-0005 (Wave 2, ready to follow); Monitoring-ready for WP-0003 (Wave 3, trigger-gated).</w:t>
            </w:r>
          </w:p>
        </w:tc>
        <w:tc>
          <w:tcPr>
            <w:tcW w:type="dxa" w:w="2318"/>
          </w:tcPr>
          <w:p>
            <w:r>
              <w:rPr>
                <w:sz w:val="18"/>
                <w:szCs w:val="18"/>
              </w:rPr>
              <w:t xml:space="preserve">Section 6 §9.</w:t>
            </w:r>
          </w:p>
        </w:tc>
      </w:tr>
      <w:tr>
        <w:tc>
          <w:tcPr>
            <w:tcW w:type="dxa" w:w="2218"/>
          </w:tcPr>
          <w:p>
            <w:r>
              <w:rPr>
                <w:sz w:val="18"/>
                <w:szCs w:val="18"/>
              </w:rPr>
              <w:t xml:space="preserve">Governance risk readiness</w:t>
            </w:r>
          </w:p>
        </w:tc>
        <w:tc>
          <w:tcPr>
            <w:tcW w:type="dxa" w:w="5544"/>
          </w:tcPr>
          <w:p>
            <w:r>
              <w:rPr>
                <w:sz w:val="18"/>
                <w:szCs w:val="18"/>
              </w:rPr>
              <w:t xml:space="preserve">Complete for the three active portfolios (1, 2, 8) — every Work Package traces to an already-dispositioned EGD. Not applicable for Portfolios 3–7, which carry no approved scope.</w:t>
            </w:r>
          </w:p>
        </w:tc>
        <w:tc>
          <w:tcPr>
            <w:tcW w:type="dxa" w:w="2318"/>
          </w:tcPr>
          <w:p>
            <w:r>
              <w:rPr>
                <w:sz w:val="18"/>
                <w:szCs w:val="18"/>
              </w:rPr>
              <w:t xml:space="preserve">Section 3 §7; Phase B §14.</w:t>
            </w:r>
          </w:p>
        </w:tc>
      </w:tr>
      <w:tr>
        <w:tc>
          <w:tcPr>
            <w:tcW w:type="dxa" w:w="2218"/>
          </w:tcPr>
          <w:p>
            <w:r>
              <w:rPr>
                <w:sz w:val="18"/>
                <w:szCs w:val="18"/>
              </w:rPr>
              <w:t xml:space="preserve">Verification risk readiness</w:t>
            </w:r>
          </w:p>
        </w:tc>
        <w:tc>
          <w:tcPr>
            <w:tcW w:type="dxa" w:w="5544"/>
          </w:tcPr>
          <w:p>
            <w:r>
              <w:rPr>
                <w:sz w:val="18"/>
                <w:szCs w:val="18"/>
              </w:rPr>
              <w:t xml:space="preserve">WP-0002's written, query-evidenced method is the ready, adopted template for this and all future Realize-class verification.</w:t>
            </w:r>
          </w:p>
        </w:tc>
        <w:tc>
          <w:tcPr>
            <w:tcW w:type="dxa" w:w="2318"/>
          </w:tcPr>
          <w:p>
            <w:r>
              <w:rPr>
                <w:sz w:val="18"/>
                <w:szCs w:val="18"/>
              </w:rPr>
              <w:t xml:space="preserve">Section 3 §7; Section 1 §7.</w:t>
            </w:r>
          </w:p>
        </w:tc>
      </w:tr>
      <w:tr>
        <w:tc>
          <w:tcPr>
            <w:tcW w:type="dxa" w:w="2218"/>
          </w:tcPr>
          <w:p>
            <w:r>
              <w:rPr>
                <w:sz w:val="18"/>
                <w:szCs w:val="18"/>
              </w:rPr>
              <w:t xml:space="preserve">Delivery risk readiness</w:t>
            </w:r>
          </w:p>
        </w:tc>
        <w:tc>
          <w:tcPr>
            <w:tcW w:type="dxa" w:w="5544"/>
          </w:tcPr>
          <w:p>
            <w:r>
              <w:rPr>
                <w:sz w:val="18"/>
                <w:szCs w:val="18"/>
              </w:rPr>
              <w:t xml:space="preserve">All identified risks (§5 above; Phase B §10) have a defined mitigation; none are unmitigated-and-unmonitored.</w:t>
            </w:r>
          </w:p>
        </w:tc>
        <w:tc>
          <w:tcPr>
            <w:tcW w:type="dxa" w:w="2318"/>
          </w:tcPr>
          <w:p>
            <w:r>
              <w:rPr>
                <w:sz w:val="18"/>
                <w:szCs w:val="18"/>
              </w:rPr>
              <w:t xml:space="preserve">Phase B §14.</w:t>
            </w:r>
          </w:p>
        </w:tc>
      </w:tr>
      <w:tr>
        <w:tc>
          <w:tcPr>
            <w:tcW w:type="dxa" w:w="2218"/>
          </w:tcPr>
          <w:p>
            <w:r>
              <w:rPr>
                <w:sz w:val="18"/>
                <w:szCs w:val="18"/>
              </w:rPr>
              <w:t xml:space="preserve">Overall realization risk posture</w:t>
            </w:r>
          </w:p>
        </w:tc>
        <w:tc>
          <w:tcPr>
            <w:tcW w:type="dxa" w:w="5544"/>
          </w:tcPr>
          <w:p>
            <w:r>
              <w:rPr>
                <w:sz w:val="18"/>
                <w:szCs w:val="18"/>
              </w:rPr>
              <w:t xml:space="preserve">READY WITH CONDITIONS — Wave 1 (WP-0002, WP-0006) may begin immediately; both are fully specified and address this baseline's two highest-rated risks. The single condition is Resource Readiness: 0% ownership assigned (KPI-08).</w:t>
            </w:r>
          </w:p>
        </w:tc>
        <w:tc>
          <w:tcPr>
            <w:tcW w:type="dxa" w:w="2318"/>
          </w:tcPr>
          <w:p>
            <w:r>
              <w:rPr>
                <w:sz w:val="18"/>
                <w:szCs w:val="18"/>
              </w:rPr>
              <w:t xml:space="preserve">Phase B §14.</w:t>
            </w:r>
          </w:p>
        </w:tc>
      </w:tr>
    </w:tbl>
    <w:p>
      <w:pPr>
        <w:pStyle w:val="Heading2"/>
        <w:spacing w:after="160" w:before="360"/>
      </w:pPr>
      <w:r>
        <w:t xml:space="preserve">10. Executive Risk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D9D9" w:color="auto" w:val="clear"/>
          </w:tcPr>
          <w:p>
            <w:r>
              <w:rPr>
                <w:b/>
                <w:bCs/>
                <w:sz w:val="18"/>
                <w:szCs w:val="18"/>
              </w:rPr>
              <w:t xml:space="preserve">Metric</w:t>
            </w:r>
          </w:p>
        </w:tc>
        <w:tc>
          <w:tcPr>
            <w:tcW w:type="dxa" w:w="7661"/>
            <w:shd w:fill="D9D9D9" w:color="auto" w:val="clear"/>
          </w:tcPr>
          <w:p>
            <w:r>
              <w:rPr>
                <w:b/>
                <w:bCs/>
                <w:sz w:val="18"/>
                <w:szCs w:val="18"/>
              </w:rPr>
              <w:t xml:space="preserve">Value</w:t>
            </w:r>
          </w:p>
        </w:tc>
      </w:tr>
      <w:tr>
        <w:tc>
          <w:tcPr>
            <w:tcW w:type="dxa" w:w="2419"/>
          </w:tcPr>
          <w:p>
            <w:r>
              <w:rPr>
                <w:sz w:val="18"/>
                <w:szCs w:val="18"/>
              </w:rPr>
              <w:t xml:space="preserve">Highest-priority risks</w:t>
            </w:r>
          </w:p>
        </w:tc>
        <w:tc>
          <w:tcPr>
            <w:tcW w:type="dxa" w:w="7661"/>
          </w:tcPr>
          <w:p>
            <w:r>
              <w:rPr>
                <w:sz w:val="18"/>
                <w:szCs w:val="18"/>
              </w:rPr>
              <w:t xml:space="preserve">1 blocking governance risk (unassigned ownership, WP-0006); 1 confirmed High risk (documentation drift, WP-0001); 1 unresolved-until-verified risk (RLS coverage, WP-0002) (Phase B §12).</w:t>
            </w:r>
          </w:p>
        </w:tc>
      </w:tr>
      <w:tr>
        <w:tc>
          <w:tcPr>
            <w:tcW w:type="dxa" w:w="2419"/>
          </w:tcPr>
          <w:p>
            <w:r>
              <w:rPr>
                <w:sz w:val="18"/>
                <w:szCs w:val="18"/>
              </w:rPr>
              <w:t xml:space="preserve">Work Package risk profile</w:t>
            </w:r>
          </w:p>
        </w:tc>
        <w:tc>
          <w:tcPr>
            <w:tcW w:type="dxa" w:w="7661"/>
          </w:tcPr>
          <w:p>
            <w:r>
              <w:rPr>
                <w:sz w:val="18"/>
                <w:szCs w:val="18"/>
              </w:rPr>
              <w:t xml:space="preserve">High if confirmed: WP-0002. Medium: WP-0003, WP-0004, WP-0005. Low/Organizational: WP-0001, WP-0006 (Section 2, Risk Distribution).</w:t>
            </w:r>
          </w:p>
        </w:tc>
      </w:tr>
      <w:tr>
        <w:tc>
          <w:tcPr>
            <w:tcW w:type="dxa" w:w="2419"/>
          </w:tcPr>
          <w:p>
            <w:r>
              <w:rPr>
                <w:sz w:val="18"/>
                <w:szCs w:val="18"/>
              </w:rPr>
              <w:t xml:space="preserve">Repository risk profile</w:t>
            </w:r>
          </w:p>
        </w:tc>
        <w:tc>
          <w:tcPr>
            <w:tcW w:type="dxa" w:w="7661"/>
          </w:tcPr>
          <w:p>
            <w:r>
              <w:rPr>
                <w:sz w:val="18"/>
                <w:szCs w:val="18"/>
              </w:rPr>
              <w:t xml:space="preserve">Documentation Repository: Documentation Risk High (confirmed). Database Repository: Security Risk High if WP-0002 gap confirmed; Migration Risk Medium for WP-0003/WP-0004. Test Repository: Security Risk tied to Database Repository (Section 3 §6).</w:t>
            </w:r>
          </w:p>
        </w:tc>
      </w:tr>
      <w:tr>
        <w:tc>
          <w:tcPr>
            <w:tcW w:type="dxa" w:w="2419"/>
          </w:tcPr>
          <w:p>
            <w:r>
              <w:rPr>
                <w:sz w:val="18"/>
                <w:szCs w:val="18"/>
              </w:rPr>
              <w:t xml:space="preserve">Governance risk profile</w:t>
            </w:r>
          </w:p>
        </w:tc>
        <w:tc>
          <w:tcPr>
            <w:tcW w:type="dxa" w:w="7661"/>
          </w:tcPr>
          <w:p>
            <w:r>
              <w:rPr>
                <w:sz w:val="18"/>
                <w:szCs w:val="18"/>
              </w:rPr>
              <w:t xml:space="preserve">5 of 5 named roles unassigned (KPI-08 = 0%); 0 of 6 Work Packages executed (Phase B §12).</w:t>
            </w:r>
          </w:p>
        </w:tc>
      </w:tr>
      <w:tr>
        <w:tc>
          <w:tcPr>
            <w:tcW w:type="dxa" w:w="2419"/>
          </w:tcPr>
          <w:p>
            <w:r>
              <w:rPr>
                <w:sz w:val="18"/>
                <w:szCs w:val="18"/>
              </w:rPr>
              <w:t xml:space="preserve">Outstanding mitigations</w:t>
            </w:r>
          </w:p>
        </w:tc>
        <w:tc>
          <w:tcPr>
            <w:tcW w:type="dxa" w:w="7661"/>
          </w:tcPr>
          <w:p>
            <w:r>
              <w:rPr>
                <w:sz w:val="18"/>
                <w:szCs w:val="18"/>
              </w:rPr>
              <w:t xml:space="preserve">All 6 Work Packages' mitigations remain outstanding — 0 of 6 executed; 2 of 6 (WP-0002, WP-0006) immediately startable with zero blocking dependency (Phase B §12, §7).</w:t>
            </w:r>
          </w:p>
        </w:tc>
      </w:tr>
      <w:tr>
        <w:tc>
          <w:tcPr>
            <w:tcW w:type="dxa" w:w="2419"/>
          </w:tcPr>
          <w:p>
            <w:r>
              <w:rPr>
                <w:sz w:val="18"/>
                <w:szCs w:val="18"/>
              </w:rPr>
              <w:t xml:space="preserve">Variance status</w:t>
            </w:r>
          </w:p>
        </w:tc>
        <w:tc>
          <w:tcPr>
            <w:tcW w:type="dxa" w:w="7661"/>
          </w:tcPr>
          <w:p>
            <w:r>
              <w:rPr>
                <w:sz w:val="18"/>
                <w:szCs w:val="18"/>
              </w:rPr>
              <w:t xml:space="preserve">4 approved variances (VAR-01–04), stable; KPI-04 baseline = 4, target stable or declining (Phase A.3 §10).</w:t>
            </w:r>
          </w:p>
        </w:tc>
      </w:tr>
      <w:tr>
        <w:tc>
          <w:tcPr>
            <w:tcW w:type="dxa" w:w="2419"/>
          </w:tcPr>
          <w:p>
            <w:r>
              <w:rPr>
                <w:sz w:val="18"/>
                <w:szCs w:val="18"/>
              </w:rPr>
              <w:t xml:space="preserve">KPI status</w:t>
            </w:r>
          </w:p>
        </w:tc>
        <w:tc>
          <w:tcPr>
            <w:tcW w:type="dxa" w:w="7661"/>
          </w:tcPr>
          <w:p>
            <w:r>
              <w:rPr>
                <w:sz w:val="18"/>
                <w:szCs w:val="18"/>
              </w:rPr>
              <w:t xml:space="preserve">KPI-01 = 35/100 (target ≥90); KPI-03 = 48/100 (target ≥70); KPI-06 confirmed on 2 of N tables (target 100%); KPI-08 = 0% (target 100%); KPI-09 = 1 Critical / 1 Strategic / 1 Tactical / 1 Acceptable (target 0 Critical) (Phase A.3 §10).</w:t>
            </w:r>
          </w:p>
        </w:tc>
      </w:tr>
      <w:tr>
        <w:tc>
          <w:tcPr>
            <w:tcW w:type="dxa" w:w="2419"/>
          </w:tcPr>
          <w:p>
            <w:r>
              <w:rPr>
                <w:sz w:val="18"/>
                <w:szCs w:val="18"/>
              </w:rPr>
              <w:t xml:space="preserve">Certification readiness</w:t>
            </w:r>
          </w:p>
        </w:tc>
        <w:tc>
          <w:tcPr>
            <w:tcW w:type="dxa" w:w="7661"/>
          </w:tcPr>
          <w:p>
            <w:r>
              <w:rPr>
                <w:sz w:val="18"/>
                <w:szCs w:val="18"/>
              </w:rPr>
              <w:t xml:space="preserve">L1–L3 met; L4 pending on WP-0001 and WP-0002; L5 pending a future closed-loop re-assessment (Phase A.3 §11).</w:t>
            </w:r>
          </w:p>
        </w:tc>
      </w:tr>
      <w:tr>
        <w:tc>
          <w:tcPr>
            <w:tcW w:type="dxa" w:w="2419"/>
          </w:tcPr>
          <w:p>
            <w:r>
              <w:rPr>
                <w:sz w:val="18"/>
                <w:szCs w:val="18"/>
              </w:rPr>
              <w:t xml:space="preserve">Overall enterprise realization risk</w:t>
            </w:r>
          </w:p>
        </w:tc>
        <w:tc>
          <w:tcPr>
            <w:tcW w:type="dxa" w:w="7661"/>
          </w:tcPr>
          <w:p>
            <w:r>
              <w:rPr>
                <w:sz w:val="18"/>
                <w:szCs w:val="18"/>
              </w:rPr>
              <w:t xml:space="preserve">READY WITH CONDITIONS — every identified risk carries a defined mitigation; the single readiness gap is Resource Readiness (0% ownership assigned) (Phase B §14).</w:t>
            </w:r>
          </w:p>
        </w:tc>
      </w:tr>
    </w:tbl>
    <w:p>
      <w:pPr>
        <w:pStyle w:val="Heading2"/>
        <w:spacing w:after="160" w:before="360"/>
      </w:pPr>
      <w:r>
        <w:t xml:space="preserve">11. Executive Summary</w:t>
      </w:r>
    </w:p>
    <w:p>
      <w:pPr>
        <w:spacing w:after="100" w:before="200"/>
      </w:pPr>
      <w:r>
        <w:rPr>
          <w:b/>
          <w:bCs/>
          <w:i/>
          <w:iCs/>
        </w:rPr>
        <w:t xml:space="preserve">Enterprise Risk Maturity</w:t>
      </w:r>
    </w:p>
    <w:p>
      <w:pPr>
        <w:spacing w:after="160"/>
      </w:pPr>
      <w:r>
        <w:t xml:space="preserve">Risk management maturity in this baseline is Managed, consistent with the Governance maturity rating in Phase A.3 §12 (45/100) — a real risk-identification and disposition process exists (Phase B §10; Section 6 §8), but it is reactive, triggered by this engagement rather than a standing practice.</w:t>
      </w:r>
    </w:p>
    <w:p>
      <w:pPr>
        <w:spacing w:after="100" w:before="200"/>
      </w:pPr>
      <w:r>
        <w:rPr>
          <w:b/>
          <w:bCs/>
          <w:i/>
          <w:iCs/>
        </w:rPr>
        <w:t xml:space="preserve">Control Effectiveness</w:t>
      </w:r>
    </w:p>
    <w:p>
      <w:pPr>
        <w:spacing w:after="160"/>
      </w:pPr>
      <w:r>
        <w:t xml:space="preserve">Every risk in this matrix carries a defined, pre-approved mitigation (Phase B §14, Risk Readiness); no risk is unmitigated-and-unmonitored. Control effectiveness cannot yet be measured against real incidents, since 0 of 6 Work Packages have executed (Phase B §12); this matrix establishes the control framework, not a track record.</w:t>
      </w:r>
    </w:p>
    <w:p>
      <w:pPr>
        <w:spacing w:after="100" w:before="200"/>
      </w:pPr>
      <w:r>
        <w:rPr>
          <w:b/>
          <w:bCs/>
          <w:i/>
          <w:iCs/>
        </w:rPr>
        <w:t xml:space="preserve">Engineering Risk Posture</w:t>
      </w:r>
    </w:p>
    <w:p>
      <w:pPr>
        <w:spacing w:after="160"/>
      </w:pPr>
      <w:r>
        <w:t xml:space="preserve">Engineering risk is concentrated in one Work Package: WP-0002's Critical-until-verified RLS coverage gap, the second of the baseline's two High-rated risks (Section 2, WP-0002.C). All other Work Packages carry Low, Medium, or organizational (non-technical) risk classifications (Section 2, Risk Distribution).</w:t>
      </w:r>
    </w:p>
    <w:p>
      <w:pPr>
        <w:spacing w:after="100" w:before="200"/>
      </w:pPr>
      <w:r>
        <w:rPr>
          <w:b/>
          <w:bCs/>
          <w:i/>
          <w:iCs/>
        </w:rPr>
        <w:t xml:space="preserve">Governance Risk Posture</w:t>
      </w:r>
    </w:p>
    <w:p>
      <w:pPr>
        <w:spacing w:after="160"/>
      </w:pPr>
      <w:r>
        <w:t xml:space="preserve">Governance risk is dominated by a single, confirmed, already-occurring blocker: zero of five named roles carry a currently-assigned individual (KPI-08 = 0%), rendering every other Work Package's accountability aspirational rather than executed (Phase A.2 §12). WP-0006 resolves this risk directly and is sequenced into Wave 1 alongside WP-0002 for exactly this reason (Phase B §5).</w:t>
      </w:r>
    </w:p>
    <w:p>
      <w:pPr>
        <w:spacing w:after="100" w:before="200"/>
      </w:pPr>
      <w:r>
        <w:rPr>
          <w:b/>
          <w:bCs/>
          <w:i/>
          <w:iCs/>
        </w:rPr>
        <w:t xml:space="preserve">Repository Risk Posture</w:t>
      </w:r>
    </w:p>
    <w:p>
      <w:pPr>
        <w:spacing w:after="160"/>
      </w:pPr>
      <w:r>
        <w:t xml:space="preserve">Documentation Repository risk is High and confirmed (the live schema and its documentation have diverged); Database Repository risk is bifurcated — Low for verification-only scope, High if WP-0002's coverage gap is confirmed, and Medium/latent for the two trigger-gated items (WP-0003, WP-0004) (Section 3 §6). No risk is asserted for Backend, Frontend, Integration, AI, or Infrastructure repositories, consistent with Section 3 §6's own scope declaration.</w:t>
      </w:r>
    </w:p>
    <w:p>
      <w:pPr>
        <w:spacing w:after="100" w:before="200"/>
      </w:pPr>
      <w:r>
        <w:rPr>
          <w:b/>
          <w:bCs/>
          <w:i/>
          <w:iCs/>
        </w:rPr>
        <w:t xml:space="preserve">Certification Protection</w:t>
      </w:r>
    </w:p>
    <w:p>
      <w:pPr>
        <w:spacing w:after="160"/>
      </w:pPr>
      <w:r>
        <w:t xml:space="preserve">Every risk in this matrix maps directly to a Certification Level L4 dependency (Phase A.3 §11): AR-0002 and AR-0007 cannot advance without WP-0001 and WP-0002 respectively; AR-0003, AR-0004, and AR-0007 (extension) advance conditionally through WP-0004, WP-0003, and WP-0005. This matrix exists to protect that certification pathway from unmanaged risk, not to duplicate the certification framework itself.</w:t>
      </w:r>
    </w:p>
    <w:p>
      <w:pPr>
        <w:spacing w:after="100" w:before="200"/>
      </w:pPr>
      <w:r>
        <w:rPr>
          <w:b/>
          <w:bCs/>
          <w:i/>
          <w:iCs/>
        </w:rPr>
        <w:t xml:space="preserve">Overall Implementation Confidence</w:t>
      </w:r>
    </w:p>
    <w:p>
      <w:pPr>
        <w:spacing w:after="160"/>
      </w:pPr>
      <w:r>
        <w:t xml:space="preserve">READY WITH CONDITIONS. Every identified risk in the approved realization scope (WP-0001–WP-0006) carries a named risk category, a defined mitigation, and — pending WP-0006 — a named accountable owner role. The Enterprise Risk-Control Matrix provides the enterprise risk governance framework supporting successful realization while preserving architecture integrity, governance integrity, engineering quality, repository stability, verification discipline, and evidence-based implementation, exactly as established across Phase A.1–A.3, Phase B, and Phase C Sections 1–7. The single condition attached to this confidence rating is Resource Readiness: until WP-0006 assigns named owners to the five roles in Phase B §9, every risk mitigation in this matrix remains executable in principle but not yet accountable in practice (Phase B §14).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2026-07-09T07:36:14.326Z</dcterms:created>
  <dcterms:modified xsi:type="dcterms:W3CDTF">2026-07-09T07:36:14.326Z</dcterms:modified>
</cp:coreProperties>
</file>

<file path=docProps/custom.xml><?xml version="1.0" encoding="utf-8"?>
<Properties xmlns="http://schemas.openxmlformats.org/officeDocument/2006/custom-properties" xmlns:vt="http://schemas.openxmlformats.org/officeDocument/2006/docPropsVTypes"/>
</file>