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F3864"/>
          <w:sz w:val="32"/>
          <w:szCs w:val="32"/>
        </w:rPr>
        <w:t xml:space="preserve">ERP-01 — Phase C</w:t>
      </w:r>
    </w:p>
    <w:p>
      <w:pPr>
        <w:spacing w:before="200"/>
        <w:jc w:val="center"/>
      </w:pPr>
      <w:r>
        <w:rPr>
          <w:b/>
          <w:bCs/>
          <w:color w:val="1F3864"/>
          <w:sz w:val="40"/>
          <w:szCs w:val="40"/>
        </w:rPr>
        <w:t xml:space="preserve">Section 9 — Enterprise Engineering Acceptance Criteria</w:t>
      </w:r>
    </w:p>
    <w:p>
      <w:pPr>
        <w:spacing w:before="300"/>
        <w:jc w:val="center"/>
      </w:pPr>
      <w:r>
        <w:rPr>
          <w:sz w:val="26"/>
          <w:szCs w:val="26"/>
        </w:rPr>
        <w:t xml:space="preserve">HireRise Career Intelligence Platform</w:t>
      </w:r>
    </w:p>
    <w:p>
      <w:pPr>
        <w:spacing w:before="100"/>
        <w:jc w:val="center"/>
      </w:pPr>
      <w:r>
        <w:rPr>
          <w:i/>
          <w:iCs/>
          <w:sz w:val="22"/>
          <w:szCs w:val="22"/>
        </w:rPr>
        <w:t xml:space="preserve">Enterprise Work Package Architecture &amp; Execution Planning</w:t>
      </w:r>
    </w:p>
    <w:p>
      <w:pPr>
        <w:spacing w:before="600"/>
        <w:jc w:val="center"/>
      </w:pPr>
      <w:r>
        <w:rPr>
          <w:sz w:val="20"/>
          <w:szCs w:val="20"/>
        </w:rPr>
        <w:t xml:space="preserve">Version 1.0  |  Status: DRAFT FOR REVIEW</w:t>
      </w:r>
    </w:p>
    <w:p>
      <w:pPr>
        <w:spacing w:before="100"/>
        <w:jc w:val="center"/>
      </w:pPr>
      <w:r>
        <w:rPr>
          <w:b/>
          <w:bCs/>
          <w:sz w:val="20"/>
          <w:szCs w:val="20"/>
        </w:rPr>
        <w:t xml:space="preserve">Authoritative Enterprise Engineering Acceptance Criteria Repository</w:t>
      </w:r>
    </w:p>
    <w:p>
      <w:r>
        <w:br w:type="page"/>
      </w:r>
    </w:p>
    <w:p>
      <w:pPr>
        <w:pStyle w:val="Heading1"/>
        <w:spacing w:after="200" w:before="400"/>
      </w:pPr>
      <w:r>
        <w:t xml:space="preserve">Approved Enterprise Baseline</w:t>
      </w:r>
    </w:p>
    <w:p>
      <w:pPr>
        <w:spacing w:after="150"/>
      </w:pPr>
      <w:r>
        <w:rPr>
          <w:b w:val="false"/>
          <w:bCs w:val="false"/>
          <w:i w:val="false"/>
          <w:iCs w:val="false"/>
        </w:rPr>
        <w:t xml:space="preserve">This document is Section 9 of ERP-01 Phase C. It performs no new architecture assessment, engineering redesign, implementation planning, governance redesign, or repository discovery. It defines the formal acceptance gate — the measurable, evidence-bound conditions under which each approved Work Package transitions from implementation to completion — drawing exclusively on the following approved repositories:</w:t>
      </w:r>
    </w:p>
    <w:p>
      <w:pPr>
        <w:pStyle w:val="ListParagraph"/>
        <w:numPr>
          <w:ilvl w:val="0"/>
          <w:numId w:val="1"/>
        </w:numPr>
        <w:spacing w:after="80"/>
      </w:pPr>
      <w:r>
        <w:t xml:space="preserve">ERP-01 Phase A.1 — Enterprise Physical Data Model Realization Assessment</w:t>
      </w:r>
    </w:p>
    <w:p>
      <w:pPr>
        <w:pStyle w:val="ListParagraph"/>
        <w:numPr>
          <w:ilvl w:val="0"/>
          <w:numId w:val="1"/>
        </w:numPr>
        <w:spacing w:after="80"/>
      </w:pPr>
      <w:r>
        <w:t xml:space="preserve">ERP-01 Phase A.2 — Enterprise Architecture Governance &amp; Disposition Assessment</w:t>
      </w:r>
    </w:p>
    <w:p>
      <w:pPr>
        <w:pStyle w:val="ListParagraph"/>
        <w:numPr>
          <w:ilvl w:val="0"/>
          <w:numId w:val="1"/>
        </w:numPr>
        <w:spacing w:after="80"/>
      </w:pPr>
      <w:r>
        <w:t xml:space="preserve">ERP-01 Phase A.3 — Enterprise Architecture Baseline &amp; Resolution Repository</w:t>
      </w:r>
    </w:p>
    <w:p>
      <w:pPr>
        <w:pStyle w:val="ListParagraph"/>
        <w:numPr>
          <w:ilvl w:val="0"/>
          <w:numId w:val="1"/>
        </w:numPr>
        <w:spacing w:after="80"/>
      </w:pPr>
      <w:r>
        <w:t xml:space="preserve">ERP-01 Phase B — Enterprise Architecture Realization Roadmap &amp; Portfolio Plan</w:t>
      </w:r>
    </w:p>
    <w:p>
      <w:pPr>
        <w:pStyle w:val="ListParagraph"/>
        <w:numPr>
          <w:ilvl w:val="0"/>
          <w:numId w:val="1"/>
        </w:numPr>
        <w:spacing w:after="80"/>
      </w:pPr>
      <w:r>
        <w:t xml:space="preserve">ERP-01 Phase C — Section 1 — Enterprise Work Package Execution Strategy</w:t>
      </w:r>
    </w:p>
    <w:p>
      <w:pPr>
        <w:pStyle w:val="ListParagraph"/>
        <w:numPr>
          <w:ilvl w:val="0"/>
          <w:numId w:val="1"/>
        </w:numPr>
        <w:spacing w:after="80"/>
      </w:pPr>
      <w:r>
        <w:t xml:space="preserve">ERP-01 Phase C — Section 2 — Enterprise Work Package Engineering Catalog</w:t>
      </w:r>
    </w:p>
    <w:p>
      <w:pPr>
        <w:pStyle w:val="ListParagraph"/>
        <w:numPr>
          <w:ilvl w:val="0"/>
          <w:numId w:val="1"/>
        </w:numPr>
        <w:spacing w:after="80"/>
      </w:pPr>
      <w:r>
        <w:t xml:space="preserve">ERP-01 Phase C — Section 3 — Repository Impact Assessment</w:t>
      </w:r>
    </w:p>
    <w:p>
      <w:pPr>
        <w:pStyle w:val="ListParagraph"/>
        <w:numPr>
          <w:ilvl w:val="0"/>
          <w:numId w:val="1"/>
        </w:numPr>
        <w:spacing w:after="80"/>
      </w:pPr>
      <w:r>
        <w:t xml:space="preserve">ERP-01 Phase C — Section 4 — Engineering Design Specification</w:t>
      </w:r>
    </w:p>
    <w:p>
      <w:pPr>
        <w:pStyle w:val="ListParagraph"/>
        <w:numPr>
          <w:ilvl w:val="0"/>
          <w:numId w:val="1"/>
        </w:numPr>
        <w:spacing w:after="80"/>
      </w:pPr>
      <w:r>
        <w:t xml:space="preserve">ERP-01 Phase C — Section 5 — Implementation Blueprint</w:t>
      </w:r>
    </w:p>
    <w:p>
      <w:pPr>
        <w:pStyle w:val="ListParagraph"/>
        <w:numPr>
          <w:ilvl w:val="0"/>
          <w:numId w:val="1"/>
        </w:numPr>
        <w:spacing w:after="80"/>
      </w:pPr>
      <w:r>
        <w:t xml:space="preserve">ERP-01 Phase C — Section 6 — Architecture Conformance Plan</w:t>
      </w:r>
    </w:p>
    <w:p>
      <w:pPr>
        <w:pStyle w:val="ListParagraph"/>
        <w:numPr>
          <w:ilvl w:val="0"/>
          <w:numId w:val="1"/>
        </w:numPr>
        <w:spacing w:after="80"/>
      </w:pPr>
      <w:r>
        <w:t xml:space="preserve">ERP-01 Phase C — Section 7 — Enterprise Testing &amp; Verification Strategy</w:t>
      </w:r>
    </w:p>
    <w:p>
      <w:pPr>
        <w:pStyle w:val="ListParagraph"/>
        <w:numPr>
          <w:ilvl w:val="0"/>
          <w:numId w:val="1"/>
        </w:numPr>
        <w:spacing w:after="80"/>
      </w:pPr>
      <w:r>
        <w:t xml:space="preserve">ERP-01 Phase C — Section 8 — Enterprise Risk-Control Matrix</w:t>
      </w:r>
    </w:p>
    <w:p>
      <w:pPr>
        <w:spacing w:after="150"/>
      </w:pPr>
      <w:r>
        <w:rPr>
          <w:b w:val="false"/>
          <w:bCs w:val="false"/>
          <w:i w:val="false"/>
          <w:iCs w:val="false"/>
        </w:rPr>
        <w:t xml:space="preserve">These repositories constitute the authoritative implementation baseline. No additional architecture assessment, engineering redesign, implementation planning, governance redesign, repository discovery, or Work Package creation is performed here.</w:t>
      </w:r>
    </w:p>
    <w:p>
      <w:pPr>
        <w:pStyle w:val="Heading2"/>
        <w:spacing w:after="150" w:before="300"/>
      </w:pPr>
      <w:r>
        <w:t xml:space="preserve">Evidence-First Principle</w:t>
      </w:r>
    </w:p>
    <w:p>
      <w:pPr>
        <w:spacing w:after="150"/>
      </w:pPr>
      <w:r>
        <w:rPr>
          <w:b w:val="false"/>
          <w:bCs w:val="false"/>
          <w:i w:val="false"/>
          <w:iCs w:val="false"/>
        </w:rPr>
        <w:t xml:space="preserve">This document introduces no new Work Package, Architecture Requirement (AR), Enterprise Governance Decision (EGD), Enterprise Resolution (ER), Variance (VAR), KPI, certification level, portfolio, wave, milestone, or acceptance authority. Every acceptance criterion below reuses, without alteration, the entry, exit, and acceptance conditions already established per Work Package in Section 2 §2, the verification methods and evidence artifacts established in Sections 4, 5, and 7, and the certification-level framework established in Phase A.3 §11 and applied in Section 6. Where an acceptance criterion is not evidenced in the approved baseline, this document states “Not Evidenced in Current Baseline.” Where acceptance depends on a future enterprise portfolio or a deferred realization trigger, this document states “Reserved for Future Realization Phases.”</w:t>
      </w:r>
    </w:p>
    <w:p>
      <w:pPr>
        <w:pStyle w:val="Heading2"/>
        <w:spacing w:after="150" w:before="300"/>
      </w:pPr>
      <w:r>
        <w:t xml:space="preserve">Scope</w:t>
      </w:r>
    </w:p>
    <w:p>
      <w:pPr>
        <w:spacing w:after="150"/>
      </w:pPr>
      <w:r>
        <w:rPr>
          <w:b w:val="false"/>
          <w:bCs w:val="false"/>
          <w:i w:val="false"/>
          <w:iCs w:val="false"/>
        </w:rPr>
        <w:t xml:space="preserve">Engineering acceptance criteria are developed only for WP-0001 through WP-0006 — the complete, currently-approved Work Package set within Portfolios 1 (Enterprise Data Platform), 2 (Enterprise Security), and 8 (Governance &amp; Quality). No acceptance criteria are defined for Portfolios 3–7 (Enterprise AI, Business Capabilities, Knowledge Platform, Integration Platform, Operations &amp; Observability) or Waves 4–5, consistent with their reserved, unpopulated status in Section 1 and Section 2.</w:t>
      </w:r>
    </w:p>
    <w:p>
      <w:pPr>
        <w:pStyle w:val="Heading1"/>
        <w:spacing w:after="200" w:before="400"/>
      </w:pPr>
      <w:r>
        <w:t xml:space="preserve">1. Executive Overview</w:t>
      </w:r>
    </w:p>
    <w:p>
      <w:pPr>
        <w:pStyle w:val="Heading2"/>
        <w:spacing w:after="150" w:before="300"/>
      </w:pPr>
      <w:r>
        <w:t xml:space="preserve">Purpose</w:t>
      </w:r>
    </w:p>
    <w:p>
      <w:pPr>
        <w:spacing w:after="150"/>
      </w:pPr>
      <w:r>
        <w:rPr>
          <w:b w:val="false"/>
          <w:bCs w:val="false"/>
          <w:i w:val="false"/>
          <w:iCs w:val="false"/>
        </w:rPr>
        <w:t xml:space="preserve">Sections 1–8 established what would be delivered (Section 2's Engineering Catalog), where it impacts the repository (Section 3), how it is engineered and implemented (Sections 4–5), how architecture conformance and engineering verification are performed (Sections 6–7), and how risk is controlled (Section 8). This section answers the one question those sections do not: what objective evidence is required before a Work Package can be formally accepted as complete.</w:t>
      </w:r>
    </w:p>
    <w:p>
      <w:pPr>
        <w:pStyle w:val="Heading2"/>
        <w:spacing w:after="150" w:before="300"/>
      </w:pPr>
      <w:r>
        <w:t xml:space="preserve">Relationship with Sections 1–8</w:t>
      </w:r>
    </w:p>
    <w:p>
      <w:pPr>
        <w:spacing w:after="150"/>
      </w:pPr>
      <w:r>
        <w:rPr>
          <w:b w:val="false"/>
          <w:bCs w:val="false"/>
          <w:i w:val="false"/>
          <w:iCs w:val="false"/>
        </w:rPr>
        <w:t xml:space="preserve">This section introduces no new engineering activity. It reorganizes evidence already produced — the Entry/Exit/Acceptance Criteria fields established per Work Package in Section 2 §2, the verification methods and Completion Evidence descriptions in Sections 4–5, the certification-level movements in Section 6, the engineering test evidence in Section 7, and the risk dispositions in Section 8 — into the format a formal acceptance gate requires: objective, evidence-bound, and traceable to a named governance authority.</w:t>
      </w:r>
    </w:p>
    <w:p>
      <w:pPr>
        <w:pStyle w:val="Heading2"/>
        <w:spacing w:after="150" w:before="300"/>
      </w:pPr>
      <w:r>
        <w:t xml:space="preserve">Engineering Acceptance Objectives</w:t>
      </w:r>
    </w:p>
    <w:p>
      <w:pPr>
        <w:pStyle w:val="ListParagraph"/>
        <w:numPr>
          <w:ilvl w:val="0"/>
          <w:numId w:val="1"/>
        </w:numPr>
        <w:spacing w:after="80"/>
      </w:pPr>
      <w:r>
        <w:t xml:space="preserve">Confirm each Work Package's approved Exit Criteria (Section 2 §2) and Completion Evidence (Section 5 §8) have in fact been produced.</w:t>
      </w:r>
    </w:p>
    <w:p>
      <w:pPr>
        <w:pStyle w:val="ListParagraph"/>
        <w:numPr>
          <w:ilvl w:val="0"/>
          <w:numId w:val="1"/>
        </w:numPr>
        <w:spacing w:after="80"/>
      </w:pPr>
      <w:r>
        <w:t xml:space="preserve">Confirm the associated Architecture Requirement's Certification Level has moved as Phase A.3 §11 and Section 6 §4 define, not merely that work occurred.</w:t>
      </w:r>
    </w:p>
    <w:p>
      <w:pPr>
        <w:pStyle w:val="ListParagraph"/>
        <w:numPr>
          <w:ilvl w:val="0"/>
          <w:numId w:val="1"/>
        </w:numPr>
        <w:spacing w:after="80"/>
      </w:pPr>
      <w:r>
        <w:t xml:space="preserve">Confirm the KPI each Work Package exists to move (Phase A.3 §10) has reached its stated target value.</w:t>
      </w:r>
    </w:p>
    <w:p>
      <w:pPr>
        <w:pStyle w:val="ListParagraph"/>
        <w:numPr>
          <w:ilvl w:val="0"/>
          <w:numId w:val="1"/>
        </w:numPr>
        <w:spacing w:after="80"/>
      </w:pPr>
      <w:r>
        <w:t xml:space="preserve">Confirm governance evidence (an already-dispositioned EGD, per Phase A.3 §4) and repository evidence (Section 3) are both present before acceptance is recorded.</w:t>
      </w:r>
    </w:p>
    <w:p>
      <w:pPr>
        <w:pStyle w:val="Heading2"/>
        <w:spacing w:after="150" w:before="300"/>
      </w:pPr>
      <w:r>
        <w:t xml:space="preserve">Governance Objectives</w:t>
      </w:r>
    </w:p>
    <w:p>
      <w:pPr>
        <w:pStyle w:val="ListParagraph"/>
        <w:numPr>
          <w:ilvl w:val="0"/>
          <w:numId w:val="1"/>
        </w:numPr>
        <w:spacing w:after="80"/>
      </w:pPr>
      <w:r>
        <w:t xml:space="preserve">Preserve AP-003 (architecture evolves only through formal governance) by requiring that any acceptance exception be logged as an EGD/VAR change, not silently absorbed.</w:t>
      </w:r>
    </w:p>
    <w:p>
      <w:pPr>
        <w:pStyle w:val="ListParagraph"/>
        <w:numPr>
          <w:ilvl w:val="0"/>
          <w:numId w:val="1"/>
        </w:numPr>
        <w:spacing w:after="80"/>
      </w:pPr>
      <w:r>
        <w:t xml:space="preserve">Preserve AP-009 (every governance decision requires a named, accountable owner) by treating WP-0006's completion as a precondition for every other Work Package's acceptance carrying accountable, rather than aspirational, sign-off.</w:t>
      </w:r>
    </w:p>
    <w:p>
      <w:pPr>
        <w:pStyle w:val="Heading2"/>
        <w:spacing w:after="150" w:before="300"/>
      </w:pPr>
      <w:r>
        <w:t xml:space="preserve">Scope</w:t>
      </w:r>
    </w:p>
    <w:p>
      <w:pPr>
        <w:spacing w:after="150"/>
      </w:pPr>
      <w:r>
        <w:rPr>
          <w:b w:val="false"/>
          <w:bCs w:val="false"/>
          <w:i w:val="false"/>
          <w:iCs w:val="false"/>
        </w:rPr>
        <w:t xml:space="preserve">WP-0001 through WP-0006 only, within Portfolios 1, 2, and 8, exactly as scoped in Sections 1, 2, 6, and 7. No acceptance criteria are introduced for Portfolios 3–7 or Waves 4–5.</w:t>
      </w:r>
    </w:p>
    <w:p>
      <w:pPr>
        <w:pStyle w:val="Heading2"/>
        <w:spacing w:after="150" w:before="300"/>
      </w:pPr>
      <w:r>
        <w:t xml:space="preserve">Evidence Limitations</w:t>
      </w:r>
    </w:p>
    <w:p>
      <w:pPr>
        <w:spacing w:after="150"/>
      </w:pPr>
      <w:r>
        <w:rPr>
          <w:b w:val="false"/>
          <w:bCs w:val="false"/>
          <w:i w:val="false"/>
          <w:iCs w:val="false"/>
        </w:rPr>
        <w:t xml:space="preserve">A formally named acceptance-severity classification scheme, a dedicated acceptance register distinct from the EGD/ER/VAR registers, a chartered Enterprise Architecture Board, and a dedicated Quality Assurance or PMO acceptance authority beyond the five roles named in Phase B §9 are Not Evidenced in Current Baseline (consistent with Section 1's and Section 6's own findings). This document does not invent them.</w:t>
      </w:r>
    </w:p>
    <w:p>
      <w:pPr>
        <w:pStyle w:val="Heading2"/>
        <w:spacing w:after="150" w:before="300"/>
      </w:pPr>
      <w:r>
        <w:t xml:space="preserve">Guiding Principles</w:t>
      </w:r>
    </w:p>
    <w:p>
      <w:pPr>
        <w:spacing w:after="150"/>
      </w:pPr>
      <w:r>
        <w:rPr>
          <w:b w:val="false"/>
          <w:bCs w:val="false"/>
          <w:i w:val="false"/>
          <w:iCs w:val="false"/>
        </w:rPr>
        <w:t xml:space="preserve">This section inherits, without modification, the nine permanent Enterprise Architecture Principles (AP-001–AP-009) established in Phase A.3 §2. No new principle is introduced; §2 below maps each acceptance principle onto its corresponding AP.</w:t>
      </w:r>
    </w:p>
    <w:p>
      <w:pPr>
        <w:pStyle w:val="Heading1"/>
        <w:spacing w:after="200" w:before="400"/>
      </w:pPr>
      <w:r>
        <w:t xml:space="preserve">2. Enterprise Acceptance Principles</w:t>
      </w:r>
    </w:p>
    <w:p>
      <w:pPr>
        <w:spacing w:after="150"/>
      </w:pPr>
      <w:r>
        <w:rPr>
          <w:b w:val="false"/>
          <w:bCs w:val="false"/>
          <w:i w:val="false"/>
          <w:iCs w:val="false"/>
        </w:rPr>
        <w:t xml:space="preserve">The ten acceptance principles below govern every acceptance decision in this document. Each maps directly onto a permanent Enterprise Architecture Principle (AP-001–AP-009) already approved in Phase A.3 §2, or onto a pattern Section 6/Section 7 already established. No new enterprise principle is introduced.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50"/>
      </w:tblGrid>
      <w:tr>
        <w:trPr>
          <w:tblHeader/>
        </w:trPr>
        <w:tc>
          <w:tcPr>
            <w:tcW w:type="dxa" w:w="2200"/>
            <w:shd w:fill="1F3864" w:val="clear"/>
            <w:vAlign w:val="center"/>
          </w:tcPr>
          <w:p>
            <w:r>
              <w:rPr>
                <w:b/>
                <w:bCs/>
                <w:color w:val="FFFFFF"/>
                <w:sz w:val="18"/>
                <w:szCs w:val="18"/>
              </w:rPr>
              <w:t xml:space="preserve">Acceptance Principle</w:t>
            </w:r>
          </w:p>
        </w:tc>
        <w:tc>
          <w:tcPr>
            <w:tcW w:type="dxa" w:w="1600"/>
            <w:shd w:fill="1F3864" w:val="clear"/>
            <w:vAlign w:val="center"/>
          </w:tcPr>
          <w:p>
            <w:r>
              <w:rPr>
                <w:b/>
                <w:bCs/>
                <w:color w:val="FFFFFF"/>
                <w:sz w:val="18"/>
                <w:szCs w:val="18"/>
              </w:rPr>
              <w:t xml:space="preserve">Maps To</w:t>
            </w:r>
          </w:p>
        </w:tc>
        <w:tc>
          <w:tcPr>
            <w:tcW w:type="dxa" w:w="5550"/>
            <w:shd w:fill="1F3864" w:val="clear"/>
            <w:vAlign w:val="center"/>
          </w:tcPr>
          <w:p>
            <w:r>
              <w:rPr>
                <w:b/>
                <w:bCs/>
                <w:color w:val="FFFFFF"/>
                <w:sz w:val="18"/>
                <w:szCs w:val="18"/>
              </w:rPr>
              <w:t xml:space="preserve">Application</w:t>
            </w:r>
          </w:p>
        </w:tc>
      </w:tr>
      <w:tr>
        <w:tc>
          <w:tcPr>
            <w:tcW w:type="dxa" w:w="2200"/>
            <w:vAlign w:val="center"/>
          </w:tcPr>
          <w:p>
            <w:r>
              <w:rPr>
                <w:b w:val="false"/>
                <w:bCs w:val="false"/>
                <w:color w:val="000000"/>
                <w:sz w:val="18"/>
                <w:szCs w:val="18"/>
              </w:rPr>
              <w:t xml:space="preserve">Evidence-based acceptance</w:t>
            </w:r>
          </w:p>
        </w:tc>
        <w:tc>
          <w:tcPr>
            <w:tcW w:type="dxa" w:w="1600"/>
            <w:vAlign w:val="center"/>
          </w:tcPr>
          <w:p>
            <w:r>
              <w:rPr>
                <w:b w:val="false"/>
                <w:bCs w:val="false"/>
                <w:color w:val="000000"/>
                <w:sz w:val="18"/>
                <w:szCs w:val="18"/>
              </w:rPr>
              <w:t xml:space="preserve">AP-001 / AP-002</w:t>
            </w:r>
          </w:p>
        </w:tc>
        <w:tc>
          <w:tcPr>
            <w:tcW w:type="dxa" w:w="5550"/>
            <w:vAlign w:val="center"/>
          </w:tcPr>
          <w:p>
            <w:r>
              <w:rPr>
                <w:b w:val="false"/>
                <w:bCs w:val="false"/>
                <w:color w:val="000000"/>
                <w:sz w:val="18"/>
                <w:szCs w:val="18"/>
              </w:rPr>
              <w:t xml:space="preserve">Acceptance is granted only on repository or documentation evidence matching the named Completion Evidence artifact (Section 5 §8) — never on intent or in-progress status.</w:t>
            </w:r>
          </w:p>
        </w:tc>
      </w:tr>
      <w:tr>
        <w:tc>
          <w:tcPr>
            <w:tcW w:type="dxa" w:w="2200"/>
            <w:shd w:fill="F2F2F2" w:val="clear"/>
            <w:vAlign w:val="center"/>
          </w:tcPr>
          <w:p>
            <w:r>
              <w:rPr>
                <w:b w:val="false"/>
                <w:bCs w:val="false"/>
                <w:color w:val="000000"/>
                <w:sz w:val="18"/>
                <w:szCs w:val="18"/>
              </w:rPr>
              <w:t xml:space="preserve">Architecture-first acceptance</w:t>
            </w:r>
          </w:p>
        </w:tc>
        <w:tc>
          <w:tcPr>
            <w:tcW w:type="dxa" w:w="1600"/>
            <w:shd w:fill="F2F2F2" w:val="clear"/>
            <w:vAlign w:val="center"/>
          </w:tcPr>
          <w:p>
            <w:r>
              <w:rPr>
                <w:b w:val="false"/>
                <w:bCs w:val="false"/>
                <w:color w:val="000000"/>
                <w:sz w:val="18"/>
                <w:szCs w:val="18"/>
              </w:rPr>
              <w:t xml:space="preserve">AP-001 / AP-003</w:t>
            </w:r>
          </w:p>
        </w:tc>
        <w:tc>
          <w:tcPr>
            <w:tcW w:type="dxa" w:w="5550"/>
            <w:shd w:fill="F2F2F2" w:val="clear"/>
            <w:vAlign w:val="center"/>
          </w:tcPr>
          <w:p>
            <w:r>
              <w:rPr>
                <w:b w:val="false"/>
                <w:bCs w:val="false"/>
                <w:color w:val="000000"/>
                <w:sz w:val="18"/>
                <w:szCs w:val="18"/>
              </w:rPr>
              <w:t xml:space="preserve">A Work Package cannot be accepted if its execution would alter the approved architecture baseline outside formal governance; any such change requires a new or amended EGD first.</w:t>
            </w:r>
          </w:p>
        </w:tc>
      </w:tr>
      <w:tr>
        <w:tc>
          <w:tcPr>
            <w:tcW w:type="dxa" w:w="2200"/>
            <w:vAlign w:val="center"/>
          </w:tcPr>
          <w:p>
            <w:r>
              <w:rPr>
                <w:b w:val="false"/>
                <w:bCs w:val="false"/>
                <w:color w:val="000000"/>
                <w:sz w:val="18"/>
                <w:szCs w:val="18"/>
              </w:rPr>
              <w:t xml:space="preserve">Repository-aware acceptance</w:t>
            </w:r>
          </w:p>
        </w:tc>
        <w:tc>
          <w:tcPr>
            <w:tcW w:type="dxa" w:w="1600"/>
            <w:vAlign w:val="center"/>
          </w:tcPr>
          <w:p>
            <w:r>
              <w:rPr>
                <w:b w:val="false"/>
                <w:bCs w:val="false"/>
                <w:color w:val="000000"/>
                <w:sz w:val="18"/>
                <w:szCs w:val="18"/>
              </w:rPr>
              <w:t xml:space="preserve">AP-002</w:t>
            </w:r>
          </w:p>
        </w:tc>
        <w:tc>
          <w:tcPr>
            <w:tcW w:type="dxa" w:w="5550"/>
            <w:vAlign w:val="center"/>
          </w:tcPr>
          <w:p>
            <w:r>
              <w:rPr>
                <w:b w:val="false"/>
                <w:bCs w:val="false"/>
                <w:color w:val="000000"/>
                <w:sz w:val="18"/>
                <w:szCs w:val="18"/>
              </w:rPr>
              <w:t xml:space="preserve">Acceptance evidence is checked against the exact repository category and location Section 3 identifies for the Work Package — Documentation, Database, or Test repositories only, per Section 3's finding that these are the only three of eight anticipated categories carrying approved impact.</w:t>
            </w:r>
          </w:p>
        </w:tc>
      </w:tr>
      <w:tr>
        <w:tc>
          <w:tcPr>
            <w:tcW w:type="dxa" w:w="2200"/>
            <w:shd w:fill="F2F2F2" w:val="clear"/>
            <w:vAlign w:val="center"/>
          </w:tcPr>
          <w:p>
            <w:r>
              <w:rPr>
                <w:b w:val="false"/>
                <w:bCs w:val="false"/>
                <w:color w:val="000000"/>
                <w:sz w:val="18"/>
                <w:szCs w:val="18"/>
              </w:rPr>
              <w:t xml:space="preserve">Verification-before-acceptance</w:t>
            </w:r>
          </w:p>
        </w:tc>
        <w:tc>
          <w:tcPr>
            <w:tcW w:type="dxa" w:w="1600"/>
            <w:shd w:fill="F2F2F2" w:val="clear"/>
            <w:vAlign w:val="center"/>
          </w:tcPr>
          <w:p>
            <w:r>
              <w:rPr>
                <w:b w:val="false"/>
                <w:bCs w:val="false"/>
                <w:color w:val="000000"/>
                <w:sz w:val="18"/>
                <w:szCs w:val="18"/>
              </w:rPr>
              <w:t xml:space="preserve">AP-002 (via Section 7)</w:t>
            </w:r>
          </w:p>
        </w:tc>
        <w:tc>
          <w:tcPr>
            <w:tcW w:type="dxa" w:w="5550"/>
            <w:shd w:fill="F2F2F2" w:val="clear"/>
            <w:vAlign w:val="center"/>
          </w:tcPr>
          <w:p>
            <w:r>
              <w:rPr>
                <w:b w:val="false"/>
                <w:bCs w:val="false"/>
                <w:color w:val="000000"/>
                <w:sz w:val="18"/>
                <w:szCs w:val="18"/>
              </w:rPr>
              <w:t xml:space="preserve">The Section 7 verification method for the Work Package must have been executed and its evidence artifact validated before an acceptance decision is recorded — acceptance never precedes verification.</w:t>
            </w:r>
          </w:p>
        </w:tc>
      </w:tr>
      <w:tr>
        <w:tc>
          <w:tcPr>
            <w:tcW w:type="dxa" w:w="2200"/>
            <w:vAlign w:val="center"/>
          </w:tcPr>
          <w:p>
            <w:r>
              <w:rPr>
                <w:b w:val="false"/>
                <w:bCs w:val="false"/>
                <w:color w:val="000000"/>
                <w:sz w:val="18"/>
                <w:szCs w:val="18"/>
              </w:rPr>
              <w:t xml:space="preserve">Governance-approved completion</w:t>
            </w:r>
          </w:p>
        </w:tc>
        <w:tc>
          <w:tcPr>
            <w:tcW w:type="dxa" w:w="1600"/>
            <w:vAlign w:val="center"/>
          </w:tcPr>
          <w:p>
            <w:r>
              <w:rPr>
                <w:b w:val="false"/>
                <w:bCs w:val="false"/>
                <w:color w:val="000000"/>
                <w:sz w:val="18"/>
                <w:szCs w:val="18"/>
              </w:rPr>
              <w:t xml:space="preserve">AP-003 / AP-006</w:t>
            </w:r>
          </w:p>
        </w:tc>
        <w:tc>
          <w:tcPr>
            <w:tcW w:type="dxa" w:w="5550"/>
            <w:vAlign w:val="center"/>
          </w:tcPr>
          <w:p>
            <w:r>
              <w:rPr>
                <w:b w:val="false"/>
                <w:bCs w:val="false"/>
                <w:color w:val="000000"/>
                <w:sz w:val="18"/>
                <w:szCs w:val="18"/>
              </w:rPr>
              <w:t xml:space="preserve">Every Work Package's governing EGD (Phase A.3 §4) is already dispositioned; acceptance confirms that disposition was honored, and any deviation is escalated as a new governance item, not accepted by exception.</w:t>
            </w:r>
          </w:p>
        </w:tc>
      </w:tr>
      <w:tr>
        <w:tc>
          <w:tcPr>
            <w:tcW w:type="dxa" w:w="2200"/>
            <w:shd w:fill="F2F2F2" w:val="clear"/>
            <w:vAlign w:val="center"/>
          </w:tcPr>
          <w:p>
            <w:r>
              <w:rPr>
                <w:b w:val="false"/>
                <w:bCs w:val="false"/>
                <w:color w:val="000000"/>
                <w:sz w:val="18"/>
                <w:szCs w:val="18"/>
              </w:rPr>
              <w:t xml:space="preserve">Traceability preservation</w:t>
            </w:r>
          </w:p>
        </w:tc>
        <w:tc>
          <w:tcPr>
            <w:tcW w:type="dxa" w:w="1600"/>
            <w:shd w:fill="F2F2F2" w:val="clear"/>
            <w:vAlign w:val="center"/>
          </w:tcPr>
          <w:p>
            <w:r>
              <w:rPr>
                <w:b w:val="false"/>
                <w:bCs w:val="false"/>
                <w:color w:val="000000"/>
                <w:sz w:val="18"/>
                <w:szCs w:val="18"/>
              </w:rPr>
              <w:t xml:space="preserve">AP-005</w:t>
            </w:r>
          </w:p>
        </w:tc>
        <w:tc>
          <w:tcPr>
            <w:tcW w:type="dxa" w:w="5550"/>
            <w:shd w:fill="F2F2F2" w:val="clear"/>
            <w:vAlign w:val="center"/>
          </w:tcPr>
          <w:p>
            <w:r>
              <w:rPr>
                <w:b w:val="false"/>
                <w:bCs w:val="false"/>
                <w:color w:val="000000"/>
                <w:sz w:val="18"/>
                <w:szCs w:val="18"/>
              </w:rPr>
              <w:t xml:space="preserve">Every acceptance decision preserves, without truncation, the full chain: Architecture Requirement → Enterprise Governance Decision → Repository Evidence → Implementation Status → Work Package → Verification Evidence → Acceptance Evidence → Certification Level.</w:t>
            </w:r>
          </w:p>
        </w:tc>
      </w:tr>
      <w:tr>
        <w:tc>
          <w:tcPr>
            <w:tcW w:type="dxa" w:w="2200"/>
            <w:vAlign w:val="center"/>
          </w:tcPr>
          <w:p>
            <w:r>
              <w:rPr>
                <w:b w:val="false"/>
                <w:bCs w:val="false"/>
                <w:color w:val="000000"/>
                <w:sz w:val="18"/>
                <w:szCs w:val="18"/>
              </w:rPr>
              <w:t xml:space="preserve">Risk-informed acceptance</w:t>
            </w:r>
          </w:p>
        </w:tc>
        <w:tc>
          <w:tcPr>
            <w:tcW w:type="dxa" w:w="1600"/>
            <w:vAlign w:val="center"/>
          </w:tcPr>
          <w:p>
            <w:r>
              <w:rPr>
                <w:b w:val="false"/>
                <w:bCs w:val="false"/>
                <w:color w:val="000000"/>
                <w:sz w:val="18"/>
                <w:szCs w:val="18"/>
              </w:rPr>
              <w:t xml:space="preserve">AP-007 (via Section 8)</w:t>
            </w:r>
          </w:p>
        </w:tc>
        <w:tc>
          <w:tcPr>
            <w:tcW w:type="dxa" w:w="5550"/>
            <w:vAlign w:val="center"/>
          </w:tcPr>
          <w:p>
            <w:r>
              <w:rPr>
                <w:b w:val="false"/>
                <w:bCs w:val="false"/>
                <w:color w:val="000000"/>
                <w:sz w:val="18"/>
                <w:szCs w:val="18"/>
              </w:rPr>
              <w:t xml:space="preserve">Acceptance references the risk classification and disposition Section 8 already assigned per Work Package; no risk is newly discovered or newly scored at the acceptance gate.</w:t>
            </w:r>
          </w:p>
        </w:tc>
      </w:tr>
      <w:tr>
        <w:tc>
          <w:tcPr>
            <w:tcW w:type="dxa" w:w="2200"/>
            <w:shd w:fill="F2F2F2" w:val="clear"/>
            <w:vAlign w:val="center"/>
          </w:tcPr>
          <w:p>
            <w:r>
              <w:rPr>
                <w:b w:val="false"/>
                <w:bCs w:val="false"/>
                <w:color w:val="000000"/>
                <w:sz w:val="18"/>
                <w:szCs w:val="18"/>
              </w:rPr>
              <w:t xml:space="preserve">Documentation completeness</w:t>
            </w:r>
          </w:p>
        </w:tc>
        <w:tc>
          <w:tcPr>
            <w:tcW w:type="dxa" w:w="1600"/>
            <w:shd w:fill="F2F2F2" w:val="clear"/>
            <w:vAlign w:val="center"/>
          </w:tcPr>
          <w:p>
            <w:r>
              <w:rPr>
                <w:b w:val="false"/>
                <w:bCs w:val="false"/>
                <w:color w:val="000000"/>
                <w:sz w:val="18"/>
                <w:szCs w:val="18"/>
              </w:rPr>
              <w:t xml:space="preserve">AP-005 / AP-006</w:t>
            </w:r>
          </w:p>
        </w:tc>
        <w:tc>
          <w:tcPr>
            <w:tcW w:type="dxa" w:w="5550"/>
            <w:shd w:fill="F2F2F2" w:val="clear"/>
            <w:vAlign w:val="center"/>
          </w:tcPr>
          <w:p>
            <w:r>
              <w:rPr>
                <w:b w:val="false"/>
                <w:bCs w:val="false"/>
                <w:color w:val="000000"/>
                <w:sz w:val="18"/>
                <w:szCs w:val="18"/>
              </w:rPr>
              <w:t xml:space="preserve">Acceptance is not recorded until the Work Package's documentation deliverable (where applicable, per Section 5 §8) is published and matches its approved Completion Evidence description exactly.</w:t>
            </w:r>
          </w:p>
        </w:tc>
      </w:tr>
      <w:tr>
        <w:tc>
          <w:tcPr>
            <w:tcW w:type="dxa" w:w="2200"/>
            <w:vAlign w:val="center"/>
          </w:tcPr>
          <w:p>
            <w:r>
              <w:rPr>
                <w:b w:val="false"/>
                <w:bCs w:val="false"/>
                <w:color w:val="000000"/>
                <w:sz w:val="18"/>
                <w:szCs w:val="18"/>
              </w:rPr>
              <w:t xml:space="preserve">Measurable completion</w:t>
            </w:r>
          </w:p>
        </w:tc>
        <w:tc>
          <w:tcPr>
            <w:tcW w:type="dxa" w:w="1600"/>
            <w:vAlign w:val="center"/>
          </w:tcPr>
          <w:p>
            <w:r>
              <w:rPr>
                <w:b w:val="false"/>
                <w:bCs w:val="false"/>
                <w:color w:val="000000"/>
                <w:sz w:val="18"/>
                <w:szCs w:val="18"/>
              </w:rPr>
              <w:t xml:space="preserve">Phase A.3 §10 (KPI Catalog)</w:t>
            </w:r>
          </w:p>
        </w:tc>
        <w:tc>
          <w:tcPr>
            <w:tcW w:type="dxa" w:w="5550"/>
            <w:vAlign w:val="center"/>
          </w:tcPr>
          <w:p>
            <w:r>
              <w:rPr>
                <w:b w:val="false"/>
                <w:bCs w:val="false"/>
                <w:color w:val="000000"/>
                <w:sz w:val="18"/>
                <w:szCs w:val="18"/>
              </w:rPr>
              <w:t xml:space="preserve">Acceptance is bound to the specific KPI value each Work Package exists to move (e.g., KPI-02 = 100 for WP-0001; KPI-06 = 100% for WP-0002) — not to a qualitative judgment of “done.”</w:t>
            </w:r>
          </w:p>
        </w:tc>
      </w:tr>
      <w:tr>
        <w:tc>
          <w:tcPr>
            <w:tcW w:type="dxa" w:w="2200"/>
            <w:shd w:fill="F2F2F2" w:val="clear"/>
            <w:vAlign w:val="center"/>
          </w:tcPr>
          <w:p>
            <w:r>
              <w:rPr>
                <w:b w:val="false"/>
                <w:bCs w:val="false"/>
                <w:color w:val="000000"/>
                <w:sz w:val="18"/>
                <w:szCs w:val="18"/>
              </w:rPr>
              <w:t xml:space="preserve">Continuous improvement</w:t>
            </w:r>
          </w:p>
        </w:tc>
        <w:tc>
          <w:tcPr>
            <w:tcW w:type="dxa" w:w="1600"/>
            <w:shd w:fill="F2F2F2" w:val="clear"/>
            <w:vAlign w:val="center"/>
          </w:tcPr>
          <w:p>
            <w:r>
              <w:rPr>
                <w:b w:val="false"/>
                <w:bCs w:val="false"/>
                <w:color w:val="000000"/>
                <w:sz w:val="18"/>
                <w:szCs w:val="18"/>
              </w:rPr>
              <w:t xml:space="preserve">AP-008</w:t>
            </w:r>
          </w:p>
        </w:tc>
        <w:tc>
          <w:tcPr>
            <w:tcW w:type="dxa" w:w="5550"/>
            <w:shd w:fill="F2F2F2" w:val="clear"/>
            <w:vAlign w:val="center"/>
          </w:tcPr>
          <w:p>
            <w:r>
              <w:rPr>
                <w:b w:val="false"/>
                <w:bCs w:val="false"/>
                <w:color w:val="000000"/>
                <w:sz w:val="18"/>
                <w:szCs w:val="18"/>
              </w:rPr>
              <w:t xml:space="preserve">Acceptance for trigger-gated Work Packages (WP-0003) is not a one-time gate but a recurring quarterly re-assessment against the EGD-0004 trigger, consistent with this baseline's trigger-based review discipline.</w:t>
            </w:r>
          </w:p>
        </w:tc>
      </w:tr>
    </w:tbl>
    <w:p>
      <w:pPr>
        <w:pStyle w:val="Heading1"/>
        <w:spacing w:after="200" w:before="400"/>
      </w:pPr>
      <w:r>
        <w:t xml:space="preserve">3. Enterprise Acceptance Framework</w:t>
      </w:r>
    </w:p>
    <w:p>
      <w:pPr>
        <w:spacing w:after="150"/>
      </w:pPr>
      <w:r>
        <w:rPr>
          <w:b w:val="false"/>
          <w:bCs w:val="false"/>
          <w:i w:val="false"/>
          <w:iCs w:val="false"/>
        </w:rPr>
        <w:t xml:space="preserve">The acceptance lifecycle below applies uniformly to WP-0001 through WP-0006, with stage applicability scaled to each Work Package's own scope — consistent with Section 1 §3, Section 6 §3, and Section 7 §3's shared finding that several lifecycle stages are compressed or not applicable for the current, intentionally lightweight Work Package set. No new lifecycle stage is introduced beyond those already implicit in Sections 6 and 7.</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vAlign w:val="center"/>
          </w:tcPr>
          <w:p>
            <w:r>
              <w:rPr>
                <w:b/>
                <w:bCs/>
                <w:color w:val="FFFFFF"/>
                <w:sz w:val="18"/>
                <w:szCs w:val="18"/>
              </w:rPr>
              <w:t xml:space="preserve">Stage</w:t>
            </w:r>
          </w:p>
        </w:tc>
        <w:tc>
          <w:tcPr>
            <w:tcW w:type="dxa" w:w="6750"/>
            <w:shd w:fill="1F3864" w:val="clear"/>
            <w:vAlign w:val="center"/>
          </w:tcPr>
          <w:p>
            <w:r>
              <w:rPr>
                <w:b/>
                <w:bCs/>
                <w:color w:val="FFFFFF"/>
                <w:sz w:val="18"/>
                <w:szCs w:val="18"/>
              </w:rPr>
              <w:t xml:space="preserve">Purpose</w:t>
            </w:r>
          </w:p>
        </w:tc>
      </w:tr>
      <w:tr>
        <w:tc>
          <w:tcPr>
            <w:tcW w:type="dxa" w:w="2600"/>
            <w:vAlign w:val="center"/>
          </w:tcPr>
          <w:p>
            <w:r>
              <w:rPr>
                <w:b w:val="false"/>
                <w:bCs w:val="false"/>
                <w:color w:val="000000"/>
                <w:sz w:val="18"/>
                <w:szCs w:val="18"/>
              </w:rPr>
              <w:t xml:space="preserve">Completion assessment</w:t>
            </w:r>
          </w:p>
        </w:tc>
        <w:tc>
          <w:tcPr>
            <w:tcW w:type="dxa" w:w="6750"/>
            <w:vAlign w:val="center"/>
          </w:tcPr>
          <w:p>
            <w:r>
              <w:rPr>
                <w:b w:val="false"/>
                <w:bCs w:val="false"/>
                <w:color w:val="000000"/>
                <w:sz w:val="18"/>
                <w:szCs w:val="18"/>
              </w:rPr>
              <w:t xml:space="preserve">Confirm the Work Package's Exit Criteria (Section 2 §2, field H/I) have been executed as designed, at the scope Section 3/4/5 approved — no expanded or narrowed scope.</w:t>
            </w:r>
          </w:p>
        </w:tc>
      </w:tr>
      <w:tr>
        <w:tc>
          <w:tcPr>
            <w:tcW w:type="dxa" w:w="2600"/>
            <w:shd w:fill="F2F2F2" w:val="clear"/>
            <w:vAlign w:val="center"/>
          </w:tcPr>
          <w:p>
            <w:r>
              <w:rPr>
                <w:b w:val="false"/>
                <w:bCs w:val="false"/>
                <w:color w:val="000000"/>
                <w:sz w:val="18"/>
                <w:szCs w:val="18"/>
              </w:rPr>
              <w:t xml:space="preserve">Evidence review</w:t>
            </w:r>
          </w:p>
        </w:tc>
        <w:tc>
          <w:tcPr>
            <w:tcW w:type="dxa" w:w="6750"/>
            <w:shd w:fill="F2F2F2" w:val="clear"/>
            <w:vAlign w:val="center"/>
          </w:tcPr>
          <w:p>
            <w:r>
              <w:rPr>
                <w:b w:val="false"/>
                <w:bCs w:val="false"/>
                <w:color w:val="000000"/>
                <w:sz w:val="18"/>
                <w:szCs w:val="18"/>
              </w:rPr>
              <w:t xml:space="preserve">Collect the specific Completion Evidence / Verification Evidence artifact named for the Work Package in Section 5 §8 and Section 7 §4 (e.g., the zero-discrepancy table-inventory diff for WP-0001; the per-table RLS verification ledger for WP-0002).</w:t>
            </w:r>
          </w:p>
        </w:tc>
      </w:tr>
      <w:tr>
        <w:tc>
          <w:tcPr>
            <w:tcW w:type="dxa" w:w="2600"/>
            <w:vAlign w:val="center"/>
          </w:tcPr>
          <w:p>
            <w:r>
              <w:rPr>
                <w:b w:val="false"/>
                <w:bCs w:val="false"/>
                <w:color w:val="000000"/>
                <w:sz w:val="18"/>
                <w:szCs w:val="18"/>
              </w:rPr>
              <w:t xml:space="preserve">Repository validation</w:t>
            </w:r>
          </w:p>
        </w:tc>
        <w:tc>
          <w:tcPr>
            <w:tcW w:type="dxa" w:w="6750"/>
            <w:vAlign w:val="center"/>
          </w:tcPr>
          <w:p>
            <w:r>
              <w:rPr>
                <w:b w:val="false"/>
                <w:bCs w:val="false"/>
                <w:color w:val="000000"/>
                <w:sz w:val="18"/>
                <w:szCs w:val="18"/>
              </w:rPr>
              <w:t xml:space="preserve">Confirm the evidence artifact exists at the exact repository location Section 3 identifies, within an approved repository category only (Documentation, Database, or Test).</w:t>
            </w:r>
          </w:p>
        </w:tc>
      </w:tr>
      <w:tr>
        <w:tc>
          <w:tcPr>
            <w:tcW w:type="dxa" w:w="2600"/>
            <w:shd w:fill="F2F2F2" w:val="clear"/>
            <w:vAlign w:val="center"/>
          </w:tcPr>
          <w:p>
            <w:r>
              <w:rPr>
                <w:b w:val="false"/>
                <w:bCs w:val="false"/>
                <w:color w:val="000000"/>
                <w:sz w:val="18"/>
                <w:szCs w:val="18"/>
              </w:rPr>
              <w:t xml:space="preserve">Architecture validation</w:t>
            </w:r>
          </w:p>
        </w:tc>
        <w:tc>
          <w:tcPr>
            <w:tcW w:type="dxa" w:w="6750"/>
            <w:shd w:fill="F2F2F2" w:val="clear"/>
            <w:vAlign w:val="center"/>
          </w:tcPr>
          <w:p>
            <w:r>
              <w:rPr>
                <w:b w:val="false"/>
                <w:bCs w:val="false"/>
                <w:color w:val="000000"/>
                <w:sz w:val="18"/>
                <w:szCs w:val="18"/>
              </w:rPr>
              <w:t xml:space="preserve">Confirm the artifact satisfies the Architecture Requirement's conformance condition as defined in Section 6 §4, without reinterpreting the AR or its associated EGD.</w:t>
            </w:r>
          </w:p>
        </w:tc>
      </w:tr>
      <w:tr>
        <w:tc>
          <w:tcPr>
            <w:tcW w:type="dxa" w:w="2600"/>
            <w:vAlign w:val="center"/>
          </w:tcPr>
          <w:p>
            <w:r>
              <w:rPr>
                <w:b w:val="false"/>
                <w:bCs w:val="false"/>
                <w:color w:val="000000"/>
                <w:sz w:val="18"/>
                <w:szCs w:val="18"/>
              </w:rPr>
              <w:t xml:space="preserve">Governance validation</w:t>
            </w:r>
          </w:p>
        </w:tc>
        <w:tc>
          <w:tcPr>
            <w:tcW w:type="dxa" w:w="6750"/>
            <w:vAlign w:val="center"/>
          </w:tcPr>
          <w:p>
            <w:r>
              <w:rPr>
                <w:b w:val="false"/>
                <w:bCs w:val="false"/>
                <w:color w:val="000000"/>
                <w:sz w:val="18"/>
                <w:szCs w:val="18"/>
              </w:rPr>
              <w:t xml:space="preserve">Confirm the Work Package's governing EGD (already dispositioned in Phase A.3 §4) has not been altered by the implementation; any deviation is logged as a new/amended EGD or VAR per AP-003/AP-007, not silently accepted.</w:t>
            </w:r>
          </w:p>
        </w:tc>
      </w:tr>
      <w:tr>
        <w:tc>
          <w:tcPr>
            <w:tcW w:type="dxa" w:w="2600"/>
            <w:shd w:fill="F2F2F2" w:val="clear"/>
            <w:vAlign w:val="center"/>
          </w:tcPr>
          <w:p>
            <w:r>
              <w:rPr>
                <w:b w:val="false"/>
                <w:bCs w:val="false"/>
                <w:color w:val="000000"/>
                <w:sz w:val="18"/>
                <w:szCs w:val="18"/>
              </w:rPr>
              <w:t xml:space="preserve">Verification confirmation</w:t>
            </w:r>
          </w:p>
        </w:tc>
        <w:tc>
          <w:tcPr>
            <w:tcW w:type="dxa" w:w="6750"/>
            <w:shd w:fill="F2F2F2" w:val="clear"/>
            <w:vAlign w:val="center"/>
          </w:tcPr>
          <w:p>
            <w:r>
              <w:rPr>
                <w:b w:val="false"/>
                <w:bCs w:val="false"/>
                <w:color w:val="000000"/>
                <w:sz w:val="18"/>
                <w:szCs w:val="18"/>
              </w:rPr>
              <w:t xml:space="preserve">Confirm Section 7's verification method was executed and produced a clean (or, for WP-0003, a currently-dormant/monitoring) result, per Section 7 §4's Work Package Verification Profiles.</w:t>
            </w:r>
          </w:p>
        </w:tc>
      </w:tr>
      <w:tr>
        <w:tc>
          <w:tcPr>
            <w:tcW w:type="dxa" w:w="2600"/>
            <w:vAlign w:val="center"/>
          </w:tcPr>
          <w:p>
            <w:r>
              <w:rPr>
                <w:b w:val="false"/>
                <w:bCs w:val="false"/>
                <w:color w:val="000000"/>
                <w:sz w:val="18"/>
                <w:szCs w:val="18"/>
              </w:rPr>
              <w:t xml:space="preserve">Risk confirmation</w:t>
            </w:r>
          </w:p>
        </w:tc>
        <w:tc>
          <w:tcPr>
            <w:tcW w:type="dxa" w:w="6750"/>
            <w:vAlign w:val="center"/>
          </w:tcPr>
          <w:p>
            <w:r>
              <w:rPr>
                <w:b w:val="false"/>
                <w:bCs w:val="false"/>
                <w:color w:val="000000"/>
                <w:sz w:val="18"/>
                <w:szCs w:val="18"/>
              </w:rPr>
              <w:t xml:space="preserve">Confirm the risk Section 8 associated with the Work Package is closed, reduced, or — for monitored risks such as WP-0003's partitioning risk — remains within its accepted, monitored disposition.</w:t>
            </w:r>
          </w:p>
        </w:tc>
      </w:tr>
      <w:tr>
        <w:tc>
          <w:tcPr>
            <w:tcW w:type="dxa" w:w="2600"/>
            <w:shd w:fill="F2F2F2" w:val="clear"/>
            <w:vAlign w:val="center"/>
          </w:tcPr>
          <w:p>
            <w:r>
              <w:rPr>
                <w:b w:val="false"/>
                <w:bCs w:val="false"/>
                <w:color w:val="000000"/>
                <w:sz w:val="18"/>
                <w:szCs w:val="18"/>
              </w:rPr>
              <w:t xml:space="preserve">Acceptance decision</w:t>
            </w:r>
          </w:p>
        </w:tc>
        <w:tc>
          <w:tcPr>
            <w:tcW w:type="dxa" w:w="6750"/>
            <w:shd w:fill="F2F2F2" w:val="clear"/>
            <w:vAlign w:val="center"/>
          </w:tcPr>
          <w:p>
            <w:r>
              <w:rPr>
                <w:b w:val="false"/>
                <w:bCs w:val="false"/>
                <w:color w:val="000000"/>
                <w:sz w:val="18"/>
                <w:szCs w:val="18"/>
              </w:rPr>
              <w:t xml:space="preserve">The named Governance/Review/Approval Authority for the Work Package (Section 2 §2, field E) records a formal accept, conditionally-accept, or defer-acceptance decision, consistent with Section 6 §8's non-conformance escalation pattern where applicable.</w:t>
            </w:r>
          </w:p>
        </w:tc>
      </w:tr>
      <w:tr>
        <w:tc>
          <w:tcPr>
            <w:tcW w:type="dxa" w:w="2600"/>
            <w:vAlign w:val="center"/>
          </w:tcPr>
          <w:p>
            <w:r>
              <w:rPr>
                <w:b w:val="false"/>
                <w:bCs w:val="false"/>
                <w:color w:val="000000"/>
                <w:sz w:val="18"/>
                <w:szCs w:val="18"/>
              </w:rPr>
              <w:t xml:space="preserve">Certification update</w:t>
            </w:r>
          </w:p>
        </w:tc>
        <w:tc>
          <w:tcPr>
            <w:tcW w:type="dxa" w:w="6750"/>
            <w:vAlign w:val="center"/>
          </w:tcPr>
          <w:p>
            <w:r>
              <w:rPr>
                <w:b w:val="false"/>
                <w:bCs w:val="false"/>
                <w:color w:val="000000"/>
                <w:sz w:val="18"/>
                <w:szCs w:val="18"/>
              </w:rPr>
              <w:t xml:space="preserve">The Certification Level movement recorded in Section 6 §4 / Section 7 §4 (e.g., L3 → L4 pending) is confirmed or advanced, and the associated KPI (Phase A.3 §10) is measured and recorded.</w:t>
            </w:r>
          </w:p>
        </w:tc>
      </w:tr>
      <w:tr>
        <w:tc>
          <w:tcPr>
            <w:tcW w:type="dxa" w:w="2600"/>
            <w:shd w:fill="F2F2F2" w:val="clear"/>
            <w:vAlign w:val="center"/>
          </w:tcPr>
          <w:p>
            <w:r>
              <w:rPr>
                <w:b w:val="false"/>
                <w:bCs w:val="false"/>
                <w:color w:val="000000"/>
                <w:sz w:val="18"/>
                <w:szCs w:val="18"/>
              </w:rPr>
              <w:t xml:space="preserve">Closure</w:t>
            </w:r>
          </w:p>
        </w:tc>
        <w:tc>
          <w:tcPr>
            <w:tcW w:type="dxa" w:w="6750"/>
            <w:shd w:fill="F2F2F2" w:val="clear"/>
            <w:vAlign w:val="center"/>
          </w:tcPr>
          <w:p>
            <w:r>
              <w:rPr>
                <w:b w:val="false"/>
                <w:bCs w:val="false"/>
                <w:color w:val="000000"/>
                <w:sz w:val="18"/>
                <w:szCs w:val="18"/>
              </w:rPr>
              <w:t xml:space="preserve">The Work Package's acceptance record is filed against its Work Package identifier, and its status in the Enterprise Acceptance Matrix (§5) is updated from “Not started” to “Accepted,” “Conditionally Accepted,” or “Deferred (trigger-gated),” as applicable.</w:t>
            </w:r>
          </w:p>
        </w:tc>
      </w:tr>
    </w:tbl>
    <w:p>
      <w:pPr>
        <w:pStyle w:val="Heading1"/>
        <w:spacing w:after="200" w:before="400"/>
      </w:pPr>
      <w:r>
        <w:t xml:space="preserve">4. Work Package Acceptance Profiles</w:t>
      </w:r>
    </w:p>
    <w:p>
      <w:pPr>
        <w:spacing w:after="150"/>
      </w:pPr>
      <w:r>
        <w:rPr>
          <w:b w:val="false"/>
          <w:bCs w:val="false"/>
          <w:i w:val="false"/>
          <w:iCs w:val="false"/>
        </w:rPr>
        <w:t xml:space="preserve">Every field below reuses, without alteration, the entry, exit, and acceptance conditions already established per Work Package in Section 2 §2, the verification methods and Completion Evidence descriptions in Sections 4, 5, and 7, and the risk dispositions in Section 8. No new acceptance condition is introduced.</w:t>
      </w:r>
    </w:p>
    <w:p>
      <w:pPr>
        <w:pStyle w:val="Heading2"/>
        <w:spacing w:after="150" w:before="300"/>
      </w:pPr>
      <w:r>
        <w:t xml:space="preserve">WP-0001 — Revise EEP-01 Phase A Architecture Document to the Canonical Live-Schema Baseline</w:t>
      </w:r>
    </w:p>
    <w:p>
      <w:pPr>
        <w:spacing w:after="150"/>
      </w:pPr>
      <w:r>
        <w:rPr>
          <w:b/>
          <w:bCs/>
        </w:rPr>
        <w:t xml:space="preserve">Architecture Requirement: </w:t>
      </w:r>
      <w:r>
        <w:t xml:space="preserve">AR-0002 (Naming Governance)   </w:t>
      </w:r>
      <w:r>
        <w:rPr>
          <w:b/>
          <w:bCs/>
        </w:rPr>
        <w:t xml:space="preserve">Enterprise Governance Decision: </w:t>
      </w:r>
      <w:r>
        <w:t xml:space="preserve">EGD-0002 (Supersede, Accepted; execution = WP-0001)</w:t>
      </w:r>
    </w:p>
    <w:p>
      <w:pPr>
        <w:pStyle w:val="Heading3"/>
        <w:spacing w:after="100" w:before="200"/>
      </w:pPr>
      <w:r>
        <w:t xml:space="preserve">A. Acceptance Objective</w:t>
      </w:r>
    </w:p>
    <w:p>
      <w:pPr>
        <w:spacing w:after="150"/>
      </w:pPr>
      <w:r>
        <w:rPr>
          <w:b w:val="false"/>
          <w:bCs w:val="false"/>
          <w:i w:val="false"/>
          <w:iCs w:val="false"/>
        </w:rPr>
        <w:t xml:space="preserve">Engineering objective: Resolve the enterprise baseline's top-rated risk — documentation describing a schema that was never built (Phase A.3 §14).</w:t>
      </w:r>
    </w:p>
    <w:p>
      <w:pPr>
        <w:spacing w:after="150"/>
      </w:pPr>
      <w:r>
        <w:rPr>
          <w:b w:val="false"/>
          <w:bCs w:val="false"/>
          <w:i w:val="false"/>
          <w:iCs w:val="false"/>
        </w:rPr>
        <w:t xml:space="preserve">Expected outcome: A revised EEP-01 Phase A document describing the live public-schema student-academic table set as the canonical architecture baseline.</w:t>
      </w:r>
    </w:p>
    <w:p>
      <w:pPr>
        <w:spacing w:after="150"/>
      </w:pPr>
      <w:r>
        <w:rPr>
          <w:b w:val="false"/>
          <w:bCs w:val="false"/>
          <w:i w:val="false"/>
          <w:iCs w:val="false"/>
        </w:rPr>
        <w:t xml:space="preserve">Acceptance intent: Accept once the revised document exists and shows zero discrepancy against the live schema.</w:t>
      </w:r>
    </w:p>
    <w:p>
      <w:pPr>
        <w:pStyle w:val="Heading3"/>
        <w:spacing w:after="100" w:before="200"/>
      </w:pPr>
      <w:r>
        <w:t xml:space="preserve">B. Architecture Acceptance</w:t>
      </w:r>
    </w:p>
    <w:p>
      <w:pPr>
        <w:pStyle w:val="ListParagraph"/>
        <w:numPr>
          <w:ilvl w:val="0"/>
          <w:numId w:val="1"/>
        </w:numPr>
        <w:spacing w:after="80"/>
      </w:pPr>
      <w:r>
        <w:t xml:space="preserve">Applicable Architecture Requirement: AR-0002 (Naming Governance)</w:t>
      </w:r>
    </w:p>
    <w:p>
      <w:pPr>
        <w:pStyle w:val="ListParagraph"/>
        <w:numPr>
          <w:ilvl w:val="0"/>
          <w:numId w:val="1"/>
        </w:numPr>
        <w:spacing w:after="80"/>
      </w:pPr>
      <w:r>
        <w:t xml:space="preserve">Required architecture evidence: Zero-discrepancy table-inventory diff between the revised document and \dt public.* (Phase A.3 §7).</w:t>
      </w:r>
    </w:p>
    <w:p>
      <w:pPr>
        <w:pStyle w:val="ListParagraph"/>
        <w:numPr>
          <w:ilvl w:val="0"/>
          <w:numId w:val="1"/>
        </w:numPr>
        <w:spacing w:after="80"/>
      </w:pPr>
      <w:r>
        <w:t xml:space="preserve">Conformance condition: AR-0002 advances from Non-conformant to Certification Level L4 (Section 6 §4) upon publication and a clean diff.</w:t>
      </w:r>
    </w:p>
    <w:p>
      <w:pPr>
        <w:pStyle w:val="Heading3"/>
        <w:spacing w:after="100" w:before="200"/>
      </w:pPr>
      <w:r>
        <w:t xml:space="preserve">C. Governance Acceptance</w:t>
      </w:r>
    </w:p>
    <w:p>
      <w:pPr>
        <w:pStyle w:val="ListParagraph"/>
        <w:numPr>
          <w:ilvl w:val="0"/>
          <w:numId w:val="1"/>
        </w:numPr>
        <w:spacing w:after="80"/>
      </w:pPr>
      <w:r>
        <w:t xml:space="preserve">Applicable Enterprise Governance Decision: EGD-0002 (Supersede, Accepted; execution = WP-0001)</w:t>
      </w:r>
    </w:p>
    <w:p>
      <w:pPr>
        <w:pStyle w:val="ListParagraph"/>
        <w:numPr>
          <w:ilvl w:val="0"/>
          <w:numId w:val="1"/>
        </w:numPr>
        <w:spacing w:after="80"/>
      </w:pPr>
      <w:r>
        <w:t xml:space="preserve">Required governance evidence: EGD-0002 status updates from Accepted (execution = WP-0001) to Implemented; ER-0002 status updates from Superseded (pending execution) to Implemented.</w:t>
      </w:r>
    </w:p>
    <w:p>
      <w:pPr>
        <w:pStyle w:val="ListParagraph"/>
        <w:numPr>
          <w:ilvl w:val="0"/>
          <w:numId w:val="1"/>
        </w:numPr>
        <w:spacing w:after="80"/>
      </w:pPr>
      <w:r>
        <w:t xml:space="preserve">Required approval: Enterprise Architecture Owner (Section 2 §2, field E) — currently unassigned pending WP-0006.</w:t>
      </w:r>
    </w:p>
    <w:p>
      <w:pPr>
        <w:pStyle w:val="Heading3"/>
        <w:spacing w:after="100" w:before="200"/>
      </w:pPr>
      <w:r>
        <w:t xml:space="preserve">D. Repository Acceptance</w:t>
      </w:r>
    </w:p>
    <w:p>
      <w:pPr>
        <w:pStyle w:val="ListParagraph"/>
        <w:numPr>
          <w:ilvl w:val="0"/>
          <w:numId w:val="1"/>
        </w:numPr>
        <w:spacing w:after="80"/>
      </w:pPr>
      <w:r>
        <w:t xml:space="preserve">Documentation Repository: Primary and only repository in scope — the revised EEP-01 Phase A document (Section 3).</w:t>
      </w:r>
    </w:p>
    <w:p>
      <w:pPr>
        <w:pStyle w:val="ListParagraph"/>
        <w:numPr>
          <w:ilvl w:val="0"/>
          <w:numId w:val="1"/>
        </w:numPr>
        <w:spacing w:after="80"/>
      </w:pPr>
      <w:r>
        <w:t xml:space="preserve">Database Repository: None — no migration is in scope; VAR-02 is an approved, standing variance, not an open implementation item.</w:t>
      </w:r>
    </w:p>
    <w:p>
      <w:pPr>
        <w:pStyle w:val="ListParagraph"/>
        <w:numPr>
          <w:ilvl w:val="0"/>
          <w:numId w:val="1"/>
        </w:numPr>
        <w:spacing w:after="80"/>
      </w:pPr>
      <w:r>
        <w:t xml:space="preserve">Test Repository: Table-inventory diff evidence, filed per Section 7's documentation-verification category.</w:t>
      </w:r>
    </w:p>
    <w:p>
      <w:pPr>
        <w:pStyle w:val="Heading3"/>
        <w:spacing w:after="100" w:before="200"/>
      </w:pPr>
      <w:r>
        <w:t xml:space="preserve">E. Engineering Acceptance</w:t>
      </w:r>
    </w:p>
    <w:p>
      <w:pPr>
        <w:pStyle w:val="ListParagraph"/>
        <w:numPr>
          <w:ilvl w:val="0"/>
          <w:numId w:val="1"/>
        </w:numPr>
        <w:spacing w:after="80"/>
      </w:pPr>
      <w:r>
        <w:t xml:space="preserve">Engineering Design completed: Complete per Section 4 — not yet executed.</w:t>
      </w:r>
    </w:p>
    <w:p>
      <w:pPr>
        <w:pStyle w:val="ListParagraph"/>
        <w:numPr>
          <w:ilvl w:val="0"/>
          <w:numId w:val="1"/>
        </w:numPr>
        <w:spacing w:after="80"/>
      </w:pPr>
      <w:r>
        <w:t xml:space="preserve">Implementation completed: Not started (Phase B §12) — 0 of 6 Work Packages executed as of this baseline.</w:t>
      </w:r>
    </w:p>
    <w:p>
      <w:pPr>
        <w:pStyle w:val="ListParagraph"/>
        <w:numPr>
          <w:ilvl w:val="0"/>
          <w:numId w:val="1"/>
        </w:numPr>
        <w:spacing w:after="80"/>
      </w:pPr>
      <w:r>
        <w:t xml:space="preserve">Verification completed: Method defined (table-inventory diff, manual) per Section 7 §4; not yet executed.</w:t>
      </w:r>
    </w:p>
    <w:p>
      <w:pPr>
        <w:pStyle w:val="ListParagraph"/>
        <w:numPr>
          <w:ilvl w:val="0"/>
          <w:numId w:val="1"/>
        </w:numPr>
        <w:spacing w:after="80"/>
      </w:pPr>
      <w:r>
        <w:t xml:space="preserve">Risk mitigation completed: Documentation/maintainability risk rated High in Phase A.1 §13 is mitigated directly on acceptance of this Work Package (Section 8).</w:t>
      </w:r>
    </w:p>
    <w:p>
      <w:pPr>
        <w:pStyle w:val="Heading3"/>
        <w:spacing w:after="100" w:before="200"/>
      </w:pPr>
      <w:r>
        <w:t xml:space="preserve">F. Acceptance Evidence</w:t>
      </w:r>
    </w:p>
    <w:p>
      <w:pPr>
        <w:pStyle w:val="ListParagraph"/>
        <w:numPr>
          <w:ilvl w:val="0"/>
          <w:numId w:val="1"/>
        </w:numPr>
        <w:spacing w:after="80"/>
      </w:pPr>
      <w:r>
        <w:t xml:space="preserve">Published, revised EEP-01 Phase A document.</w:t>
      </w:r>
    </w:p>
    <w:p>
      <w:pPr>
        <w:pStyle w:val="ListParagraph"/>
        <w:numPr>
          <w:ilvl w:val="0"/>
          <w:numId w:val="1"/>
        </w:numPr>
        <w:spacing w:after="80"/>
      </w:pPr>
      <w:r>
        <w:t xml:space="preserve">Zero-discrepancy table-inventory diff report.</w:t>
      </w:r>
    </w:p>
    <w:p>
      <w:pPr>
        <w:pStyle w:val="ListParagraph"/>
        <w:numPr>
          <w:ilvl w:val="0"/>
          <w:numId w:val="1"/>
        </w:numPr>
        <w:spacing w:after="80"/>
      </w:pPr>
      <w:r>
        <w:t xml:space="preserve">KPI-02 (Documentation Accuracy %) measurement = 100.</w:t>
      </w:r>
    </w:p>
    <w:p>
      <w:pPr>
        <w:pStyle w:val="ListParagraph"/>
        <w:numPr>
          <w:ilvl w:val="0"/>
          <w:numId w:val="1"/>
        </w:numPr>
        <w:spacing w:after="80"/>
      </w:pPr>
      <w:r>
        <w:t xml:space="preserve">VAR-02 one-time review closure record (Phase A.3 §6).</w:t>
      </w:r>
    </w:p>
    <w:p>
      <w:pPr>
        <w:pStyle w:val="Heading3"/>
        <w:spacing w:after="100" w:before="200"/>
      </w:pPr>
      <w:r>
        <w:t xml:space="preserve">G. Acceptance Exceptions</w:t>
      </w:r>
    </w:p>
    <w:p>
      <w:pPr>
        <w:pStyle w:val="ListParagraph"/>
        <w:numPr>
          <w:ilvl w:val="0"/>
          <w:numId w:val="1"/>
        </w:numPr>
        <w:spacing w:after="80"/>
      </w:pPr>
      <w:r>
        <w:t xml:space="preserve">Not Evidenced in Current Baseline: a defined acceptance authority distinct from the Enterprise Architecture Owner role.</w:t>
      </w:r>
    </w:p>
    <w:p>
      <w:pPr>
        <w:pStyle w:val="ListParagraph"/>
        <w:numPr>
          <w:ilvl w:val="0"/>
          <w:numId w:val="1"/>
        </w:numPr>
        <w:spacing w:after="80"/>
      </w:pPr>
      <w:r>
        <w:t xml:space="preserve">Conditional acceptance is not applicable to this Work Package — the completion criterion (zero discrepancy) is binary.</w:t>
      </w:r>
    </w:p>
    <w:p>
      <w:pPr>
        <w:pStyle w:val="Heading3"/>
        <w:spacing w:after="100" w:before="200"/>
      </w:pPr>
      <w:r>
        <w:t xml:space="preserve">H. Acceptance Completion Criteria</w:t>
      </w:r>
    </w:p>
    <w:p>
      <w:pPr>
        <w:pStyle w:val="ListParagraph"/>
        <w:numPr>
          <w:ilvl w:val="0"/>
          <w:numId w:val="1"/>
        </w:numPr>
        <w:spacing w:after="80"/>
      </w:pPr>
      <w:r>
        <w:t xml:space="preserve">KPI-02 Documentation Accuracy % = 100.</w:t>
      </w:r>
    </w:p>
    <w:p>
      <w:pPr>
        <w:pStyle w:val="ListParagraph"/>
        <w:numPr>
          <w:ilvl w:val="0"/>
          <w:numId w:val="1"/>
        </w:numPr>
        <w:spacing w:after="80"/>
      </w:pPr>
      <w:r>
        <w:t xml:space="preserve">AR-0002 traceability status advances to Certification Level L4.</w:t>
      </w:r>
    </w:p>
    <w:p>
      <w:pPr>
        <w:pStyle w:val="ListParagraph"/>
        <w:numPr>
          <w:ilvl w:val="0"/>
          <w:numId w:val="1"/>
        </w:numPr>
        <w:spacing w:after="80"/>
      </w:pPr>
      <w:r>
        <w:t xml:space="preserve">Zero unresolved table-naming discrepancies between the document and the live schema.</w:t>
      </w:r>
    </w:p>
    <w:p>
      <w:pPr>
        <w:pStyle w:val="Heading2"/>
        <w:spacing w:after="150" w:before="300"/>
      </w:pPr>
      <w:r>
        <w:t xml:space="preserve">WP-0002 — Verify Row-Level Security Coverage on Student-Owned Tables</w:t>
      </w:r>
    </w:p>
    <w:p>
      <w:pPr>
        <w:spacing w:after="150"/>
      </w:pPr>
      <w:r>
        <w:rPr>
          <w:b/>
          <w:bCs/>
        </w:rPr>
        <w:t xml:space="preserve">Architecture Requirement: </w:t>
      </w:r>
      <w:r>
        <w:t xml:space="preserve">AR-0007 (Security)   </w:t>
      </w:r>
      <w:r>
        <w:rPr>
          <w:b/>
          <w:bCs/>
        </w:rPr>
        <w:t xml:space="preserve">Enterprise Governance Decision: </w:t>
      </w:r>
      <w:r>
        <w:t xml:space="preserve">EGD-0007 (Realize, Accepted, in progress = WP-0002)</w:t>
      </w:r>
    </w:p>
    <w:p>
      <w:pPr>
        <w:pStyle w:val="Heading3"/>
        <w:spacing w:after="100" w:before="200"/>
      </w:pPr>
      <w:r>
        <w:t xml:space="preserve">A. Acceptance Objective</w:t>
      </w:r>
    </w:p>
    <w:p>
      <w:pPr>
        <w:spacing w:after="150"/>
      </w:pPr>
      <w:r>
        <w:rPr>
          <w:b w:val="false"/>
          <w:bCs w:val="false"/>
          <w:i w:val="false"/>
          <w:iCs w:val="false"/>
        </w:rPr>
        <w:t xml:space="preserve">Engineering objective: Close the one confirmed, Critical-until-verified security gap in the enterprise baseline (Phase A.1 §8; Phase A.2 §8).</w:t>
      </w:r>
    </w:p>
    <w:p>
      <w:pPr>
        <w:spacing w:after="150"/>
      </w:pPr>
      <w:r>
        <w:rPr>
          <w:b w:val="false"/>
          <w:bCs w:val="false"/>
          <w:i w:val="false"/>
          <w:iCs w:val="false"/>
        </w:rPr>
        <w:t xml:space="preserve">Expected outcome: Written RLS status and policy-list confirmation for every student-owned table.</w:t>
      </w:r>
    </w:p>
    <w:p>
      <w:pPr>
        <w:spacing w:after="150"/>
      </w:pPr>
      <w:r>
        <w:rPr>
          <w:b w:val="false"/>
          <w:bCs w:val="false"/>
          <w:i w:val="false"/>
          <w:iCs w:val="false"/>
        </w:rPr>
        <w:t xml:space="preserve">Acceptance intent: Accept once written, per-table RLS confirmation exists for all four named table groups.</w:t>
      </w:r>
    </w:p>
    <w:p>
      <w:pPr>
        <w:pStyle w:val="Heading3"/>
        <w:spacing w:after="100" w:before="200"/>
      </w:pPr>
      <w:r>
        <w:t xml:space="preserve">B. Architecture Acceptance</w:t>
      </w:r>
    </w:p>
    <w:p>
      <w:pPr>
        <w:pStyle w:val="ListParagraph"/>
        <w:numPr>
          <w:ilvl w:val="0"/>
          <w:numId w:val="1"/>
        </w:numPr>
        <w:spacing w:after="80"/>
      </w:pPr>
      <w:r>
        <w:t xml:space="preserve">Applicable Architecture Requirement: AR-0007 (Security)</w:t>
      </w:r>
    </w:p>
    <w:p>
      <w:pPr>
        <w:pStyle w:val="ListParagraph"/>
        <w:numPr>
          <w:ilvl w:val="0"/>
          <w:numId w:val="1"/>
        </w:numPr>
        <w:spacing w:after="80"/>
      </w:pPr>
      <w:r>
        <w:t xml:space="preserve">Required architecture evidence: Query-based verification producing a per-table verification ledger (Section 7 §4).</w:t>
      </w:r>
    </w:p>
    <w:p>
      <w:pPr>
        <w:pStyle w:val="ListParagraph"/>
        <w:numPr>
          <w:ilvl w:val="0"/>
          <w:numId w:val="1"/>
        </w:numPr>
        <w:spacing w:after="80"/>
      </w:pPr>
      <w:r>
        <w:t xml:space="preserve">Conformance condition: AR-0007 advances from “Partially conformant, partially unverified” to Certification Level L4 (Section 6 §4) upon complete, written confirmation.</w:t>
      </w:r>
    </w:p>
    <w:p>
      <w:pPr>
        <w:pStyle w:val="Heading3"/>
        <w:spacing w:after="100" w:before="200"/>
      </w:pPr>
      <w:r>
        <w:t xml:space="preserve">C. Governance Acceptance</w:t>
      </w:r>
    </w:p>
    <w:p>
      <w:pPr>
        <w:pStyle w:val="ListParagraph"/>
        <w:numPr>
          <w:ilvl w:val="0"/>
          <w:numId w:val="1"/>
        </w:numPr>
        <w:spacing w:after="80"/>
      </w:pPr>
      <w:r>
        <w:t xml:space="preserve">Applicable Enterprise Governance Decision: EGD-0007 (Realize, Accepted, in progress = WP-0002)</w:t>
      </w:r>
    </w:p>
    <w:p>
      <w:pPr>
        <w:pStyle w:val="ListParagraph"/>
        <w:numPr>
          <w:ilvl w:val="0"/>
          <w:numId w:val="1"/>
        </w:numPr>
        <w:spacing w:after="80"/>
      </w:pPr>
      <w:r>
        <w:t xml:space="preserve">Required governance evidence: EGD-0007 status updates from Accepted (in progress) to Implemented; ER-0007 status updates from Planned to Implemented.</w:t>
      </w:r>
    </w:p>
    <w:p>
      <w:pPr>
        <w:pStyle w:val="ListParagraph"/>
        <w:numPr>
          <w:ilvl w:val="0"/>
          <w:numId w:val="1"/>
        </w:numPr>
        <w:spacing w:after="80"/>
      </w:pPr>
      <w:r>
        <w:t xml:space="preserve">Required approval: Security/Platform Engineer (Section 2 §2, field E) — currently unassigned pending WP-0006.</w:t>
      </w:r>
    </w:p>
    <w:p>
      <w:pPr>
        <w:pStyle w:val="Heading3"/>
        <w:spacing w:after="100" w:before="200"/>
      </w:pPr>
      <w:r>
        <w:t xml:space="preserve">D. Repository Acceptance</w:t>
      </w:r>
    </w:p>
    <w:p>
      <w:pPr>
        <w:pStyle w:val="ListParagraph"/>
        <w:numPr>
          <w:ilvl w:val="0"/>
          <w:numId w:val="1"/>
        </w:numPr>
        <w:spacing w:after="80"/>
      </w:pPr>
      <w:r>
        <w:t xml:space="preserve">Documentation Repository: Written RLS status and policy list (Section 3).</w:t>
      </w:r>
    </w:p>
    <w:p>
      <w:pPr>
        <w:pStyle w:val="ListParagraph"/>
        <w:numPr>
          <w:ilvl w:val="0"/>
          <w:numId w:val="1"/>
        </w:numPr>
        <w:spacing w:after="80"/>
      </w:pPr>
      <w:r>
        <w:t xml:space="preserve">Database Repository: RLS policy definitions on student_activities, student_cognitive_responses, student_signal_vectors, and related tables; a corrective policy change only as contingency if a gap is confirmed (Phase B §10).</w:t>
      </w:r>
    </w:p>
    <w:p>
      <w:pPr>
        <w:pStyle w:val="ListParagraph"/>
        <w:numPr>
          <w:ilvl w:val="0"/>
          <w:numId w:val="1"/>
        </w:numPr>
        <w:spacing w:after="80"/>
      </w:pPr>
      <w:r>
        <w:t xml:space="preserve">Test Repository: Query-based verification evidence, the adopted template for future Realize-class verification (Section 1 §7).</w:t>
      </w:r>
    </w:p>
    <w:p>
      <w:pPr>
        <w:pStyle w:val="Heading3"/>
        <w:spacing w:after="100" w:before="200"/>
      </w:pPr>
      <w:r>
        <w:t xml:space="preserve">E. Engineering Acceptance</w:t>
      </w:r>
    </w:p>
    <w:p>
      <w:pPr>
        <w:pStyle w:val="ListParagraph"/>
        <w:numPr>
          <w:ilvl w:val="0"/>
          <w:numId w:val="1"/>
        </w:numPr>
        <w:spacing w:after="80"/>
      </w:pPr>
      <w:r>
        <w:t xml:space="preserve">Engineering Design completed: Complete per Section 4 — not yet executed.</w:t>
      </w:r>
    </w:p>
    <w:p>
      <w:pPr>
        <w:pStyle w:val="ListParagraph"/>
        <w:numPr>
          <w:ilvl w:val="0"/>
          <w:numId w:val="1"/>
        </w:numPr>
        <w:spacing w:after="80"/>
      </w:pPr>
      <w:r>
        <w:t xml:space="preserve">Implementation completed: Not started (Phase B §12).</w:t>
      </w:r>
    </w:p>
    <w:p>
      <w:pPr>
        <w:pStyle w:val="ListParagraph"/>
        <w:numPr>
          <w:ilvl w:val="0"/>
          <w:numId w:val="1"/>
        </w:numPr>
        <w:spacing w:after="80"/>
      </w:pPr>
      <w:r>
        <w:t xml:space="preserve">Verification completed: Method fully specified and immediately executable per Section 7 §4; not yet executed.</w:t>
      </w:r>
    </w:p>
    <w:p>
      <w:pPr>
        <w:pStyle w:val="ListParagraph"/>
        <w:numPr>
          <w:ilvl w:val="0"/>
          <w:numId w:val="1"/>
        </w:numPr>
        <w:spacing w:after="80"/>
      </w:pPr>
      <w:r>
        <w:t xml:space="preserve">Risk mitigation completed: High-if-confirmed security risk (Section 8) closes on written confirmation; KPI-09's single Critical technical-debt item reduces to 0 on completion.</w:t>
      </w:r>
    </w:p>
    <w:p>
      <w:pPr>
        <w:pStyle w:val="Heading3"/>
        <w:spacing w:after="100" w:before="200"/>
      </w:pPr>
      <w:r>
        <w:t xml:space="preserve">F. Acceptance Evidence</w:t>
      </w:r>
    </w:p>
    <w:p>
      <w:pPr>
        <w:pStyle w:val="ListParagraph"/>
        <w:numPr>
          <w:ilvl w:val="0"/>
          <w:numId w:val="1"/>
        </w:numPr>
        <w:spacing w:after="80"/>
      </w:pPr>
      <w:r>
        <w:t xml:space="preserve">Written RLS status and policy list for every student-owned table.</w:t>
      </w:r>
    </w:p>
    <w:p>
      <w:pPr>
        <w:pStyle w:val="ListParagraph"/>
        <w:numPr>
          <w:ilvl w:val="0"/>
          <w:numId w:val="1"/>
        </w:numPr>
        <w:spacing w:after="80"/>
      </w:pPr>
      <w:r>
        <w:t xml:space="preserve">Per-table verification ledger (query-based).</w:t>
      </w:r>
    </w:p>
    <w:p>
      <w:pPr>
        <w:pStyle w:val="ListParagraph"/>
        <w:numPr>
          <w:ilvl w:val="0"/>
          <w:numId w:val="1"/>
        </w:numPr>
        <w:spacing w:after="80"/>
      </w:pPr>
      <w:r>
        <w:t xml:space="preserve">KPI-06 (RLS Coverage %) measurement = 100% confirmed.</w:t>
      </w:r>
    </w:p>
    <w:p>
      <w:pPr>
        <w:pStyle w:val="ListParagraph"/>
        <w:numPr>
          <w:ilvl w:val="0"/>
          <w:numId w:val="1"/>
        </w:numPr>
        <w:spacing w:after="80"/>
      </w:pPr>
      <w:r>
        <w:t xml:space="preserve">KPI-09 Critical technical-debt class reduces from 1 to 0.</w:t>
      </w:r>
    </w:p>
    <w:p>
      <w:pPr>
        <w:pStyle w:val="Heading3"/>
        <w:spacing w:after="100" w:before="200"/>
      </w:pPr>
      <w:r>
        <w:t xml:space="preserve">G. Acceptance Exceptions</w:t>
      </w:r>
    </w:p>
    <w:p>
      <w:pPr>
        <w:pStyle w:val="ListParagraph"/>
        <w:numPr>
          <w:ilvl w:val="0"/>
          <w:numId w:val="1"/>
        </w:numPr>
        <w:spacing w:after="80"/>
      </w:pPr>
      <w:r>
        <w:t xml:space="preserve">Not Evidenced in Current Baseline: RLS coverage is not yet confirmed on student_activities, student_cognitive_responses, or student_signal_vectors as of this document — confirmed only on student_academic_records and student_academic_subjects (Phase A.1 §8).</w:t>
      </w:r>
    </w:p>
    <w:p>
      <w:pPr>
        <w:pStyle w:val="ListParagraph"/>
        <w:numPr>
          <w:ilvl w:val="0"/>
          <w:numId w:val="1"/>
        </w:numPr>
        <w:spacing w:after="80"/>
      </w:pPr>
      <w:r>
        <w:t xml:space="preserve">If a gap is found, Section 6 §8's pre-approved contingency (apply the proven RLS pattern without delay) applies before acceptance can be recorded — acceptance is deferred, not conditionally granted, until the corrective policy is verified.</w:t>
      </w:r>
    </w:p>
    <w:p>
      <w:pPr>
        <w:pStyle w:val="Heading3"/>
        <w:spacing w:after="100" w:before="200"/>
      </w:pPr>
      <w:r>
        <w:t xml:space="preserve">H. Acceptance Completion Criteria</w:t>
      </w:r>
    </w:p>
    <w:p>
      <w:pPr>
        <w:pStyle w:val="ListParagraph"/>
        <w:numPr>
          <w:ilvl w:val="0"/>
          <w:numId w:val="1"/>
        </w:numPr>
        <w:spacing w:after="80"/>
      </w:pPr>
      <w:r>
        <w:t xml:space="preserve">KPI-06 RLS Coverage % = 100% confirmed.</w:t>
      </w:r>
    </w:p>
    <w:p>
      <w:pPr>
        <w:pStyle w:val="ListParagraph"/>
        <w:numPr>
          <w:ilvl w:val="0"/>
          <w:numId w:val="1"/>
        </w:numPr>
        <w:spacing w:after="80"/>
      </w:pPr>
      <w:r>
        <w:t xml:space="preserve">AR-0007 traceability status advances to Certification Level L4 (pending written confirmation).</w:t>
      </w:r>
    </w:p>
    <w:p>
      <w:pPr>
        <w:pStyle w:val="ListParagraph"/>
        <w:numPr>
          <w:ilvl w:val="0"/>
          <w:numId w:val="1"/>
        </w:numPr>
        <w:spacing w:after="80"/>
      </w:pPr>
      <w:r>
        <w:t xml:space="preserve">KPI-09 Critical technical-debt class reduces from 1 to 0.</w:t>
      </w:r>
    </w:p>
    <w:p>
      <w:pPr>
        <w:pStyle w:val="ListParagraph"/>
        <w:numPr>
          <w:ilvl w:val="0"/>
          <w:numId w:val="1"/>
        </w:numPr>
        <w:spacing w:after="80"/>
      </w:pPr>
      <w:r>
        <w:t xml:space="preserve">Zero unverified student-owned tables remaining.</w:t>
      </w:r>
    </w:p>
    <w:p>
      <w:pPr>
        <w:pStyle w:val="Heading2"/>
        <w:spacing w:after="150" w:before="300"/>
      </w:pPr>
      <w:r>
        <w:t xml:space="preserve">WP-0003 — Partitioning Assessment and Plan for High-Growth Tables</w:t>
      </w:r>
    </w:p>
    <w:p>
      <w:pPr>
        <w:spacing w:after="150"/>
      </w:pPr>
      <w:r>
        <w:rPr>
          <w:b/>
          <w:bCs/>
        </w:rPr>
        <w:t xml:space="preserve">Architecture Requirement: </w:t>
      </w:r>
      <w:r>
        <w:t xml:space="preserve">AR-0004 (Performance/Scalability)   </w:t>
      </w:r>
      <w:r>
        <w:rPr>
          <w:b/>
          <w:bCs/>
        </w:rPr>
        <w:t xml:space="preserve">Enterprise Governance Decision: </w:t>
      </w:r>
      <w:r>
        <w:t xml:space="preserve">EGD-0004 (Defer, Deferred)</w:t>
      </w:r>
    </w:p>
    <w:p>
      <w:pPr>
        <w:pStyle w:val="Heading3"/>
        <w:spacing w:after="100" w:before="200"/>
      </w:pPr>
      <w:r>
        <w:t xml:space="preserve">A. Acceptance Objective</w:t>
      </w:r>
    </w:p>
    <w:p>
      <w:pPr>
        <w:spacing w:after="150"/>
      </w:pPr>
      <w:r>
        <w:rPr>
          <w:b w:val="false"/>
          <w:bCs w:val="false"/>
          <w:i w:val="false"/>
          <w:iCs w:val="false"/>
        </w:rPr>
        <w:t xml:space="preserve">Engineering objective: Preserve a correctly-deferred item as monitored, not neglected, per AP-008.</w:t>
      </w:r>
    </w:p>
    <w:p>
      <w:pPr>
        <w:spacing w:after="150"/>
      </w:pPr>
      <w:r>
        <w:rPr>
          <w:b w:val="false"/>
          <w:bCs w:val="false"/>
          <w:i w:val="false"/>
          <w:iCs w:val="false"/>
        </w:rPr>
        <w:t xml:space="preserve">Expected outcome: A partitioning assessment and plan, produced only once the EGD-0004 trigger fires; a migration only if the assessment recommends one.</w:t>
      </w:r>
    </w:p>
    <w:p>
      <w:pPr>
        <w:spacing w:after="150"/>
      </w:pPr>
      <w:r>
        <w:rPr>
          <w:b w:val="false"/>
          <w:bCs w:val="false"/>
          <w:i w:val="false"/>
          <w:iCs w:val="false"/>
        </w:rPr>
        <w:t xml:space="preserve">Acceptance intent: Standing acceptance at Certification Level L3 is already met by virtue of trigger-based monitoring being in place; full (L4) acceptance is Reserved for Future Realization Phases until the trigger fires.</w:t>
      </w:r>
    </w:p>
    <w:p>
      <w:pPr>
        <w:pStyle w:val="Heading3"/>
        <w:spacing w:after="100" w:before="200"/>
      </w:pPr>
      <w:r>
        <w:t xml:space="preserve">B. Architecture Acceptance</w:t>
      </w:r>
    </w:p>
    <w:p>
      <w:pPr>
        <w:pStyle w:val="ListParagraph"/>
        <w:numPr>
          <w:ilvl w:val="0"/>
          <w:numId w:val="1"/>
        </w:numPr>
        <w:spacing w:after="80"/>
      </w:pPr>
      <w:r>
        <w:t xml:space="preserve">Applicable Architecture Requirement: AR-0004 (Performance/Scalability)</w:t>
      </w:r>
    </w:p>
    <w:p>
      <w:pPr>
        <w:pStyle w:val="ListParagraph"/>
        <w:numPr>
          <w:ilvl w:val="0"/>
          <w:numId w:val="1"/>
        </w:numPr>
        <w:spacing w:after="80"/>
      </w:pPr>
      <w:r>
        <w:t xml:space="preserve">Required architecture evidence: Quarterly row-count/latency check evidence against the EGD-0004 trigger thresholds (10M rows, latency degradation, or a 10-downstream-system scale target).</w:t>
      </w:r>
    </w:p>
    <w:p>
      <w:pPr>
        <w:pStyle w:val="ListParagraph"/>
        <w:numPr>
          <w:ilvl w:val="0"/>
          <w:numId w:val="1"/>
        </w:numPr>
        <w:spacing w:after="80"/>
      </w:pPr>
      <w:r>
        <w:t xml:space="preserve">Conformance condition: AR-0004 remains at Certification Level L3 (standing) until the trigger fires; L4 is Reserved for Future Realization Phases, conditional on the trigger.</w:t>
      </w:r>
    </w:p>
    <w:p>
      <w:pPr>
        <w:pStyle w:val="Heading3"/>
        <w:spacing w:after="100" w:before="200"/>
      </w:pPr>
      <w:r>
        <w:t xml:space="preserve">C. Governance Acceptance</w:t>
      </w:r>
    </w:p>
    <w:p>
      <w:pPr>
        <w:pStyle w:val="ListParagraph"/>
        <w:numPr>
          <w:ilvl w:val="0"/>
          <w:numId w:val="1"/>
        </w:numPr>
        <w:spacing w:after="80"/>
      </w:pPr>
      <w:r>
        <w:t xml:space="preserve">Applicable Enterprise Governance Decision: EGD-0004 (Defer, Deferred)</w:t>
      </w:r>
    </w:p>
    <w:p>
      <w:pPr>
        <w:pStyle w:val="ListParagraph"/>
        <w:numPr>
          <w:ilvl w:val="0"/>
          <w:numId w:val="1"/>
        </w:numPr>
        <w:spacing w:after="80"/>
      </w:pPr>
      <w:r>
        <w:t xml:space="preserve">Required governance evidence: EGD-0004 remains Deferred; no status change is expected or required unless the trigger fires.</w:t>
      </w:r>
    </w:p>
    <w:p>
      <w:pPr>
        <w:pStyle w:val="ListParagraph"/>
        <w:numPr>
          <w:ilvl w:val="0"/>
          <w:numId w:val="1"/>
        </w:numPr>
        <w:spacing w:after="80"/>
      </w:pPr>
      <w:r>
        <w:t xml:space="preserve">Required approval: Platform Engineering Lead (Section 2 §2, field E) — currently unassigned pending WP-0006.</w:t>
      </w:r>
    </w:p>
    <w:p>
      <w:pPr>
        <w:pStyle w:val="Heading3"/>
        <w:spacing w:after="100" w:before="200"/>
      </w:pPr>
      <w:r>
        <w:t xml:space="preserve">D. Repository Acceptance</w:t>
      </w:r>
    </w:p>
    <w:p>
      <w:pPr>
        <w:pStyle w:val="ListParagraph"/>
        <w:numPr>
          <w:ilvl w:val="0"/>
          <w:numId w:val="1"/>
        </w:numPr>
        <w:spacing w:after="80"/>
      </w:pPr>
      <w:r>
        <w:t xml:space="preserve">Documentation Repository: Partitioning assessment report (produced only once triggered).</w:t>
      </w:r>
    </w:p>
    <w:p>
      <w:pPr>
        <w:pStyle w:val="ListParagraph"/>
        <w:numPr>
          <w:ilvl w:val="0"/>
          <w:numId w:val="1"/>
        </w:numPr>
        <w:spacing w:after="80"/>
      </w:pPr>
      <w:r>
        <w:t xml:space="preserve">Database Repository: Not Applicable in current baseline scope — conditional native partitioning migration only once EGD-0004's trigger fires.</w:t>
      </w:r>
    </w:p>
    <w:p>
      <w:pPr>
        <w:pStyle w:val="ListParagraph"/>
        <w:numPr>
          <w:ilvl w:val="0"/>
          <w:numId w:val="1"/>
        </w:numPr>
        <w:spacing w:after="80"/>
      </w:pPr>
      <w:r>
        <w:t xml:space="preserve">Test Repository: Quarterly row-count/latency check output.</w:t>
      </w:r>
    </w:p>
    <w:p>
      <w:pPr>
        <w:pStyle w:val="Heading3"/>
        <w:spacing w:after="100" w:before="200"/>
      </w:pPr>
      <w:r>
        <w:t xml:space="preserve">E. Engineering Acceptance</w:t>
      </w:r>
    </w:p>
    <w:p>
      <w:pPr>
        <w:pStyle w:val="ListParagraph"/>
        <w:numPr>
          <w:ilvl w:val="0"/>
          <w:numId w:val="1"/>
        </w:numPr>
        <w:spacing w:after="80"/>
      </w:pPr>
      <w:r>
        <w:t xml:space="preserve">Engineering Design completed: Complete per Section 4 for the monitoring activity; the migration design itself is Reserved for Future Realization Phases, conditional on the trigger.</w:t>
      </w:r>
    </w:p>
    <w:p>
      <w:pPr>
        <w:pStyle w:val="ListParagraph"/>
        <w:numPr>
          <w:ilvl w:val="0"/>
          <w:numId w:val="1"/>
        </w:numPr>
        <w:spacing w:after="80"/>
      </w:pPr>
      <w:r>
        <w:t xml:space="preserve">Implementation completed: Not started; trigger not yet fired (Phase A.3 §1.8).</w:t>
      </w:r>
    </w:p>
    <w:p>
      <w:pPr>
        <w:pStyle w:val="ListParagraph"/>
        <w:numPr>
          <w:ilvl w:val="0"/>
          <w:numId w:val="1"/>
        </w:numPr>
        <w:spacing w:after="80"/>
      </w:pPr>
      <w:r>
        <w:t xml:space="preserve">Verification completed: Dormant by design (AP-008) — quarterly check not yet due to run against a fired trigger.</w:t>
      </w:r>
    </w:p>
    <w:p>
      <w:pPr>
        <w:pStyle w:val="ListParagraph"/>
        <w:numPr>
          <w:ilvl w:val="0"/>
          <w:numId w:val="1"/>
        </w:numPr>
        <w:spacing w:after="80"/>
      </w:pPr>
      <w:r>
        <w:t xml:space="preserve">Risk mitigation completed: Medium, growing over time (Section 8) — accepted as a monitored, standing risk, not an open acceptance blocker.</w:t>
      </w:r>
    </w:p>
    <w:p>
      <w:pPr>
        <w:pStyle w:val="Heading3"/>
        <w:spacing w:after="100" w:before="200"/>
      </w:pPr>
      <w:r>
        <w:t xml:space="preserve">F. Acceptance Evidence</w:t>
      </w:r>
    </w:p>
    <w:p>
      <w:pPr>
        <w:pStyle w:val="ListParagraph"/>
        <w:numPr>
          <w:ilvl w:val="0"/>
          <w:numId w:val="1"/>
        </w:numPr>
        <w:spacing w:after="80"/>
      </w:pPr>
      <w:r>
        <w:t xml:space="preserve">Quarterly monitoring evidence exists and is current.</w:t>
      </w:r>
    </w:p>
    <w:p>
      <w:pPr>
        <w:pStyle w:val="ListParagraph"/>
        <w:numPr>
          <w:ilvl w:val="0"/>
          <w:numId w:val="1"/>
        </w:numPr>
        <w:spacing w:after="80"/>
      </w:pPr>
      <w:r>
        <w:t xml:space="preserve">VAR-04 quarterly review record (Phase A.3 §6).</w:t>
      </w:r>
    </w:p>
    <w:p>
      <w:pPr>
        <w:pStyle w:val="Heading3"/>
        <w:spacing w:after="100" w:before="200"/>
      </w:pPr>
      <w:r>
        <w:t xml:space="preserve">G. Acceptance Exceptions</w:t>
      </w:r>
    </w:p>
    <w:p>
      <w:pPr>
        <w:pStyle w:val="ListParagraph"/>
        <w:numPr>
          <w:ilvl w:val="0"/>
          <w:numId w:val="1"/>
        </w:numPr>
        <w:spacing w:after="80"/>
      </w:pPr>
      <w:r>
        <w:t xml:space="preserve">Reserved for Future Realization Phases: the partitioning migration and its acceptance criteria apply only once EGD-0004's trigger fires; no acceptance decision on the migration itself can be made in the current baseline.</w:t>
      </w:r>
    </w:p>
    <w:p>
      <w:pPr>
        <w:pStyle w:val="ListParagraph"/>
        <w:numPr>
          <w:ilvl w:val="0"/>
          <w:numId w:val="1"/>
        </w:numPr>
        <w:spacing w:after="80"/>
      </w:pPr>
      <w:r>
        <w:t xml:space="preserve">Not Evidenced in Current Baseline: current row-count/growth data required to evaluate the trigger has not yet been gathered (Phase A.3 §8).</w:t>
      </w:r>
    </w:p>
    <w:p>
      <w:pPr>
        <w:pStyle w:val="Heading3"/>
        <w:spacing w:after="100" w:before="200"/>
      </w:pPr>
      <w:r>
        <w:t xml:space="preserve">H. Acceptance Completion Criteria</w:t>
      </w:r>
    </w:p>
    <w:p>
      <w:pPr>
        <w:pStyle w:val="ListParagraph"/>
        <w:numPr>
          <w:ilvl w:val="0"/>
          <w:numId w:val="1"/>
        </w:numPr>
        <w:spacing w:after="80"/>
      </w:pPr>
      <w:r>
        <w:t xml:space="preserve">Quarterly monitoring evidence exists and is current.</w:t>
      </w:r>
    </w:p>
    <w:p>
      <w:pPr>
        <w:pStyle w:val="ListParagraph"/>
        <w:numPr>
          <w:ilvl w:val="0"/>
          <w:numId w:val="1"/>
        </w:numPr>
        <w:spacing w:after="80"/>
      </w:pPr>
      <w:r>
        <w:t xml:space="preserve">If triggered, the migration meets the AR-0010 standard with zero rollback failures.</w:t>
      </w:r>
    </w:p>
    <w:p>
      <w:pPr>
        <w:pStyle w:val="ListParagraph"/>
        <w:numPr>
          <w:ilvl w:val="0"/>
          <w:numId w:val="1"/>
        </w:numPr>
        <w:spacing w:after="80"/>
      </w:pPr>
      <w:r>
        <w:t xml:space="preserve">Row count is measured against the 10M threshold, and downstream-system count against the 10-system threshold, at each quarterly review.</w:t>
      </w:r>
    </w:p>
    <w:p>
      <w:pPr>
        <w:pStyle w:val="Heading2"/>
        <w:spacing w:after="150" w:before="300"/>
      </w:pPr>
      <w:r>
        <w:t xml:space="preserve">WP-0004 — Document the Accepted Direct-FK Taxonomy Pattern and Establish a Per-Release Denormalization Check</w:t>
      </w:r>
    </w:p>
    <w:p>
      <w:pPr>
        <w:spacing w:after="150"/>
      </w:pPr>
      <w:r>
        <w:rPr>
          <w:b/>
          <w:bCs/>
        </w:rPr>
        <w:t xml:space="preserve">Architecture Requirement: </w:t>
      </w:r>
      <w:r>
        <w:t xml:space="preserve">AR-0003 (Data Governance)   </w:t>
      </w:r>
      <w:r>
        <w:rPr>
          <w:b/>
          <w:bCs/>
        </w:rPr>
        <w:t xml:space="preserve">Enterprise Governance Decision: </w:t>
      </w:r>
      <w:r>
        <w:t xml:space="preserve">EGD-0003 (Accept, conditional)</w:t>
      </w:r>
    </w:p>
    <w:p>
      <w:pPr>
        <w:pStyle w:val="Heading3"/>
        <w:spacing w:after="100" w:before="200"/>
      </w:pPr>
      <w:r>
        <w:t xml:space="preserve">A. Acceptance Objective</w:t>
      </w:r>
    </w:p>
    <w:p>
      <w:pPr>
        <w:spacing w:after="150"/>
      </w:pPr>
      <w:r>
        <w:rPr>
          <w:b w:val="false"/>
          <w:bCs w:val="false"/>
          <w:i w:val="false"/>
          <w:iCs w:val="false"/>
        </w:rPr>
        <w:t xml:space="preserve">Engineering objective: Close AR-0003's conditional-acceptance monitoring with a durable, automated check rather than a one-time document.</w:t>
      </w:r>
    </w:p>
    <w:p>
      <w:pPr>
        <w:spacing w:after="150"/>
      </w:pPr>
      <w:r>
        <w:rPr>
          <w:b w:val="false"/>
          <w:bCs w:val="false"/>
          <w:i w:val="false"/>
          <w:iCs w:val="false"/>
        </w:rPr>
        <w:t xml:space="preserve">Expected outcome: Published pattern documentation plus an operating per-release automated denormalization check.</w:t>
      </w:r>
    </w:p>
    <w:p>
      <w:pPr>
        <w:spacing w:after="150"/>
      </w:pPr>
      <w:r>
        <w:rPr>
          <w:b w:val="false"/>
          <w:bCs w:val="false"/>
          <w:i w:val="false"/>
          <w:iCs w:val="false"/>
        </w:rPr>
        <w:t xml:space="preserve">Acceptance intent: Accept once the check is operating and has produced at least one clean per-release result.</w:t>
      </w:r>
    </w:p>
    <w:p>
      <w:pPr>
        <w:pStyle w:val="Heading3"/>
        <w:spacing w:after="100" w:before="200"/>
      </w:pPr>
      <w:r>
        <w:t xml:space="preserve">B. Architecture Acceptance</w:t>
      </w:r>
    </w:p>
    <w:p>
      <w:pPr>
        <w:pStyle w:val="ListParagraph"/>
        <w:numPr>
          <w:ilvl w:val="0"/>
          <w:numId w:val="1"/>
        </w:numPr>
        <w:spacing w:after="80"/>
      </w:pPr>
      <w:r>
        <w:t xml:space="preserve">Applicable Architecture Requirement: AR-0003 (Data Governance)</w:t>
      </w:r>
    </w:p>
    <w:p>
      <w:pPr>
        <w:pStyle w:val="ListParagraph"/>
        <w:numPr>
          <w:ilvl w:val="0"/>
          <w:numId w:val="1"/>
        </w:numPr>
        <w:spacing w:after="80"/>
      </w:pPr>
      <w:r>
        <w:t xml:space="preserve">Required architecture evidence: Per-release automated denormalization check output (Section 7 §4).</w:t>
      </w:r>
    </w:p>
    <w:p>
      <w:pPr>
        <w:pStyle w:val="ListParagraph"/>
        <w:numPr>
          <w:ilvl w:val="0"/>
          <w:numId w:val="1"/>
        </w:numPr>
        <w:spacing w:after="80"/>
      </w:pPr>
      <w:r>
        <w:t xml:space="preserve">Conformance condition: AR-0003 advances toward Certification Level L4 (Section 6 §4) upon publication and an operating, zero-violation check.</w:t>
      </w:r>
    </w:p>
    <w:p>
      <w:pPr>
        <w:pStyle w:val="Heading3"/>
        <w:spacing w:after="100" w:before="200"/>
      </w:pPr>
      <w:r>
        <w:t xml:space="preserve">C. Governance Acceptance</w:t>
      </w:r>
    </w:p>
    <w:p>
      <w:pPr>
        <w:pStyle w:val="ListParagraph"/>
        <w:numPr>
          <w:ilvl w:val="0"/>
          <w:numId w:val="1"/>
        </w:numPr>
        <w:spacing w:after="80"/>
      </w:pPr>
      <w:r>
        <w:t xml:space="preserve">Applicable Enterprise Governance Decision: EGD-0003 (Accept, conditional)</w:t>
      </w:r>
    </w:p>
    <w:p>
      <w:pPr>
        <w:pStyle w:val="ListParagraph"/>
        <w:numPr>
          <w:ilvl w:val="0"/>
          <w:numId w:val="1"/>
        </w:numPr>
        <w:spacing w:after="80"/>
      </w:pPr>
      <w:r>
        <w:t xml:space="preserve">Required governance evidence: EGD-0003 remains Accepted, conditional — the check itself is the standing condition; no new EGD is required.</w:t>
      </w:r>
    </w:p>
    <w:p>
      <w:pPr>
        <w:pStyle w:val="ListParagraph"/>
        <w:numPr>
          <w:ilvl w:val="0"/>
          <w:numId w:val="1"/>
        </w:numPr>
        <w:spacing w:after="80"/>
      </w:pPr>
      <w:r>
        <w:t xml:space="preserve">Required approval: Data Governance Owner (Section 2 §2, field E) — currently unassigned pending WP-0006.</w:t>
      </w:r>
    </w:p>
    <w:p>
      <w:pPr>
        <w:pStyle w:val="Heading3"/>
        <w:spacing w:after="100" w:before="200"/>
      </w:pPr>
      <w:r>
        <w:t xml:space="preserve">D. Repository Acceptance</w:t>
      </w:r>
    </w:p>
    <w:p>
      <w:pPr>
        <w:pStyle w:val="ListParagraph"/>
        <w:numPr>
          <w:ilvl w:val="0"/>
          <w:numId w:val="1"/>
        </w:numPr>
        <w:spacing w:after="80"/>
      </w:pPr>
      <w:r>
        <w:t xml:space="preserve">Documentation Repository: Taxonomy pattern documentation (Section 3).</w:t>
      </w:r>
    </w:p>
    <w:p>
      <w:pPr>
        <w:pStyle w:val="ListParagraph"/>
        <w:numPr>
          <w:ilvl w:val="0"/>
          <w:numId w:val="1"/>
        </w:numPr>
        <w:spacing w:after="80"/>
      </w:pPr>
      <w:r>
        <w:t xml:space="preserve">Database Repository: None in baseline scope — the pattern is already implemented and accepted conditionally; a retrofit applies only as contingency if a violation is found.</w:t>
      </w:r>
    </w:p>
    <w:p>
      <w:pPr>
        <w:pStyle w:val="ListParagraph"/>
        <w:numPr>
          <w:ilvl w:val="0"/>
          <w:numId w:val="1"/>
        </w:numPr>
        <w:spacing w:after="80"/>
      </w:pPr>
      <w:r>
        <w:t xml:space="preserve">Test Repository: Per-release automated denormalization check artifact (CI/release pipeline, to the extent one already exists per Section 1 §7).</w:t>
      </w:r>
    </w:p>
    <w:p>
      <w:pPr>
        <w:pStyle w:val="Heading3"/>
        <w:spacing w:after="100" w:before="200"/>
      </w:pPr>
      <w:r>
        <w:t xml:space="preserve">E. Engineering Acceptance</w:t>
      </w:r>
    </w:p>
    <w:p>
      <w:pPr>
        <w:pStyle w:val="ListParagraph"/>
        <w:numPr>
          <w:ilvl w:val="0"/>
          <w:numId w:val="1"/>
        </w:numPr>
        <w:spacing w:after="80"/>
      </w:pPr>
      <w:r>
        <w:t xml:space="preserve">Engineering Design completed: Complete per Section 4 — not yet executed.</w:t>
      </w:r>
    </w:p>
    <w:p>
      <w:pPr>
        <w:pStyle w:val="ListParagraph"/>
        <w:numPr>
          <w:ilvl w:val="0"/>
          <w:numId w:val="1"/>
        </w:numPr>
        <w:spacing w:after="80"/>
      </w:pPr>
      <w:r>
        <w:t xml:space="preserve">Implementation completed: Not started (Phase B §12).</w:t>
      </w:r>
    </w:p>
    <w:p>
      <w:pPr>
        <w:pStyle w:val="ListParagraph"/>
        <w:numPr>
          <w:ilvl w:val="0"/>
          <w:numId w:val="1"/>
        </w:numPr>
        <w:spacing w:after="80"/>
      </w:pPr>
      <w:r>
        <w:t xml:space="preserve">Verification completed: Method defined (per-release automated check) per Section 7 §4; not yet executed.</w:t>
      </w:r>
    </w:p>
    <w:p>
      <w:pPr>
        <w:pStyle w:val="ListParagraph"/>
        <w:numPr>
          <w:ilvl w:val="0"/>
          <w:numId w:val="1"/>
        </w:numPr>
        <w:spacing w:after="80"/>
      </w:pPr>
      <w:r>
        <w:t xml:space="preserve">Risk mitigation completed: Medium, latent (Section 8) — no denormalization violation found to date; accepted as a monitored condition.</w:t>
      </w:r>
    </w:p>
    <w:p>
      <w:pPr>
        <w:pStyle w:val="Heading3"/>
        <w:spacing w:after="100" w:before="200"/>
      </w:pPr>
      <w:r>
        <w:t xml:space="preserve">F. Acceptance Evidence</w:t>
      </w:r>
    </w:p>
    <w:p>
      <w:pPr>
        <w:pStyle w:val="ListParagraph"/>
        <w:numPr>
          <w:ilvl w:val="0"/>
          <w:numId w:val="1"/>
        </w:numPr>
        <w:spacing w:after="80"/>
      </w:pPr>
      <w:r>
        <w:t xml:space="preserve">Published taxonomy pattern documentation.</w:t>
      </w:r>
    </w:p>
    <w:p>
      <w:pPr>
        <w:pStyle w:val="ListParagraph"/>
        <w:numPr>
          <w:ilvl w:val="0"/>
          <w:numId w:val="1"/>
        </w:numPr>
        <w:spacing w:after="80"/>
      </w:pPr>
      <w:r>
        <w:t xml:space="preserve">Per-release automated denormalization check output showing zero violations.</w:t>
      </w:r>
    </w:p>
    <w:p>
      <w:pPr>
        <w:pStyle w:val="ListParagraph"/>
        <w:numPr>
          <w:ilvl w:val="0"/>
          <w:numId w:val="1"/>
        </w:numPr>
        <w:spacing w:after="80"/>
      </w:pPr>
      <w:r>
        <w:t xml:space="preserve">VAR-03 per-release review log.</w:t>
      </w:r>
    </w:p>
    <w:p>
      <w:pPr>
        <w:pStyle w:val="Heading3"/>
        <w:spacing w:after="100" w:before="200"/>
      </w:pPr>
      <w:r>
        <w:t xml:space="preserve">G. Acceptance Exceptions</w:t>
      </w:r>
    </w:p>
    <w:p>
      <w:pPr>
        <w:pStyle w:val="ListParagraph"/>
        <w:numPr>
          <w:ilvl w:val="0"/>
          <w:numId w:val="1"/>
        </w:numPr>
        <w:spacing w:after="80"/>
      </w:pPr>
      <w:r>
        <w:t xml:space="preserve">Not Evidenced in Current Baseline: a dedicated CI/release pipeline distinct from migration tooling (Section 1 §7) — the check's operating environment is assumed to reuse existing release tooling, not a newly built one.</w:t>
      </w:r>
    </w:p>
    <w:p>
      <w:pPr>
        <w:pStyle w:val="Heading3"/>
        <w:spacing w:after="100" w:before="200"/>
      </w:pPr>
      <w:r>
        <w:t xml:space="preserve">H. Acceptance Completion Criteria</w:t>
      </w:r>
    </w:p>
    <w:p>
      <w:pPr>
        <w:pStyle w:val="ListParagraph"/>
        <w:numPr>
          <w:ilvl w:val="0"/>
          <w:numId w:val="1"/>
        </w:numPr>
        <w:spacing w:after="80"/>
      </w:pPr>
      <w:r>
        <w:t xml:space="preserve">Zero denormalization violations detected in the check's operating history.</w:t>
      </w:r>
    </w:p>
    <w:p>
      <w:pPr>
        <w:pStyle w:val="ListParagraph"/>
        <w:numPr>
          <w:ilvl w:val="0"/>
          <w:numId w:val="1"/>
        </w:numPr>
        <w:spacing w:after="80"/>
      </w:pPr>
      <w:r>
        <w:t xml:space="preserve">KPI-04 Approved Variances (count) remains stable or declines.</w:t>
      </w:r>
    </w:p>
    <w:p>
      <w:pPr>
        <w:pStyle w:val="Heading2"/>
        <w:spacing w:after="150" w:before="300"/>
      </w:pPr>
      <w:r>
        <w:t xml:space="preserve">WP-0005 — Column-Level Access Review for Free-Text/JSON Payload Columns</w:t>
      </w:r>
    </w:p>
    <w:p>
      <w:pPr>
        <w:spacing w:after="150"/>
      </w:pPr>
      <w:r>
        <w:rPr>
          <w:b/>
          <w:bCs/>
        </w:rPr>
        <w:t xml:space="preserve">Architecture Requirement: </w:t>
      </w:r>
      <w:r>
        <w:t xml:space="preserve">AR-0007 (extension)   </w:t>
      </w:r>
      <w:r>
        <w:rPr>
          <w:b/>
          <w:bCs/>
        </w:rPr>
        <w:t xml:space="preserve">Enterprise Governance Decision: </w:t>
      </w:r>
      <w:r>
        <w:t xml:space="preserve">EGD-0007 (Realize, same disposition as WP-0002)</w:t>
      </w:r>
    </w:p>
    <w:p>
      <w:pPr>
        <w:pStyle w:val="Heading3"/>
        <w:spacing w:after="100" w:before="200"/>
      </w:pPr>
      <w:r>
        <w:t xml:space="preserve">A. Acceptance Objective</w:t>
      </w:r>
    </w:p>
    <w:p>
      <w:pPr>
        <w:spacing w:after="150"/>
      </w:pPr>
      <w:r>
        <w:rPr>
          <w:b w:val="false"/>
          <w:bCs w:val="false"/>
          <w:i w:val="false"/>
          <w:iCs w:val="false"/>
        </w:rPr>
        <w:t xml:space="preserve">Engineering objective: Close the column-level protection decision for cognitive raw-response and other free-text/JSON payload data.</w:t>
      </w:r>
    </w:p>
    <w:p>
      <w:pPr>
        <w:spacing w:after="150"/>
      </w:pPr>
      <w:r>
        <w:rPr>
          <w:b w:val="false"/>
          <w:bCs w:val="false"/>
          <w:i w:val="false"/>
          <w:iCs w:val="false"/>
        </w:rPr>
        <w:t xml:space="preserve">Expected outcome: A column-level access review report with an explicit protection-level decision for every reviewed column.</w:t>
      </w:r>
    </w:p>
    <w:p>
      <w:pPr>
        <w:spacing w:after="150"/>
      </w:pPr>
      <w:r>
        <w:rPr>
          <w:b w:val="false"/>
          <w:bCs w:val="false"/>
          <w:i w:val="false"/>
          <w:iCs w:val="false"/>
        </w:rPr>
        <w:t xml:space="preserve">Acceptance intent: Accept once a documented decision exists for every reviewed free-text/JSON payload column.</w:t>
      </w:r>
    </w:p>
    <w:p>
      <w:pPr>
        <w:pStyle w:val="Heading3"/>
        <w:spacing w:after="100" w:before="200"/>
      </w:pPr>
      <w:r>
        <w:t xml:space="preserve">B. Architecture Acceptance</w:t>
      </w:r>
    </w:p>
    <w:p>
      <w:pPr>
        <w:pStyle w:val="ListParagraph"/>
        <w:numPr>
          <w:ilvl w:val="0"/>
          <w:numId w:val="1"/>
        </w:numPr>
        <w:spacing w:after="80"/>
      </w:pPr>
      <w:r>
        <w:t xml:space="preserve">Applicable Architecture Requirement: AR-0007 (extension)</w:t>
      </w:r>
    </w:p>
    <w:p>
      <w:pPr>
        <w:pStyle w:val="ListParagraph"/>
        <w:numPr>
          <w:ilvl w:val="0"/>
          <w:numId w:val="1"/>
        </w:numPr>
        <w:spacing w:after="80"/>
      </w:pPr>
      <w:r>
        <w:t xml:space="preserve">Required architecture evidence: Column-level access review, using WP-0002's verification method as the template (Section 7 §4).</w:t>
      </w:r>
    </w:p>
    <w:p>
      <w:pPr>
        <w:pStyle w:val="ListParagraph"/>
        <w:numPr>
          <w:ilvl w:val="0"/>
          <w:numId w:val="1"/>
        </w:numPr>
        <w:spacing w:after="80"/>
      </w:pPr>
      <w:r>
        <w:t xml:space="preserve">Conformance condition: AR-0007's extension scope advances toward Certification Level L4 (extension) upon a documented decision for every reviewed column.</w:t>
      </w:r>
    </w:p>
    <w:p>
      <w:pPr>
        <w:pStyle w:val="Heading3"/>
        <w:spacing w:after="100" w:before="200"/>
      </w:pPr>
      <w:r>
        <w:t xml:space="preserve">C. Governance Acceptance</w:t>
      </w:r>
    </w:p>
    <w:p>
      <w:pPr>
        <w:pStyle w:val="ListParagraph"/>
        <w:numPr>
          <w:ilvl w:val="0"/>
          <w:numId w:val="1"/>
        </w:numPr>
        <w:spacing w:after="80"/>
      </w:pPr>
      <w:r>
        <w:t xml:space="preserve">Applicable Enterprise Governance Decision: EGD-0007 (Realize, same disposition as WP-0002)</w:t>
      </w:r>
    </w:p>
    <w:p>
      <w:pPr>
        <w:pStyle w:val="ListParagraph"/>
        <w:numPr>
          <w:ilvl w:val="0"/>
          <w:numId w:val="1"/>
        </w:numPr>
        <w:spacing w:after="80"/>
      </w:pPr>
      <w:r>
        <w:t xml:space="preserve">Required governance evidence: EGD-0007 (same decision family as WP-0002) — no new governance required.</w:t>
      </w:r>
    </w:p>
    <w:p>
      <w:pPr>
        <w:pStyle w:val="ListParagraph"/>
        <w:numPr>
          <w:ilvl w:val="0"/>
          <w:numId w:val="1"/>
        </w:numPr>
        <w:spacing w:after="80"/>
      </w:pPr>
      <w:r>
        <w:t xml:space="preserve">Required approval: Security/Platform Engineer (Section 2 §2, field E) — currently unassigned pending WP-0006.</w:t>
      </w:r>
    </w:p>
    <w:p>
      <w:pPr>
        <w:pStyle w:val="Heading3"/>
        <w:spacing w:after="100" w:before="200"/>
      </w:pPr>
      <w:r>
        <w:t xml:space="preserve">D. Repository Acceptance</w:t>
      </w:r>
    </w:p>
    <w:p>
      <w:pPr>
        <w:pStyle w:val="ListParagraph"/>
        <w:numPr>
          <w:ilvl w:val="0"/>
          <w:numId w:val="1"/>
        </w:numPr>
        <w:spacing w:after="80"/>
      </w:pPr>
      <w:r>
        <w:t xml:space="preserve">Documentation Repository: Access-review report (Section 3).</w:t>
      </w:r>
    </w:p>
    <w:p>
      <w:pPr>
        <w:pStyle w:val="ListParagraph"/>
        <w:numPr>
          <w:ilvl w:val="0"/>
          <w:numId w:val="1"/>
        </w:numPr>
        <w:spacing w:after="80"/>
      </w:pPr>
      <w:r>
        <w:t xml:space="preserve">Database Repository: None in baseline scope — a column-level policy change only if the review finds a protection gap warranting one.</w:t>
      </w:r>
    </w:p>
    <w:p>
      <w:pPr>
        <w:pStyle w:val="ListParagraph"/>
        <w:numPr>
          <w:ilvl w:val="0"/>
          <w:numId w:val="1"/>
        </w:numPr>
        <w:spacing w:after="80"/>
      </w:pPr>
      <w:r>
        <w:t xml:space="preserve">Test Repository: Review-based verification, following WP-0002's written-evidence template.</w:t>
      </w:r>
    </w:p>
    <w:p>
      <w:pPr>
        <w:pStyle w:val="Heading3"/>
        <w:spacing w:after="100" w:before="200"/>
      </w:pPr>
      <w:r>
        <w:t xml:space="preserve">E. Engineering Acceptance</w:t>
      </w:r>
    </w:p>
    <w:p>
      <w:pPr>
        <w:pStyle w:val="ListParagraph"/>
        <w:numPr>
          <w:ilvl w:val="0"/>
          <w:numId w:val="1"/>
        </w:numPr>
        <w:spacing w:after="80"/>
      </w:pPr>
      <w:r>
        <w:t xml:space="preserve">Engineering Design completed: Complete per Section 4 — not yet executed.</w:t>
      </w:r>
    </w:p>
    <w:p>
      <w:pPr>
        <w:pStyle w:val="ListParagraph"/>
        <w:numPr>
          <w:ilvl w:val="0"/>
          <w:numId w:val="1"/>
        </w:numPr>
        <w:spacing w:after="80"/>
      </w:pPr>
      <w:r>
        <w:t xml:space="preserve">Implementation completed: Not started (Phase B §12).</w:t>
      </w:r>
    </w:p>
    <w:p>
      <w:pPr>
        <w:pStyle w:val="ListParagraph"/>
        <w:numPr>
          <w:ilvl w:val="0"/>
          <w:numId w:val="1"/>
        </w:numPr>
        <w:spacing w:after="80"/>
      </w:pPr>
      <w:r>
        <w:t xml:space="preserve">Verification completed: Method defined (manual review, WP-0002 template) per Section 7 §4; not yet executed.</w:t>
      </w:r>
    </w:p>
    <w:p>
      <w:pPr>
        <w:pStyle w:val="ListParagraph"/>
        <w:numPr>
          <w:ilvl w:val="0"/>
          <w:numId w:val="1"/>
        </w:numPr>
        <w:spacing w:after="80"/>
      </w:pPr>
      <w:r>
        <w:t xml:space="preserve">Risk mitigation completed: Low–Medium latent (Section 8) — no confirmed gap; review is preventive.</w:t>
      </w:r>
    </w:p>
    <w:p>
      <w:pPr>
        <w:pStyle w:val="Heading3"/>
        <w:spacing w:after="100" w:before="200"/>
      </w:pPr>
      <w:r>
        <w:t xml:space="preserve">F. Acceptance Evidence</w:t>
      </w:r>
    </w:p>
    <w:p>
      <w:pPr>
        <w:pStyle w:val="ListParagraph"/>
        <w:numPr>
          <w:ilvl w:val="0"/>
          <w:numId w:val="1"/>
        </w:numPr>
        <w:spacing w:after="80"/>
      </w:pPr>
      <w:r>
        <w:t xml:space="preserve">Review report delivered with a protection-level decision for every reviewed free-text/JSON payload column.</w:t>
      </w:r>
    </w:p>
    <w:p>
      <w:pPr>
        <w:pStyle w:val="ListParagraph"/>
        <w:numPr>
          <w:ilvl w:val="0"/>
          <w:numId w:val="1"/>
        </w:numPr>
        <w:spacing w:after="80"/>
      </w:pPr>
      <w:r>
        <w:t xml:space="preserve">Per-column decision ledger.</w:t>
      </w:r>
    </w:p>
    <w:p>
      <w:pPr>
        <w:pStyle w:val="Heading3"/>
        <w:spacing w:after="100" w:before="200"/>
      </w:pPr>
      <w:r>
        <w:t xml:space="preserve">G. Acceptance Exceptions</w:t>
      </w:r>
    </w:p>
    <w:p>
      <w:pPr>
        <w:pStyle w:val="ListParagraph"/>
        <w:numPr>
          <w:ilvl w:val="0"/>
          <w:numId w:val="1"/>
        </w:numPr>
        <w:spacing w:after="80"/>
      </w:pPr>
      <w:r>
        <w:t xml:space="preserve">Not Evidenced in Current Baseline: column-level restriction (view-based column exclusion or REVOKE) has not been assessed for student_cognitive_responses as of this document (Phase A.1 §8); the review itself is the mechanism by which this gap will be closed or formally accepted.</w:t>
      </w:r>
    </w:p>
    <w:p>
      <w:pPr>
        <w:pStyle w:val="Heading3"/>
        <w:spacing w:after="100" w:before="200"/>
      </w:pPr>
      <w:r>
        <w:t xml:space="preserve">H. Acceptance Completion Criteria</w:t>
      </w:r>
    </w:p>
    <w:p>
      <w:pPr>
        <w:pStyle w:val="ListParagraph"/>
        <w:numPr>
          <w:ilvl w:val="0"/>
          <w:numId w:val="1"/>
        </w:numPr>
        <w:spacing w:after="80"/>
      </w:pPr>
      <w:r>
        <w:t xml:space="preserve">A documented decision exists for every reviewed column.</w:t>
      </w:r>
    </w:p>
    <w:p>
      <w:pPr>
        <w:pStyle w:val="ListParagraph"/>
        <w:numPr>
          <w:ilvl w:val="0"/>
          <w:numId w:val="1"/>
        </w:numPr>
        <w:spacing w:after="80"/>
      </w:pPr>
      <w:r>
        <w:t xml:space="preserve">Zero unreviewed cognitive raw-response or equivalent free-text/JSON columns remain.</w:t>
      </w:r>
    </w:p>
    <w:p>
      <w:pPr>
        <w:pStyle w:val="Heading2"/>
        <w:spacing w:after="150" w:before="300"/>
      </w:pPr>
      <w:r>
        <w:t xml:space="preserve">WP-0006 — Assign Named, Accountable Owners to Every Unassigned Architecture, Data-Governance, Security/Platform, and Compliance Role</w:t>
      </w:r>
    </w:p>
    <w:p>
      <w:pPr>
        <w:spacing w:after="150"/>
      </w:pPr>
      <w:r>
        <w:rPr>
          <w:b/>
          <w:bCs/>
        </w:rPr>
        <w:t xml:space="preserve">Architecture Requirement: </w:t>
      </w:r>
      <w:r>
        <w:t xml:space="preserve">AP-009 (all Enterprise Governance Decisions)   </w:t>
      </w:r>
      <w:r>
        <w:rPr>
          <w:b/>
          <w:bCs/>
        </w:rPr>
        <w:t xml:space="preserve">Enterprise Governance Decision: </w:t>
      </w:r>
      <w:r>
        <w:t xml:space="preserve">EGD-0001–EGD-0009 (all owner fields)</w:t>
      </w:r>
    </w:p>
    <w:p>
      <w:pPr>
        <w:pStyle w:val="Heading3"/>
        <w:spacing w:after="100" w:before="200"/>
      </w:pPr>
      <w:r>
        <w:t xml:space="preserve">A. Acceptance Objective</w:t>
      </w:r>
    </w:p>
    <w:p>
      <w:pPr>
        <w:spacing w:after="150"/>
      </w:pPr>
      <w:r>
        <w:rPr>
          <w:b w:val="false"/>
          <w:bCs w:val="false"/>
          <w:i w:val="false"/>
          <w:iCs w:val="false"/>
        </w:rPr>
        <w:t xml:space="preserve">Engineering objective: Resolve the single cross-cutting governance blocker — universally unassigned ownership — before any other Work Package is treated as fully executable.</w:t>
      </w:r>
    </w:p>
    <w:p>
      <w:pPr>
        <w:spacing w:after="150"/>
      </w:pPr>
      <w:r>
        <w:rPr>
          <w:b w:val="false"/>
          <w:bCs w:val="false"/>
          <w:i w:val="false"/>
          <w:iCs w:val="false"/>
        </w:rPr>
        <w:t xml:space="preserve">Expected outcome: Five named, accountable owners assigned — Enterprise Architecture Owner, Data Governance Owner, Platform Engineering Lead, Security/Platform Engineer, and Executive Sponsor/Governance Board (Phase B §9).</w:t>
      </w:r>
    </w:p>
    <w:p>
      <w:pPr>
        <w:spacing w:after="150"/>
      </w:pPr>
      <w:r>
        <w:rPr>
          <w:b w:val="false"/>
          <w:bCs w:val="false"/>
          <w:i w:val="false"/>
          <w:iCs w:val="false"/>
        </w:rPr>
        <w:t xml:space="preserve">Acceptance intent: Accept once every EGD and every Work Package has a named, accountable owner recorded, with zero exceptions.</w:t>
      </w:r>
    </w:p>
    <w:p>
      <w:pPr>
        <w:pStyle w:val="Heading3"/>
        <w:spacing w:after="100" w:before="200"/>
      </w:pPr>
      <w:r>
        <w:t xml:space="preserve">B. Architecture Acceptance</w:t>
      </w:r>
    </w:p>
    <w:p>
      <w:pPr>
        <w:pStyle w:val="ListParagraph"/>
        <w:numPr>
          <w:ilvl w:val="0"/>
          <w:numId w:val="1"/>
        </w:numPr>
        <w:spacing w:after="80"/>
      </w:pPr>
      <w:r>
        <w:t xml:space="preserve">Applicable Architecture Requirement: AP-009 (all Enterprise Governance Decisions)</w:t>
      </w:r>
    </w:p>
    <w:p>
      <w:pPr>
        <w:pStyle w:val="ListParagraph"/>
        <w:numPr>
          <w:ilvl w:val="0"/>
          <w:numId w:val="1"/>
        </w:numPr>
        <w:spacing w:after="80"/>
      </w:pPr>
      <w:r>
        <w:t xml:space="preserve">Required architecture evidence: Not Applicable — this is an organizational action, not an architecture-conformance activity (Section 2 §2).</w:t>
      </w:r>
    </w:p>
    <w:p>
      <w:pPr>
        <w:pStyle w:val="ListParagraph"/>
        <w:numPr>
          <w:ilvl w:val="0"/>
          <w:numId w:val="1"/>
        </w:numPr>
        <w:spacing w:after="80"/>
      </w:pPr>
      <w:r>
        <w:t xml:space="preserve">Conformance condition: Not Applicable — WP-0006 carries no Certification Level of its own (Section 7 §4); it is the precondition for every other Work Package's certification carrying accountable ownership.</w:t>
      </w:r>
    </w:p>
    <w:p>
      <w:pPr>
        <w:pStyle w:val="Heading3"/>
        <w:spacing w:after="100" w:before="200"/>
      </w:pPr>
      <w:r>
        <w:t xml:space="preserve">C. Governance Acceptance</w:t>
      </w:r>
    </w:p>
    <w:p>
      <w:pPr>
        <w:pStyle w:val="ListParagraph"/>
        <w:numPr>
          <w:ilvl w:val="0"/>
          <w:numId w:val="1"/>
        </w:numPr>
        <w:spacing w:after="80"/>
      </w:pPr>
      <w:r>
        <w:t xml:space="preserve">Applicable Enterprise Governance Decision: EGD-0001–EGD-0009 (all owner fields)</w:t>
      </w:r>
    </w:p>
    <w:p>
      <w:pPr>
        <w:pStyle w:val="ListParagraph"/>
        <w:numPr>
          <w:ilvl w:val="0"/>
          <w:numId w:val="1"/>
        </w:numPr>
        <w:spacing w:after="80"/>
      </w:pPr>
      <w:r>
        <w:t xml:space="preserve">Required governance evidence: Named-owner record applied across all nine Enterprise Governance Decisions (EGD-0001–EGD-0009) and all six Work Packages.</w:t>
      </w:r>
    </w:p>
    <w:p>
      <w:pPr>
        <w:pStyle w:val="ListParagraph"/>
        <w:numPr>
          <w:ilvl w:val="0"/>
          <w:numId w:val="1"/>
        </w:numPr>
        <w:spacing w:after="80"/>
      </w:pPr>
      <w:r>
        <w:t xml:space="preserve">Required approval: Executive Sponsor / Governance Board (Section 2 §2, field E) — the role responsible for executing this Work Package itself.</w:t>
      </w:r>
    </w:p>
    <w:p>
      <w:pPr>
        <w:pStyle w:val="Heading3"/>
        <w:spacing w:after="100" w:before="200"/>
      </w:pPr>
      <w:r>
        <w:t xml:space="preserve">D. Repository Acceptance</w:t>
      </w:r>
    </w:p>
    <w:p>
      <w:pPr>
        <w:pStyle w:val="ListParagraph"/>
        <w:numPr>
          <w:ilvl w:val="0"/>
          <w:numId w:val="1"/>
        </w:numPr>
        <w:spacing w:after="80"/>
      </w:pPr>
      <w:r>
        <w:t xml:space="preserve">Documentation Repository: Named-owner record across all nine EGD entries and all six Work Packages (Section 3).</w:t>
      </w:r>
    </w:p>
    <w:p>
      <w:pPr>
        <w:pStyle w:val="ListParagraph"/>
        <w:numPr>
          <w:ilvl w:val="0"/>
          <w:numId w:val="1"/>
        </w:numPr>
        <w:spacing w:after="80"/>
      </w:pPr>
      <w:r>
        <w:t xml:space="preserve">Database Repository: None.</w:t>
      </w:r>
    </w:p>
    <w:p>
      <w:pPr>
        <w:pStyle w:val="ListParagraph"/>
        <w:numPr>
          <w:ilvl w:val="0"/>
          <w:numId w:val="1"/>
        </w:numPr>
        <w:spacing w:after="80"/>
      </w:pPr>
      <w:r>
        <w:t xml:space="preserve">Test Repository: None — verification is direct KPI-08 measurement, not a repository-based test (Section 7 §4).</w:t>
      </w:r>
    </w:p>
    <w:p>
      <w:pPr>
        <w:pStyle w:val="Heading3"/>
        <w:spacing w:after="100" w:before="200"/>
      </w:pPr>
      <w:r>
        <w:t xml:space="preserve">E. Engineering Acceptance</w:t>
      </w:r>
    </w:p>
    <w:p>
      <w:pPr>
        <w:pStyle w:val="ListParagraph"/>
        <w:numPr>
          <w:ilvl w:val="0"/>
          <w:numId w:val="1"/>
        </w:numPr>
        <w:spacing w:after="80"/>
      </w:pPr>
      <w:r>
        <w:t xml:space="preserve">Engineering Design completed: Not Applicable — organizational action (Section 4).</w:t>
      </w:r>
    </w:p>
    <w:p>
      <w:pPr>
        <w:pStyle w:val="ListParagraph"/>
        <w:numPr>
          <w:ilvl w:val="0"/>
          <w:numId w:val="1"/>
        </w:numPr>
        <w:spacing w:after="80"/>
      </w:pPr>
      <w:r>
        <w:t xml:space="preserve">Implementation completed: Not started — KPI-08 Ownership Assignment % = 0% (Phase A.3 §10).</w:t>
      </w:r>
    </w:p>
    <w:p>
      <w:pPr>
        <w:pStyle w:val="ListParagraph"/>
        <w:numPr>
          <w:ilvl w:val="0"/>
          <w:numId w:val="1"/>
        </w:numPr>
        <w:spacing w:after="80"/>
      </w:pPr>
      <w:r>
        <w:t xml:space="preserve">Verification completed: Method defined (direct KPI-08 measurement) per Section 7 §4; not yet executed.</w:t>
      </w:r>
    </w:p>
    <w:p>
      <w:pPr>
        <w:pStyle w:val="ListParagraph"/>
        <w:numPr>
          <w:ilvl w:val="0"/>
          <w:numId w:val="1"/>
        </w:numPr>
        <w:spacing w:after="80"/>
      </w:pPr>
      <w:r>
        <w:t xml:space="preserve">Risk mitigation completed: Not Applicable — this Work Package is itself the mitigation for the baseline's single blocking governance risk; it is not, itself, risky (Phase A.3 §9).</w:t>
      </w:r>
    </w:p>
    <w:p>
      <w:pPr>
        <w:pStyle w:val="Heading3"/>
        <w:spacing w:after="100" w:before="200"/>
      </w:pPr>
      <w:r>
        <w:t xml:space="preserve">F. Acceptance Evidence</w:t>
      </w:r>
    </w:p>
    <w:p>
      <w:pPr>
        <w:pStyle w:val="ListParagraph"/>
        <w:numPr>
          <w:ilvl w:val="0"/>
          <w:numId w:val="1"/>
        </w:numPr>
        <w:spacing w:after="80"/>
      </w:pPr>
      <w:r>
        <w:t xml:space="preserve">Named-owner record across all nine EGD entries and all six Work Packages.</w:t>
      </w:r>
    </w:p>
    <w:p>
      <w:pPr>
        <w:pStyle w:val="ListParagraph"/>
        <w:numPr>
          <w:ilvl w:val="0"/>
          <w:numId w:val="1"/>
        </w:numPr>
        <w:spacing w:after="80"/>
      </w:pPr>
      <w:r>
        <w:t xml:space="preserve">KPI-08 (Ownership Assignment %) measurement = 100%.</w:t>
      </w:r>
    </w:p>
    <w:p>
      <w:pPr>
        <w:pStyle w:val="ListParagraph"/>
        <w:numPr>
          <w:ilvl w:val="0"/>
          <w:numId w:val="1"/>
        </w:numPr>
        <w:spacing w:after="80"/>
      </w:pPr>
      <w:r>
        <w:t xml:space="preserve">Closure of the AP-009 gap (0% → 100% satisfied).</w:t>
      </w:r>
    </w:p>
    <w:p>
      <w:pPr>
        <w:pStyle w:val="Heading3"/>
        <w:spacing w:after="100" w:before="200"/>
      </w:pPr>
      <w:r>
        <w:t xml:space="preserve">G. Acceptance Exceptions</w:t>
      </w:r>
    </w:p>
    <w:p>
      <w:pPr>
        <w:pStyle w:val="ListParagraph"/>
        <w:numPr>
          <w:ilvl w:val="0"/>
          <w:numId w:val="1"/>
        </w:numPr>
        <w:spacing w:after="80"/>
      </w:pPr>
      <w:r>
        <w:t xml:space="preserve">Not Evidenced in Current Baseline: a formal PMO function, a chartered Enterprise Architecture Board, or dedicated Security/Data-Governance approval bodies beyond the five named roles (Section 1) — acceptance of this Work Package does not require, and does not create, any of these.</w:t>
      </w:r>
    </w:p>
    <w:p>
      <w:pPr>
        <w:pStyle w:val="Heading3"/>
        <w:spacing w:after="100" w:before="200"/>
      </w:pPr>
      <w:r>
        <w:t xml:space="preserve">H. Acceptance Completion Criteria</w:t>
      </w:r>
    </w:p>
    <w:p>
      <w:pPr>
        <w:pStyle w:val="ListParagraph"/>
        <w:numPr>
          <w:ilvl w:val="0"/>
          <w:numId w:val="1"/>
        </w:numPr>
        <w:spacing w:after="80"/>
      </w:pPr>
      <w:r>
        <w:t xml:space="preserve">KPI-08 Ownership Assignment % = 100%.</w:t>
      </w:r>
    </w:p>
    <w:p>
      <w:pPr>
        <w:pStyle w:val="ListParagraph"/>
        <w:numPr>
          <w:ilvl w:val="0"/>
          <w:numId w:val="1"/>
        </w:numPr>
        <w:spacing w:after="80"/>
      </w:pPr>
      <w:r>
        <w:t xml:space="preserve">Zero unassigned owner fields remain across EGD-0001–0009 and WP-0001–0006.</w:t>
      </w:r>
    </w:p>
    <w:p>
      <w:pPr>
        <w:pStyle w:val="Heading1"/>
        <w:spacing w:after="200" w:before="400"/>
      </w:pPr>
      <w:r>
        <w:t xml:space="preserve">5. Enterprise Acceptance Matrix</w:t>
      </w:r>
    </w:p>
    <w:p>
      <w:pPr>
        <w:spacing w:after="150"/>
      </w:pPr>
      <w:r>
        <w:rPr>
          <w:b w:val="false"/>
          <w:bCs w:val="false"/>
          <w:i w:val="false"/>
          <w:iCs w:val="false"/>
        </w:rPr>
        <w:t xml:space="preserve">All identifiers below are reused verbatim from Phase A.3 §3–6, §10 and Section 2 §2. No identifier is recreated.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20"/>
        <w:gridCol w:w="620"/>
        <w:gridCol w:w="665"/>
        <w:gridCol w:w="576"/>
        <w:gridCol w:w="576"/>
        <w:gridCol w:w="886"/>
        <w:gridCol w:w="1462"/>
        <w:gridCol w:w="1019"/>
        <w:gridCol w:w="975"/>
        <w:gridCol w:w="1152"/>
        <w:gridCol w:w="799"/>
      </w:tblGrid>
      <w:tr>
        <w:trPr>
          <w:tblHeader/>
        </w:trPr>
        <w:tc>
          <w:tcPr>
            <w:tcW w:type="dxa" w:w="620"/>
            <w:shd w:fill="1F3864" w:val="clear"/>
            <w:vAlign w:val="center"/>
          </w:tcPr>
          <w:p>
            <w:r>
              <w:rPr>
                <w:b/>
                <w:bCs/>
                <w:color w:val="FFFFFF"/>
                <w:sz w:val="18"/>
                <w:szCs w:val="18"/>
              </w:rPr>
              <w:t xml:space="preserve">WP</w:t>
            </w:r>
          </w:p>
        </w:tc>
        <w:tc>
          <w:tcPr>
            <w:tcW w:type="dxa" w:w="620"/>
            <w:shd w:fill="1F3864" w:val="clear"/>
            <w:vAlign w:val="center"/>
          </w:tcPr>
          <w:p>
            <w:r>
              <w:rPr>
                <w:b/>
                <w:bCs/>
                <w:color w:val="FFFFFF"/>
                <w:sz w:val="18"/>
                <w:szCs w:val="18"/>
              </w:rPr>
              <w:t xml:space="preserve">AR</w:t>
            </w:r>
          </w:p>
        </w:tc>
        <w:tc>
          <w:tcPr>
            <w:tcW w:type="dxa" w:w="665"/>
            <w:shd w:fill="1F3864" w:val="clear"/>
            <w:vAlign w:val="center"/>
          </w:tcPr>
          <w:p>
            <w:r>
              <w:rPr>
                <w:b/>
                <w:bCs/>
                <w:color w:val="FFFFFF"/>
                <w:sz w:val="18"/>
                <w:szCs w:val="18"/>
              </w:rPr>
              <w:t xml:space="preserve">EGD</w:t>
            </w:r>
          </w:p>
        </w:tc>
        <w:tc>
          <w:tcPr>
            <w:tcW w:type="dxa" w:w="576"/>
            <w:shd w:fill="1F3864" w:val="clear"/>
            <w:vAlign w:val="center"/>
          </w:tcPr>
          <w:p>
            <w:r>
              <w:rPr>
                <w:b/>
                <w:bCs/>
                <w:color w:val="FFFFFF"/>
                <w:sz w:val="18"/>
                <w:szCs w:val="18"/>
              </w:rPr>
              <w:t xml:space="preserve">ER</w:t>
            </w:r>
          </w:p>
        </w:tc>
        <w:tc>
          <w:tcPr>
            <w:tcW w:type="dxa" w:w="576"/>
            <w:shd w:fill="1F3864" w:val="clear"/>
            <w:vAlign w:val="center"/>
          </w:tcPr>
          <w:p>
            <w:r>
              <w:rPr>
                <w:b/>
                <w:bCs/>
                <w:color w:val="FFFFFF"/>
                <w:sz w:val="18"/>
                <w:szCs w:val="18"/>
              </w:rPr>
              <w:t xml:space="preserve">VAR</w:t>
            </w:r>
          </w:p>
        </w:tc>
        <w:tc>
          <w:tcPr>
            <w:tcW w:type="dxa" w:w="886"/>
            <w:shd w:fill="1F3864" w:val="clear"/>
            <w:vAlign w:val="center"/>
          </w:tcPr>
          <w:p>
            <w:r>
              <w:rPr>
                <w:b/>
                <w:bCs/>
                <w:color w:val="FFFFFF"/>
                <w:sz w:val="18"/>
                <w:szCs w:val="18"/>
              </w:rPr>
              <w:t xml:space="preserve">KPI Target</w:t>
            </w:r>
          </w:p>
        </w:tc>
        <w:tc>
          <w:tcPr>
            <w:tcW w:type="dxa" w:w="1462"/>
            <w:shd w:fill="1F3864" w:val="clear"/>
            <w:vAlign w:val="center"/>
          </w:tcPr>
          <w:p>
            <w:r>
              <w:rPr>
                <w:b/>
                <w:bCs/>
                <w:color w:val="FFFFFF"/>
                <w:sz w:val="18"/>
                <w:szCs w:val="18"/>
              </w:rPr>
              <w:t xml:space="preserve">Required Evidence</w:t>
            </w:r>
          </w:p>
        </w:tc>
        <w:tc>
          <w:tcPr>
            <w:tcW w:type="dxa" w:w="1019"/>
            <w:shd w:fill="1F3864" w:val="clear"/>
            <w:vAlign w:val="center"/>
          </w:tcPr>
          <w:p>
            <w:r>
              <w:rPr>
                <w:b/>
                <w:bCs/>
                <w:color w:val="FFFFFF"/>
                <w:sz w:val="18"/>
                <w:szCs w:val="18"/>
              </w:rPr>
              <w:t xml:space="preserve">Verification Status</w:t>
            </w:r>
          </w:p>
        </w:tc>
        <w:tc>
          <w:tcPr>
            <w:tcW w:type="dxa" w:w="975"/>
            <w:shd w:fill="1F3864" w:val="clear"/>
            <w:vAlign w:val="center"/>
          </w:tcPr>
          <w:p>
            <w:r>
              <w:rPr>
                <w:b/>
                <w:bCs/>
                <w:color w:val="FFFFFF"/>
                <w:sz w:val="18"/>
                <w:szCs w:val="18"/>
              </w:rPr>
              <w:t xml:space="preserve">Risk Status</w:t>
            </w:r>
          </w:p>
        </w:tc>
        <w:tc>
          <w:tcPr>
            <w:tcW w:type="dxa" w:w="1152"/>
            <w:shd w:fill="1F3864" w:val="clear"/>
            <w:vAlign w:val="center"/>
          </w:tcPr>
          <w:p>
            <w:r>
              <w:rPr>
                <w:b/>
                <w:bCs/>
                <w:color w:val="FFFFFF"/>
                <w:sz w:val="18"/>
                <w:szCs w:val="18"/>
              </w:rPr>
              <w:t xml:space="preserve">Acceptance Status</w:t>
            </w:r>
          </w:p>
        </w:tc>
        <w:tc>
          <w:tcPr>
            <w:tcW w:type="dxa" w:w="799"/>
            <w:shd w:fill="1F3864" w:val="clear"/>
            <w:vAlign w:val="center"/>
          </w:tcPr>
          <w:p>
            <w:r>
              <w:rPr>
                <w:b/>
                <w:bCs/>
                <w:color w:val="FFFFFF"/>
                <w:sz w:val="18"/>
                <w:szCs w:val="18"/>
              </w:rPr>
              <w:t xml:space="preserve">Cert. Readiness</w:t>
            </w:r>
          </w:p>
        </w:tc>
      </w:tr>
      <w:tr>
        <w:tc>
          <w:tcPr>
            <w:tcW w:type="dxa" w:w="620"/>
            <w:vAlign w:val="center"/>
          </w:tcPr>
          <w:p>
            <w:r>
              <w:rPr>
                <w:b w:val="false"/>
                <w:bCs w:val="false"/>
                <w:color w:val="000000"/>
                <w:sz w:val="18"/>
                <w:szCs w:val="18"/>
              </w:rPr>
              <w:t xml:space="preserve">WP-0001</w:t>
            </w:r>
          </w:p>
        </w:tc>
        <w:tc>
          <w:tcPr>
            <w:tcW w:type="dxa" w:w="620"/>
            <w:vAlign w:val="center"/>
          </w:tcPr>
          <w:p>
            <w:r>
              <w:rPr>
                <w:b w:val="false"/>
                <w:bCs w:val="false"/>
                <w:color w:val="000000"/>
                <w:sz w:val="18"/>
                <w:szCs w:val="18"/>
              </w:rPr>
              <w:t xml:space="preserve">AR-0002</w:t>
            </w:r>
          </w:p>
        </w:tc>
        <w:tc>
          <w:tcPr>
            <w:tcW w:type="dxa" w:w="665"/>
            <w:vAlign w:val="center"/>
          </w:tcPr>
          <w:p>
            <w:r>
              <w:rPr>
                <w:b w:val="false"/>
                <w:bCs w:val="false"/>
                <w:color w:val="000000"/>
                <w:sz w:val="18"/>
                <w:szCs w:val="18"/>
              </w:rPr>
              <w:t xml:space="preserve">EGD-0002</w:t>
            </w:r>
          </w:p>
        </w:tc>
        <w:tc>
          <w:tcPr>
            <w:tcW w:type="dxa" w:w="576"/>
            <w:vAlign w:val="center"/>
          </w:tcPr>
          <w:p>
            <w:r>
              <w:rPr>
                <w:b w:val="false"/>
                <w:bCs w:val="false"/>
                <w:color w:val="000000"/>
                <w:sz w:val="18"/>
                <w:szCs w:val="18"/>
              </w:rPr>
              <w:t xml:space="preserve">ER-0002</w:t>
            </w:r>
          </w:p>
        </w:tc>
        <w:tc>
          <w:tcPr>
            <w:tcW w:type="dxa" w:w="576"/>
            <w:vAlign w:val="center"/>
          </w:tcPr>
          <w:p>
            <w:r>
              <w:rPr>
                <w:b w:val="false"/>
                <w:bCs w:val="false"/>
                <w:color w:val="000000"/>
                <w:sz w:val="18"/>
                <w:szCs w:val="18"/>
              </w:rPr>
              <w:t xml:space="preserve">VAR-02</w:t>
            </w:r>
          </w:p>
        </w:tc>
        <w:tc>
          <w:tcPr>
            <w:tcW w:type="dxa" w:w="886"/>
            <w:vAlign w:val="center"/>
          </w:tcPr>
          <w:p>
            <w:r>
              <w:rPr>
                <w:b w:val="false"/>
                <w:bCs w:val="false"/>
                <w:color w:val="000000"/>
                <w:sz w:val="18"/>
                <w:szCs w:val="18"/>
              </w:rPr>
              <w:t xml:space="preserve">KPI-02 = 100</w:t>
            </w:r>
          </w:p>
        </w:tc>
        <w:tc>
          <w:tcPr>
            <w:tcW w:type="dxa" w:w="1462"/>
            <w:vAlign w:val="center"/>
          </w:tcPr>
          <w:p>
            <w:r>
              <w:rPr>
                <w:b w:val="false"/>
                <w:bCs w:val="false"/>
                <w:color w:val="000000"/>
                <w:sz w:val="18"/>
                <w:szCs w:val="18"/>
              </w:rPr>
              <w:t xml:space="preserve">Zero-discrepancy table-inventory diff; published document</w:t>
            </w:r>
          </w:p>
        </w:tc>
        <w:tc>
          <w:tcPr>
            <w:tcW w:type="dxa" w:w="1019"/>
            <w:vAlign w:val="center"/>
          </w:tcPr>
          <w:p>
            <w:r>
              <w:rPr>
                <w:b w:val="false"/>
                <w:bCs w:val="false"/>
                <w:color w:val="000000"/>
                <w:sz w:val="18"/>
                <w:szCs w:val="18"/>
              </w:rPr>
              <w:t xml:space="preserve">Not yet executed</w:t>
            </w:r>
          </w:p>
        </w:tc>
        <w:tc>
          <w:tcPr>
            <w:tcW w:type="dxa" w:w="975"/>
            <w:vAlign w:val="center"/>
          </w:tcPr>
          <w:p>
            <w:r>
              <w:rPr>
                <w:b w:val="false"/>
                <w:bCs w:val="false"/>
                <w:color w:val="000000"/>
                <w:sz w:val="18"/>
                <w:szCs w:val="18"/>
              </w:rPr>
              <w:t xml:space="preserve">Low</w:t>
            </w:r>
          </w:p>
        </w:tc>
        <w:tc>
          <w:tcPr>
            <w:tcW w:type="dxa" w:w="1152"/>
            <w:vAlign w:val="center"/>
          </w:tcPr>
          <w:p>
            <w:r>
              <w:rPr>
                <w:b w:val="false"/>
                <w:bCs w:val="false"/>
                <w:color w:val="000000"/>
                <w:sz w:val="18"/>
                <w:szCs w:val="18"/>
              </w:rPr>
              <w:t xml:space="preserve">Not started</w:t>
            </w:r>
          </w:p>
        </w:tc>
        <w:tc>
          <w:tcPr>
            <w:tcW w:type="dxa" w:w="799"/>
            <w:vAlign w:val="center"/>
          </w:tcPr>
          <w:p>
            <w:r>
              <w:rPr>
                <w:b w:val="false"/>
                <w:bCs w:val="false"/>
                <w:color w:val="000000"/>
                <w:sz w:val="18"/>
                <w:szCs w:val="18"/>
              </w:rPr>
              <w:t xml:space="preserve">L4 pending</w:t>
            </w:r>
          </w:p>
        </w:tc>
      </w:tr>
      <w:tr>
        <w:tc>
          <w:tcPr>
            <w:tcW w:type="dxa" w:w="620"/>
            <w:shd w:fill="F2F2F2" w:val="clear"/>
            <w:vAlign w:val="center"/>
          </w:tcPr>
          <w:p>
            <w:r>
              <w:rPr>
                <w:b w:val="false"/>
                <w:bCs w:val="false"/>
                <w:color w:val="000000"/>
                <w:sz w:val="18"/>
                <w:szCs w:val="18"/>
              </w:rPr>
              <w:t xml:space="preserve">WP-0002</w:t>
            </w:r>
          </w:p>
        </w:tc>
        <w:tc>
          <w:tcPr>
            <w:tcW w:type="dxa" w:w="620"/>
            <w:shd w:fill="F2F2F2" w:val="clear"/>
            <w:vAlign w:val="center"/>
          </w:tcPr>
          <w:p>
            <w:r>
              <w:rPr>
                <w:b w:val="false"/>
                <w:bCs w:val="false"/>
                <w:color w:val="000000"/>
                <w:sz w:val="18"/>
                <w:szCs w:val="18"/>
              </w:rPr>
              <w:t xml:space="preserve">AR-0007</w:t>
            </w:r>
          </w:p>
        </w:tc>
        <w:tc>
          <w:tcPr>
            <w:tcW w:type="dxa" w:w="665"/>
            <w:shd w:fill="F2F2F2" w:val="clear"/>
            <w:vAlign w:val="center"/>
          </w:tcPr>
          <w:p>
            <w:r>
              <w:rPr>
                <w:b w:val="false"/>
                <w:bCs w:val="false"/>
                <w:color w:val="000000"/>
                <w:sz w:val="18"/>
                <w:szCs w:val="18"/>
              </w:rPr>
              <w:t xml:space="preserve">EGD-0007</w:t>
            </w:r>
          </w:p>
        </w:tc>
        <w:tc>
          <w:tcPr>
            <w:tcW w:type="dxa" w:w="576"/>
            <w:shd w:fill="F2F2F2" w:val="clear"/>
            <w:vAlign w:val="center"/>
          </w:tcPr>
          <w:p>
            <w:r>
              <w:rPr>
                <w:b w:val="false"/>
                <w:bCs w:val="false"/>
                <w:color w:val="000000"/>
                <w:sz w:val="18"/>
                <w:szCs w:val="18"/>
              </w:rPr>
              <w:t xml:space="preserve">ER-0007</w:t>
            </w:r>
          </w:p>
        </w:tc>
        <w:tc>
          <w:tcPr>
            <w:tcW w:type="dxa" w:w="576"/>
            <w:shd w:fill="F2F2F2" w:val="clear"/>
            <w:vAlign w:val="center"/>
          </w:tcPr>
          <w:p>
            <w:r>
              <w:rPr>
                <w:b w:val="false"/>
                <w:bCs w:val="false"/>
                <w:color w:val="000000"/>
                <w:sz w:val="18"/>
                <w:szCs w:val="18"/>
              </w:rPr>
              <w:t xml:space="preserve">None</w:t>
            </w:r>
          </w:p>
        </w:tc>
        <w:tc>
          <w:tcPr>
            <w:tcW w:type="dxa" w:w="886"/>
            <w:shd w:fill="F2F2F2" w:val="clear"/>
            <w:vAlign w:val="center"/>
          </w:tcPr>
          <w:p>
            <w:r>
              <w:rPr>
                <w:b w:val="false"/>
                <w:bCs w:val="false"/>
                <w:color w:val="000000"/>
                <w:sz w:val="18"/>
                <w:szCs w:val="18"/>
              </w:rPr>
              <w:t xml:space="preserve">KPI-06 = 100%</w:t>
            </w:r>
          </w:p>
        </w:tc>
        <w:tc>
          <w:tcPr>
            <w:tcW w:type="dxa" w:w="1462"/>
            <w:shd w:fill="F2F2F2" w:val="clear"/>
            <w:vAlign w:val="center"/>
          </w:tcPr>
          <w:p>
            <w:r>
              <w:rPr>
                <w:b w:val="false"/>
                <w:bCs w:val="false"/>
                <w:color w:val="000000"/>
                <w:sz w:val="18"/>
                <w:szCs w:val="18"/>
              </w:rPr>
              <w:t xml:space="preserve">Per-table verification ledger (query-based)</w:t>
            </w:r>
          </w:p>
        </w:tc>
        <w:tc>
          <w:tcPr>
            <w:tcW w:type="dxa" w:w="1019"/>
            <w:shd w:fill="F2F2F2" w:val="clear"/>
            <w:vAlign w:val="center"/>
          </w:tcPr>
          <w:p>
            <w:r>
              <w:rPr>
                <w:b w:val="false"/>
                <w:bCs w:val="false"/>
                <w:color w:val="000000"/>
                <w:sz w:val="18"/>
                <w:szCs w:val="18"/>
              </w:rPr>
              <w:t xml:space="preserve">Not yet executed</w:t>
            </w:r>
          </w:p>
        </w:tc>
        <w:tc>
          <w:tcPr>
            <w:tcW w:type="dxa" w:w="975"/>
            <w:shd w:fill="F2F2F2" w:val="clear"/>
            <w:vAlign w:val="center"/>
          </w:tcPr>
          <w:p>
            <w:r>
              <w:rPr>
                <w:b w:val="false"/>
                <w:bCs w:val="false"/>
                <w:color w:val="000000"/>
                <w:sz w:val="18"/>
                <w:szCs w:val="18"/>
              </w:rPr>
              <w:t xml:space="preserve">High if confirmed</w:t>
            </w:r>
          </w:p>
        </w:tc>
        <w:tc>
          <w:tcPr>
            <w:tcW w:type="dxa" w:w="1152"/>
            <w:shd w:fill="F2F2F2" w:val="clear"/>
            <w:vAlign w:val="center"/>
          </w:tcPr>
          <w:p>
            <w:r>
              <w:rPr>
                <w:b w:val="false"/>
                <w:bCs w:val="false"/>
                <w:color w:val="000000"/>
                <w:sz w:val="18"/>
                <w:szCs w:val="18"/>
              </w:rPr>
              <w:t xml:space="preserve">Not started</w:t>
            </w:r>
          </w:p>
        </w:tc>
        <w:tc>
          <w:tcPr>
            <w:tcW w:type="dxa" w:w="799"/>
            <w:shd w:fill="F2F2F2" w:val="clear"/>
            <w:vAlign w:val="center"/>
          </w:tcPr>
          <w:p>
            <w:r>
              <w:rPr>
                <w:b w:val="false"/>
                <w:bCs w:val="false"/>
                <w:color w:val="000000"/>
                <w:sz w:val="18"/>
                <w:szCs w:val="18"/>
              </w:rPr>
              <w:t xml:space="preserve">L4 pending</w:t>
            </w:r>
          </w:p>
        </w:tc>
      </w:tr>
      <w:tr>
        <w:tc>
          <w:tcPr>
            <w:tcW w:type="dxa" w:w="620"/>
            <w:vAlign w:val="center"/>
          </w:tcPr>
          <w:p>
            <w:r>
              <w:rPr>
                <w:b w:val="false"/>
                <w:bCs w:val="false"/>
                <w:color w:val="000000"/>
                <w:sz w:val="18"/>
                <w:szCs w:val="18"/>
              </w:rPr>
              <w:t xml:space="preserve">WP-0003</w:t>
            </w:r>
          </w:p>
        </w:tc>
        <w:tc>
          <w:tcPr>
            <w:tcW w:type="dxa" w:w="620"/>
            <w:vAlign w:val="center"/>
          </w:tcPr>
          <w:p>
            <w:r>
              <w:rPr>
                <w:b w:val="false"/>
                <w:bCs w:val="false"/>
                <w:color w:val="000000"/>
                <w:sz w:val="18"/>
                <w:szCs w:val="18"/>
              </w:rPr>
              <w:t xml:space="preserve">AR-0004</w:t>
            </w:r>
          </w:p>
        </w:tc>
        <w:tc>
          <w:tcPr>
            <w:tcW w:type="dxa" w:w="665"/>
            <w:vAlign w:val="center"/>
          </w:tcPr>
          <w:p>
            <w:r>
              <w:rPr>
                <w:b w:val="false"/>
                <w:bCs w:val="false"/>
                <w:color w:val="000000"/>
                <w:sz w:val="18"/>
                <w:szCs w:val="18"/>
              </w:rPr>
              <w:t xml:space="preserve">EGD-0004</w:t>
            </w:r>
          </w:p>
        </w:tc>
        <w:tc>
          <w:tcPr>
            <w:tcW w:type="dxa" w:w="576"/>
            <w:vAlign w:val="center"/>
          </w:tcPr>
          <w:p>
            <w:r>
              <w:rPr>
                <w:b w:val="false"/>
                <w:bCs w:val="false"/>
                <w:color w:val="000000"/>
                <w:sz w:val="18"/>
                <w:szCs w:val="18"/>
              </w:rPr>
              <w:t xml:space="preserve">ER-0004</w:t>
            </w:r>
          </w:p>
        </w:tc>
        <w:tc>
          <w:tcPr>
            <w:tcW w:type="dxa" w:w="576"/>
            <w:vAlign w:val="center"/>
          </w:tcPr>
          <w:p>
            <w:r>
              <w:rPr>
                <w:b w:val="false"/>
                <w:bCs w:val="false"/>
                <w:color w:val="000000"/>
                <w:sz w:val="18"/>
                <w:szCs w:val="18"/>
              </w:rPr>
              <w:t xml:space="preserve">VAR-04</w:t>
            </w:r>
          </w:p>
        </w:tc>
        <w:tc>
          <w:tcPr>
            <w:tcW w:type="dxa" w:w="886"/>
            <w:vAlign w:val="center"/>
          </w:tcPr>
          <w:p>
            <w:r>
              <w:rPr>
                <w:b w:val="false"/>
                <w:bCs w:val="false"/>
                <w:color w:val="000000"/>
                <w:sz w:val="18"/>
                <w:szCs w:val="18"/>
              </w:rPr>
              <w:t xml:space="preserve">KPI-05 (declining)</w:t>
            </w:r>
          </w:p>
        </w:tc>
        <w:tc>
          <w:tcPr>
            <w:tcW w:type="dxa" w:w="1462"/>
            <w:vAlign w:val="center"/>
          </w:tcPr>
          <w:p>
            <w:r>
              <w:rPr>
                <w:b w:val="false"/>
                <w:bCs w:val="false"/>
                <w:color w:val="000000"/>
                <w:sz w:val="18"/>
                <w:szCs w:val="18"/>
              </w:rPr>
              <w:t xml:space="preserve">Quarterly assessment report</w:t>
            </w:r>
          </w:p>
        </w:tc>
        <w:tc>
          <w:tcPr>
            <w:tcW w:type="dxa" w:w="1019"/>
            <w:vAlign w:val="center"/>
          </w:tcPr>
          <w:p>
            <w:r>
              <w:rPr>
                <w:b w:val="false"/>
                <w:bCs w:val="false"/>
                <w:color w:val="000000"/>
                <w:sz w:val="18"/>
                <w:szCs w:val="18"/>
              </w:rPr>
              <w:t xml:space="preserve">Dormant — monitoring-ready</w:t>
            </w:r>
          </w:p>
        </w:tc>
        <w:tc>
          <w:tcPr>
            <w:tcW w:type="dxa" w:w="975"/>
            <w:vAlign w:val="center"/>
          </w:tcPr>
          <w:p>
            <w:r>
              <w:rPr>
                <w:b w:val="false"/>
                <w:bCs w:val="false"/>
                <w:color w:val="000000"/>
                <w:sz w:val="18"/>
                <w:szCs w:val="18"/>
              </w:rPr>
              <w:t xml:space="preserve">Medium, growing</w:t>
            </w:r>
          </w:p>
        </w:tc>
        <w:tc>
          <w:tcPr>
            <w:tcW w:type="dxa" w:w="1152"/>
            <w:vAlign w:val="center"/>
          </w:tcPr>
          <w:p>
            <w:r>
              <w:rPr>
                <w:b w:val="false"/>
                <w:bCs w:val="false"/>
                <w:color w:val="000000"/>
                <w:sz w:val="18"/>
                <w:szCs w:val="18"/>
              </w:rPr>
              <w:t xml:space="preserve">Not started — trigger not fired</w:t>
            </w:r>
          </w:p>
        </w:tc>
        <w:tc>
          <w:tcPr>
            <w:tcW w:type="dxa" w:w="799"/>
            <w:vAlign w:val="center"/>
          </w:tcPr>
          <w:p>
            <w:r>
              <w:rPr>
                <w:b w:val="false"/>
                <w:bCs w:val="false"/>
                <w:color w:val="000000"/>
                <w:sz w:val="18"/>
                <w:szCs w:val="18"/>
              </w:rPr>
              <w:t xml:space="preserve">L3 standing; L4 if triggered</w:t>
            </w:r>
          </w:p>
        </w:tc>
      </w:tr>
      <w:tr>
        <w:tc>
          <w:tcPr>
            <w:tcW w:type="dxa" w:w="620"/>
            <w:shd w:fill="F2F2F2" w:val="clear"/>
            <w:vAlign w:val="center"/>
          </w:tcPr>
          <w:p>
            <w:r>
              <w:rPr>
                <w:b w:val="false"/>
                <w:bCs w:val="false"/>
                <w:color w:val="000000"/>
                <w:sz w:val="18"/>
                <w:szCs w:val="18"/>
              </w:rPr>
              <w:t xml:space="preserve">WP-0004</w:t>
            </w:r>
          </w:p>
        </w:tc>
        <w:tc>
          <w:tcPr>
            <w:tcW w:type="dxa" w:w="620"/>
            <w:shd w:fill="F2F2F2" w:val="clear"/>
            <w:vAlign w:val="center"/>
          </w:tcPr>
          <w:p>
            <w:r>
              <w:rPr>
                <w:b w:val="false"/>
                <w:bCs w:val="false"/>
                <w:color w:val="000000"/>
                <w:sz w:val="18"/>
                <w:szCs w:val="18"/>
              </w:rPr>
              <w:t xml:space="preserve">AR-0003</w:t>
            </w:r>
          </w:p>
        </w:tc>
        <w:tc>
          <w:tcPr>
            <w:tcW w:type="dxa" w:w="665"/>
            <w:shd w:fill="F2F2F2" w:val="clear"/>
            <w:vAlign w:val="center"/>
          </w:tcPr>
          <w:p>
            <w:r>
              <w:rPr>
                <w:b w:val="false"/>
                <w:bCs w:val="false"/>
                <w:color w:val="000000"/>
                <w:sz w:val="18"/>
                <w:szCs w:val="18"/>
              </w:rPr>
              <w:t xml:space="preserve">EGD-0003</w:t>
            </w:r>
          </w:p>
        </w:tc>
        <w:tc>
          <w:tcPr>
            <w:tcW w:type="dxa" w:w="576"/>
            <w:shd w:fill="F2F2F2" w:val="clear"/>
            <w:vAlign w:val="center"/>
          </w:tcPr>
          <w:p>
            <w:r>
              <w:rPr>
                <w:b w:val="false"/>
                <w:bCs w:val="false"/>
                <w:color w:val="000000"/>
                <w:sz w:val="18"/>
                <w:szCs w:val="18"/>
              </w:rPr>
              <w:t xml:space="preserve">ER-0003</w:t>
            </w:r>
          </w:p>
        </w:tc>
        <w:tc>
          <w:tcPr>
            <w:tcW w:type="dxa" w:w="576"/>
            <w:shd w:fill="F2F2F2" w:val="clear"/>
            <w:vAlign w:val="center"/>
          </w:tcPr>
          <w:p>
            <w:r>
              <w:rPr>
                <w:b w:val="false"/>
                <w:bCs w:val="false"/>
                <w:color w:val="000000"/>
                <w:sz w:val="18"/>
                <w:szCs w:val="18"/>
              </w:rPr>
              <w:t xml:space="preserve">VAR-03</w:t>
            </w:r>
          </w:p>
        </w:tc>
        <w:tc>
          <w:tcPr>
            <w:tcW w:type="dxa" w:w="886"/>
            <w:shd w:fill="F2F2F2" w:val="clear"/>
            <w:vAlign w:val="center"/>
          </w:tcPr>
          <w:p>
            <w:r>
              <w:rPr>
                <w:b w:val="false"/>
                <w:bCs w:val="false"/>
                <w:color w:val="000000"/>
                <w:sz w:val="18"/>
                <w:szCs w:val="18"/>
              </w:rPr>
              <w:t xml:space="preserve">KPI-04 (stable/declining)</w:t>
            </w:r>
          </w:p>
        </w:tc>
        <w:tc>
          <w:tcPr>
            <w:tcW w:type="dxa" w:w="1462"/>
            <w:shd w:fill="F2F2F2" w:val="clear"/>
            <w:vAlign w:val="center"/>
          </w:tcPr>
          <w:p>
            <w:r>
              <w:rPr>
                <w:b w:val="false"/>
                <w:bCs w:val="false"/>
                <w:color w:val="000000"/>
                <w:sz w:val="18"/>
                <w:szCs w:val="18"/>
              </w:rPr>
              <w:t xml:space="preserve">Per-release check output; VAR-03 log</w:t>
            </w:r>
          </w:p>
        </w:tc>
        <w:tc>
          <w:tcPr>
            <w:tcW w:type="dxa" w:w="1019"/>
            <w:shd w:fill="F2F2F2" w:val="clear"/>
            <w:vAlign w:val="center"/>
          </w:tcPr>
          <w:p>
            <w:r>
              <w:rPr>
                <w:b w:val="false"/>
                <w:bCs w:val="false"/>
                <w:color w:val="000000"/>
                <w:sz w:val="18"/>
                <w:szCs w:val="18"/>
              </w:rPr>
              <w:t xml:space="preserve">Not yet executed</w:t>
            </w:r>
          </w:p>
        </w:tc>
        <w:tc>
          <w:tcPr>
            <w:tcW w:type="dxa" w:w="975"/>
            <w:shd w:fill="F2F2F2" w:val="clear"/>
            <w:vAlign w:val="center"/>
          </w:tcPr>
          <w:p>
            <w:r>
              <w:rPr>
                <w:b w:val="false"/>
                <w:bCs w:val="false"/>
                <w:color w:val="000000"/>
                <w:sz w:val="18"/>
                <w:szCs w:val="18"/>
              </w:rPr>
              <w:t xml:space="preserve">Medium, latent</w:t>
            </w:r>
          </w:p>
        </w:tc>
        <w:tc>
          <w:tcPr>
            <w:tcW w:type="dxa" w:w="1152"/>
            <w:shd w:fill="F2F2F2" w:val="clear"/>
            <w:vAlign w:val="center"/>
          </w:tcPr>
          <w:p>
            <w:r>
              <w:rPr>
                <w:b w:val="false"/>
                <w:bCs w:val="false"/>
                <w:color w:val="000000"/>
                <w:sz w:val="18"/>
                <w:szCs w:val="18"/>
              </w:rPr>
              <w:t xml:space="preserve">Not started</w:t>
            </w:r>
          </w:p>
        </w:tc>
        <w:tc>
          <w:tcPr>
            <w:tcW w:type="dxa" w:w="799"/>
            <w:shd w:fill="F2F2F2" w:val="clear"/>
            <w:vAlign w:val="center"/>
          </w:tcPr>
          <w:p>
            <w:r>
              <w:rPr>
                <w:b w:val="false"/>
                <w:bCs w:val="false"/>
                <w:color w:val="000000"/>
                <w:sz w:val="18"/>
                <w:szCs w:val="18"/>
              </w:rPr>
              <w:t xml:space="preserve">L4 pending</w:t>
            </w:r>
          </w:p>
        </w:tc>
      </w:tr>
      <w:tr>
        <w:tc>
          <w:tcPr>
            <w:tcW w:type="dxa" w:w="620"/>
            <w:vAlign w:val="center"/>
          </w:tcPr>
          <w:p>
            <w:r>
              <w:rPr>
                <w:b w:val="false"/>
                <w:bCs w:val="false"/>
                <w:color w:val="000000"/>
                <w:sz w:val="18"/>
                <w:szCs w:val="18"/>
              </w:rPr>
              <w:t xml:space="preserve">WP-0005</w:t>
            </w:r>
          </w:p>
        </w:tc>
        <w:tc>
          <w:tcPr>
            <w:tcW w:type="dxa" w:w="620"/>
            <w:vAlign w:val="center"/>
          </w:tcPr>
          <w:p>
            <w:r>
              <w:rPr>
                <w:b w:val="false"/>
                <w:bCs w:val="false"/>
                <w:color w:val="000000"/>
                <w:sz w:val="18"/>
                <w:szCs w:val="18"/>
              </w:rPr>
              <w:t xml:space="preserve">AR-0007 (ext.)</w:t>
            </w:r>
          </w:p>
        </w:tc>
        <w:tc>
          <w:tcPr>
            <w:tcW w:type="dxa" w:w="665"/>
            <w:vAlign w:val="center"/>
          </w:tcPr>
          <w:p>
            <w:r>
              <w:rPr>
                <w:b w:val="false"/>
                <w:bCs w:val="false"/>
                <w:color w:val="000000"/>
                <w:sz w:val="18"/>
                <w:szCs w:val="18"/>
              </w:rPr>
              <w:t xml:space="preserve">EGD-0007</w:t>
            </w:r>
          </w:p>
        </w:tc>
        <w:tc>
          <w:tcPr>
            <w:tcW w:type="dxa" w:w="576"/>
            <w:vAlign w:val="center"/>
          </w:tcPr>
          <w:p>
            <w:r>
              <w:rPr>
                <w:b w:val="false"/>
                <w:bCs w:val="false"/>
                <w:color w:val="000000"/>
                <w:sz w:val="18"/>
                <w:szCs w:val="18"/>
              </w:rPr>
              <w:t xml:space="preserve">ER-0007</w:t>
            </w:r>
          </w:p>
        </w:tc>
        <w:tc>
          <w:tcPr>
            <w:tcW w:type="dxa" w:w="576"/>
            <w:vAlign w:val="center"/>
          </w:tcPr>
          <w:p>
            <w:r>
              <w:rPr>
                <w:b w:val="false"/>
                <w:bCs w:val="false"/>
                <w:color w:val="000000"/>
                <w:sz w:val="18"/>
                <w:szCs w:val="18"/>
              </w:rPr>
              <w:t xml:space="preserve">None</w:t>
            </w:r>
          </w:p>
        </w:tc>
        <w:tc>
          <w:tcPr>
            <w:tcW w:type="dxa" w:w="886"/>
            <w:vAlign w:val="center"/>
          </w:tcPr>
          <w:p>
            <w:r>
              <w:rPr>
                <w:b w:val="false"/>
                <w:bCs w:val="false"/>
                <w:color w:val="000000"/>
                <w:sz w:val="18"/>
                <w:szCs w:val="18"/>
              </w:rPr>
              <w:t xml:space="preserve">KPI-06/KPI-09 (ext.)</w:t>
            </w:r>
          </w:p>
        </w:tc>
        <w:tc>
          <w:tcPr>
            <w:tcW w:type="dxa" w:w="1462"/>
            <w:vAlign w:val="center"/>
          </w:tcPr>
          <w:p>
            <w:r>
              <w:rPr>
                <w:b w:val="false"/>
                <w:bCs w:val="false"/>
                <w:color w:val="000000"/>
                <w:sz w:val="18"/>
                <w:szCs w:val="18"/>
              </w:rPr>
              <w:t xml:space="preserve">Per-column decision ledger</w:t>
            </w:r>
          </w:p>
        </w:tc>
        <w:tc>
          <w:tcPr>
            <w:tcW w:type="dxa" w:w="1019"/>
            <w:vAlign w:val="center"/>
          </w:tcPr>
          <w:p>
            <w:r>
              <w:rPr>
                <w:b w:val="false"/>
                <w:bCs w:val="false"/>
                <w:color w:val="000000"/>
                <w:sz w:val="18"/>
                <w:szCs w:val="18"/>
              </w:rPr>
              <w:t xml:space="preserve">Not yet executed</w:t>
            </w:r>
          </w:p>
        </w:tc>
        <w:tc>
          <w:tcPr>
            <w:tcW w:type="dxa" w:w="975"/>
            <w:vAlign w:val="center"/>
          </w:tcPr>
          <w:p>
            <w:r>
              <w:rPr>
                <w:b w:val="false"/>
                <w:bCs w:val="false"/>
                <w:color w:val="000000"/>
                <w:sz w:val="18"/>
                <w:szCs w:val="18"/>
              </w:rPr>
              <w:t xml:space="preserve">Low–Medium, latent</w:t>
            </w:r>
          </w:p>
        </w:tc>
        <w:tc>
          <w:tcPr>
            <w:tcW w:type="dxa" w:w="1152"/>
            <w:vAlign w:val="center"/>
          </w:tcPr>
          <w:p>
            <w:r>
              <w:rPr>
                <w:b w:val="false"/>
                <w:bCs w:val="false"/>
                <w:color w:val="000000"/>
                <w:sz w:val="18"/>
                <w:szCs w:val="18"/>
              </w:rPr>
              <w:t xml:space="preserve">Not started</w:t>
            </w:r>
          </w:p>
        </w:tc>
        <w:tc>
          <w:tcPr>
            <w:tcW w:type="dxa" w:w="799"/>
            <w:vAlign w:val="center"/>
          </w:tcPr>
          <w:p>
            <w:r>
              <w:rPr>
                <w:b w:val="false"/>
                <w:bCs w:val="false"/>
                <w:color w:val="000000"/>
                <w:sz w:val="18"/>
                <w:szCs w:val="18"/>
              </w:rPr>
              <w:t xml:space="preserve">L4 pending (ext.)</w:t>
            </w:r>
          </w:p>
        </w:tc>
      </w:tr>
      <w:tr>
        <w:tc>
          <w:tcPr>
            <w:tcW w:type="dxa" w:w="620"/>
            <w:shd w:fill="F2F2F2" w:val="clear"/>
            <w:vAlign w:val="center"/>
          </w:tcPr>
          <w:p>
            <w:r>
              <w:rPr>
                <w:b w:val="false"/>
                <w:bCs w:val="false"/>
                <w:color w:val="000000"/>
                <w:sz w:val="18"/>
                <w:szCs w:val="18"/>
              </w:rPr>
              <w:t xml:space="preserve">WP-0006</w:t>
            </w:r>
          </w:p>
        </w:tc>
        <w:tc>
          <w:tcPr>
            <w:tcW w:type="dxa" w:w="620"/>
            <w:shd w:fill="F2F2F2" w:val="clear"/>
            <w:vAlign w:val="center"/>
          </w:tcPr>
          <w:p>
            <w:r>
              <w:rPr>
                <w:b w:val="false"/>
                <w:bCs w:val="false"/>
                <w:color w:val="000000"/>
                <w:sz w:val="18"/>
                <w:szCs w:val="18"/>
              </w:rPr>
              <w:t xml:space="preserve">AP-009 (all)</w:t>
            </w:r>
          </w:p>
        </w:tc>
        <w:tc>
          <w:tcPr>
            <w:tcW w:type="dxa" w:w="665"/>
            <w:shd w:fill="F2F2F2" w:val="clear"/>
            <w:vAlign w:val="center"/>
          </w:tcPr>
          <w:p>
            <w:r>
              <w:rPr>
                <w:b w:val="false"/>
                <w:bCs w:val="false"/>
                <w:color w:val="000000"/>
                <w:sz w:val="18"/>
                <w:szCs w:val="18"/>
              </w:rPr>
              <w:t xml:space="preserve">EGD-0001–0009</w:t>
            </w:r>
          </w:p>
        </w:tc>
        <w:tc>
          <w:tcPr>
            <w:tcW w:type="dxa" w:w="576"/>
            <w:shd w:fill="F2F2F2" w:val="clear"/>
            <w:vAlign w:val="center"/>
          </w:tcPr>
          <w:p>
            <w:r>
              <w:rPr>
                <w:b w:val="false"/>
                <w:bCs w:val="false"/>
                <w:color w:val="000000"/>
                <w:sz w:val="18"/>
                <w:szCs w:val="18"/>
              </w:rPr>
              <w:t xml:space="preserve">—</w:t>
            </w:r>
          </w:p>
        </w:tc>
        <w:tc>
          <w:tcPr>
            <w:tcW w:type="dxa" w:w="576"/>
            <w:shd w:fill="F2F2F2" w:val="clear"/>
            <w:vAlign w:val="center"/>
          </w:tcPr>
          <w:p>
            <w:r>
              <w:rPr>
                <w:b w:val="false"/>
                <w:bCs w:val="false"/>
                <w:color w:val="000000"/>
                <w:sz w:val="18"/>
                <w:szCs w:val="18"/>
              </w:rPr>
              <w:t xml:space="preserve">—</w:t>
            </w:r>
          </w:p>
        </w:tc>
        <w:tc>
          <w:tcPr>
            <w:tcW w:type="dxa" w:w="886"/>
            <w:shd w:fill="F2F2F2" w:val="clear"/>
            <w:vAlign w:val="center"/>
          </w:tcPr>
          <w:p>
            <w:r>
              <w:rPr>
                <w:b w:val="false"/>
                <w:bCs w:val="false"/>
                <w:color w:val="000000"/>
                <w:sz w:val="18"/>
                <w:szCs w:val="18"/>
              </w:rPr>
              <w:t xml:space="preserve">KPI-08 = 100%</w:t>
            </w:r>
          </w:p>
        </w:tc>
        <w:tc>
          <w:tcPr>
            <w:tcW w:type="dxa" w:w="1462"/>
            <w:shd w:fill="F2F2F2" w:val="clear"/>
            <w:vAlign w:val="center"/>
          </w:tcPr>
          <w:p>
            <w:r>
              <w:rPr>
                <w:b w:val="false"/>
                <w:bCs w:val="false"/>
                <w:color w:val="000000"/>
                <w:sz w:val="18"/>
                <w:szCs w:val="18"/>
              </w:rPr>
              <w:t xml:space="preserve">Named-owner governance record</w:t>
            </w:r>
          </w:p>
        </w:tc>
        <w:tc>
          <w:tcPr>
            <w:tcW w:type="dxa" w:w="1019"/>
            <w:shd w:fill="F2F2F2" w:val="clear"/>
            <w:vAlign w:val="center"/>
          </w:tcPr>
          <w:p>
            <w:r>
              <w:rPr>
                <w:b w:val="false"/>
                <w:bCs w:val="false"/>
                <w:color w:val="000000"/>
                <w:sz w:val="18"/>
                <w:szCs w:val="18"/>
              </w:rPr>
              <w:t xml:space="preserve">Not yet executed</w:t>
            </w:r>
          </w:p>
        </w:tc>
        <w:tc>
          <w:tcPr>
            <w:tcW w:type="dxa" w:w="975"/>
            <w:shd w:fill="F2F2F2" w:val="clear"/>
            <w:vAlign w:val="center"/>
          </w:tcPr>
          <w:p>
            <w:r>
              <w:rPr>
                <w:b w:val="false"/>
                <w:bCs w:val="false"/>
                <w:color w:val="000000"/>
                <w:sz w:val="18"/>
                <w:szCs w:val="18"/>
              </w:rPr>
              <w:t xml:space="preserve">N/A — mitigating WP</w:t>
            </w:r>
          </w:p>
        </w:tc>
        <w:tc>
          <w:tcPr>
            <w:tcW w:type="dxa" w:w="1152"/>
            <w:shd w:fill="F2F2F2" w:val="clear"/>
            <w:vAlign w:val="center"/>
          </w:tcPr>
          <w:p>
            <w:r>
              <w:rPr>
                <w:b w:val="false"/>
                <w:bCs w:val="false"/>
                <w:color w:val="000000"/>
                <w:sz w:val="18"/>
                <w:szCs w:val="18"/>
              </w:rPr>
              <w:t xml:space="preserve">Not started — KPI-08 = 0%</w:t>
            </w:r>
          </w:p>
        </w:tc>
        <w:tc>
          <w:tcPr>
            <w:tcW w:type="dxa" w:w="799"/>
            <w:shd w:fill="F2F2F2" w:val="clear"/>
            <w:vAlign w:val="center"/>
          </w:tcPr>
          <w:p>
            <w:r>
              <w:rPr>
                <w:b w:val="false"/>
                <w:bCs w:val="false"/>
                <w:color w:val="000000"/>
                <w:sz w:val="18"/>
                <w:szCs w:val="18"/>
              </w:rPr>
              <w:t xml:space="preserve">Not Applicable</w:t>
            </w:r>
          </w:p>
        </w:tc>
      </w:tr>
    </w:tbl>
    <w:p>
      <w:pPr>
        <w:pStyle w:val="Heading1"/>
        <w:spacing w:after="200" w:before="400"/>
      </w:pPr>
      <w:r>
        <w:t xml:space="preserve">6. Cross-Work Package Acceptance Analysis</w:t>
      </w:r>
    </w:p>
    <w:p>
      <w:pPr>
        <w:pStyle w:val="Heading2"/>
        <w:spacing w:after="150" w:before="300"/>
      </w:pPr>
      <w:r>
        <w:t xml:space="preserve">Shared Acceptance Dependencies</w:t>
      </w:r>
    </w:p>
    <w:p>
      <w:pPr>
        <w:spacing w:after="150"/>
      </w:pPr>
      <w:r>
        <w:rPr>
          <w:b w:val="false"/>
          <w:bCs w:val="false"/>
          <w:i w:val="false"/>
          <w:iCs w:val="false"/>
        </w:rPr>
        <w:t xml:space="preserve">WP-0006's completion is the single acceptance dependency shared by every other Work Package: acceptance can be technically recorded against any Work Package without it, but the accountable Governance/Review/Approval Authority named in each profile above (§4, field C) remains unassigned until WP-0006 closes KPI-08 to 100% (Phase A.3 §9; Section 2 §2). No Work Package's acceptance is blocked by WP-0006 in the strict sense of Entry Criteria (Section 2 §2, field H), but every acceptance decision recorded before WP-0006 completes carries an aspirational, not yet accountable, sign-off.</w:t>
      </w:r>
    </w:p>
    <w:p>
      <w:pPr>
        <w:pStyle w:val="Heading2"/>
        <w:spacing w:after="150" w:before="300"/>
      </w:pPr>
      <w:r>
        <w:t xml:space="preserve">Shared Verification Evidence</w:t>
      </w:r>
    </w:p>
    <w:p>
      <w:pPr>
        <w:spacing w:after="150"/>
      </w:pPr>
      <w:r>
        <w:rPr>
          <w:b w:val="false"/>
          <w:bCs w:val="false"/>
          <w:i w:val="false"/>
          <w:iCs w:val="false"/>
        </w:rPr>
        <w:t xml:space="preserve">WP-0005 reuses WP-0002's query-based, written-evidence verification template rather than a distinct method (Section 7 §4); acceptance evidence for both should be reviewed by the same Security/Platform Engineer role for consistency, though this is a recommended, non-blocking sequencing choice (Phase B §4), not a hard acceptance precondition.</w:t>
      </w:r>
    </w:p>
    <w:p>
      <w:pPr>
        <w:pStyle w:val="Heading2"/>
        <w:spacing w:after="150" w:before="300"/>
      </w:pPr>
      <w:r>
        <w:t xml:space="preserve">Shared Governance Approvals</w:t>
      </w:r>
    </w:p>
    <w:p>
      <w:pPr>
        <w:spacing w:after="150"/>
      </w:pPr>
      <w:r>
        <w:rPr>
          <w:b w:val="false"/>
          <w:bCs w:val="false"/>
          <w:i w:val="false"/>
          <w:iCs w:val="false"/>
        </w:rPr>
        <w:t xml:space="preserve">WP-0002 and WP-0005 both execute under EGD-0007's disposition (Realize; Accepted, in progress). Acceptance of either does not require a second, independent EGD — both trace to the same governance decision (Phase A.3 §4; Section 2 §2).</w:t>
      </w:r>
    </w:p>
    <w:p>
      <w:pPr>
        <w:pStyle w:val="Heading2"/>
        <w:spacing w:after="150" w:before="300"/>
      </w:pPr>
      <w:r>
        <w:t xml:space="preserve">Shared Repository Evidence</w:t>
      </w:r>
    </w:p>
    <w:p>
      <w:pPr>
        <w:spacing w:after="150"/>
      </w:pPr>
      <w:r>
        <w:rPr>
          <w:b w:val="false"/>
          <w:bCs w:val="false"/>
          <w:i w:val="false"/>
          <w:iCs w:val="false"/>
        </w:rPr>
        <w:t xml:space="preserve">Acceptance evidence across all six Work Packages is confined to the three repository categories Section 3 evidences as carrying approved impact — Documentation, Database, and Test. No Work Package's acceptance evidence is expected in Backend, Frontend, Integration, AI, or Infrastructure repository categories (Section 3 §“Repository Impact”; Section 7 §“Repository verification readiness”).</w:t>
      </w:r>
    </w:p>
    <w:p>
      <w:pPr>
        <w:pStyle w:val="Heading2"/>
        <w:spacing w:after="150" w:before="300"/>
      </w:pPr>
      <w:r>
        <w:t xml:space="preserve">Shared Certification Dependencies</w:t>
      </w:r>
    </w:p>
    <w:p>
      <w:pPr>
        <w:spacing w:after="150"/>
      </w:pPr>
      <w:r>
        <w:rPr>
          <w:b w:val="false"/>
          <w:bCs w:val="false"/>
          <w:i w:val="false"/>
          <w:iCs w:val="false"/>
        </w:rPr>
        <w:t xml:space="preserve">WP-0001, WP-0002, WP-0004, and WP-0005 (extension) each independently advance their respective Architecture Requirement toward Certification Level L4 upon acceptance; none of the four is a certification precondition for another (Section 6 §4). WP-0003 remains at L3 (standing) regardless of the other four Work Packages' acceptance status, since its L4 movement is trigger-gated, not sequence-gated (Phase A.3 §7).</w:t>
      </w:r>
    </w:p>
    <w:p>
      <w:pPr>
        <w:pStyle w:val="Heading2"/>
        <w:spacing w:after="150" w:before="300"/>
      </w:pPr>
      <w:r>
        <w:t xml:space="preserve">Common Acceptance Patterns</w:t>
      </w:r>
    </w:p>
    <w:p>
      <w:pPr>
        <w:pStyle w:val="ListParagraph"/>
        <w:numPr>
          <w:ilvl w:val="0"/>
          <w:numId w:val="1"/>
        </w:numPr>
        <w:spacing w:after="80"/>
      </w:pPr>
      <w:r>
        <w:t xml:space="preserve">Documentation-only acceptance (WP-0001, WP-0004): acceptance evidence is a published document plus a verification artifact; no database deliverable is in baseline scope for either.</w:t>
      </w:r>
    </w:p>
    <w:p>
      <w:pPr>
        <w:pStyle w:val="ListParagraph"/>
        <w:numPr>
          <w:ilvl w:val="0"/>
          <w:numId w:val="1"/>
        </w:numPr>
        <w:spacing w:after="80"/>
      </w:pPr>
      <w:r>
        <w:t xml:space="preserve">Verification-only acceptance (WP-0002, WP-0005): acceptance evidence is a written confirmation record; a corrective database change applies only as contingency if a gap is found, per Section 6 §8's non-conformance pattern.</w:t>
      </w:r>
    </w:p>
    <w:p>
      <w:pPr>
        <w:pStyle w:val="ListParagraph"/>
        <w:numPr>
          <w:ilvl w:val="0"/>
          <w:numId w:val="1"/>
        </w:numPr>
        <w:spacing w:after="80"/>
      </w:pPr>
      <w:r>
        <w:t xml:space="preserve">Monitoring-based acceptance (WP-0003): acceptance is not a single gate but a recurring quarterly confirmation that the EGD-0004 trigger has not yet fired, consistent with AP-008.</w:t>
      </w:r>
    </w:p>
    <w:p>
      <w:pPr>
        <w:pStyle w:val="ListParagraph"/>
        <w:numPr>
          <w:ilvl w:val="0"/>
          <w:numId w:val="1"/>
        </w:numPr>
        <w:spacing w:after="80"/>
      </w:pPr>
      <w:r>
        <w:t xml:space="preserve">Organizational acceptance (WP-0006): acceptance evidence is a governance record, not a technical artifact — the only Work Package in this catalog with no Architecture Requirement, Database, or Test repository scope.</w:t>
      </w:r>
    </w:p>
    <w:p>
      <w:pPr>
        <w:pStyle w:val="Heading1"/>
        <w:spacing w:after="200" w:before="400"/>
      </w:pPr>
      <w:r>
        <w:t xml:space="preserve">7. Acceptance Readiness Assessment</w:t>
      </w:r>
    </w:p>
    <w:p>
      <w:pPr>
        <w:spacing w:after="150"/>
      </w:pPr>
      <w:r>
        <w:rPr>
          <w:b w:val="false"/>
          <w:bCs w:val="false"/>
          <w:i w:val="false"/>
          <w:iCs w:val="false"/>
        </w:rPr>
        <w:t xml:space="preserve">Every assessment below reuses the readiness findings already established in Phase A.3 §15, Phase B §14, Section 2 §5, and Section 7 §“Readiness Dimension.” No new readiness dimension is introduced.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5350"/>
        <w:gridCol w:w="2000"/>
      </w:tblGrid>
      <w:tr>
        <w:trPr>
          <w:tblHeader/>
        </w:trPr>
        <w:tc>
          <w:tcPr>
            <w:tcW w:type="dxa" w:w="2000"/>
            <w:shd w:fill="1F3864" w:val="clear"/>
            <w:vAlign w:val="center"/>
          </w:tcPr>
          <w:p>
            <w:r>
              <w:rPr>
                <w:b/>
                <w:bCs/>
                <w:color w:val="FFFFFF"/>
                <w:sz w:val="18"/>
                <w:szCs w:val="18"/>
              </w:rPr>
              <w:t xml:space="preserve">Dimension</w:t>
            </w:r>
          </w:p>
        </w:tc>
        <w:tc>
          <w:tcPr>
            <w:tcW w:type="dxa" w:w="5350"/>
            <w:shd w:fill="1F3864" w:val="clear"/>
            <w:vAlign w:val="center"/>
          </w:tcPr>
          <w:p>
            <w:r>
              <w:rPr>
                <w:b/>
                <w:bCs/>
                <w:color w:val="FFFFFF"/>
                <w:sz w:val="18"/>
                <w:szCs w:val="18"/>
              </w:rPr>
              <w:t xml:space="preserve">Assessment</w:t>
            </w:r>
          </w:p>
        </w:tc>
        <w:tc>
          <w:tcPr>
            <w:tcW w:type="dxa" w:w="2000"/>
            <w:shd w:fill="1F3864" w:val="clear"/>
            <w:vAlign w:val="center"/>
          </w:tcPr>
          <w:p>
            <w:r>
              <w:rPr>
                <w:b/>
                <w:bCs/>
                <w:color w:val="FFFFFF"/>
                <w:sz w:val="18"/>
                <w:szCs w:val="18"/>
              </w:rPr>
              <w:t xml:space="preserve">Basis</w:t>
            </w:r>
          </w:p>
        </w:tc>
      </w:tr>
      <w:tr>
        <w:tc>
          <w:tcPr>
            <w:tcW w:type="dxa" w:w="2000"/>
            <w:vAlign w:val="center"/>
          </w:tcPr>
          <w:p>
            <w:r>
              <w:rPr>
                <w:b w:val="false"/>
                <w:bCs w:val="false"/>
                <w:color w:val="000000"/>
                <w:sz w:val="18"/>
                <w:szCs w:val="18"/>
              </w:rPr>
              <w:t xml:space="preserve">Architecture acceptance readiness</w:t>
            </w:r>
          </w:p>
        </w:tc>
        <w:tc>
          <w:tcPr>
            <w:tcW w:type="dxa" w:w="5350"/>
            <w:vAlign w:val="center"/>
          </w:tcPr>
          <w:p>
            <w:r>
              <w:rPr>
                <w:b w:val="false"/>
                <w:bCs w:val="false"/>
                <w:color w:val="000000"/>
                <w:sz w:val="18"/>
                <w:szCs w:val="18"/>
              </w:rPr>
              <w:t xml:space="preserve">Ready for WP-0001, WP-0002, WP-0004, WP-0005 (methods and conformance conditions fully defined, Section 6 §4); monitoring-ready only for WP-0003 (trigger not yet fired); Not Applicable for WP-0006.</w:t>
            </w:r>
          </w:p>
        </w:tc>
        <w:tc>
          <w:tcPr>
            <w:tcW w:type="dxa" w:w="2000"/>
            <w:vAlign w:val="center"/>
          </w:tcPr>
          <w:p>
            <w:r>
              <w:rPr>
                <w:b w:val="false"/>
                <w:bCs w:val="false"/>
                <w:color w:val="000000"/>
                <w:sz w:val="18"/>
                <w:szCs w:val="18"/>
              </w:rPr>
              <w:t xml:space="preserve">Section 6 §4; Section 7 §4</w:t>
            </w:r>
          </w:p>
        </w:tc>
      </w:tr>
      <w:tr>
        <w:tc>
          <w:tcPr>
            <w:tcW w:type="dxa" w:w="2000"/>
            <w:shd w:fill="F2F2F2" w:val="clear"/>
            <w:vAlign w:val="center"/>
          </w:tcPr>
          <w:p>
            <w:r>
              <w:rPr>
                <w:b w:val="false"/>
                <w:bCs w:val="false"/>
                <w:color w:val="000000"/>
                <w:sz w:val="18"/>
                <w:szCs w:val="18"/>
              </w:rPr>
              <w:t xml:space="preserve">Repository acceptance readiness</w:t>
            </w:r>
          </w:p>
        </w:tc>
        <w:tc>
          <w:tcPr>
            <w:tcW w:type="dxa" w:w="5350"/>
            <w:shd w:fill="F2F2F2" w:val="clear"/>
            <w:vAlign w:val="center"/>
          </w:tcPr>
          <w:p>
            <w:r>
              <w:rPr>
                <w:b w:val="false"/>
                <w:bCs w:val="false"/>
                <w:color w:val="000000"/>
                <w:sz w:val="18"/>
                <w:szCs w:val="18"/>
              </w:rPr>
              <w:t xml:space="preserve">Exact — scoped only to Documentation, Database, and Test repository categories; no acceptance claim is made against Backend, Frontend, Integration, AI, or Infrastructure repositories.</w:t>
            </w:r>
          </w:p>
        </w:tc>
        <w:tc>
          <w:tcPr>
            <w:tcW w:type="dxa" w:w="2000"/>
            <w:shd w:fill="F2F2F2" w:val="clear"/>
            <w:vAlign w:val="center"/>
          </w:tcPr>
          <w:p>
            <w:r>
              <w:rPr>
                <w:b w:val="false"/>
                <w:bCs w:val="false"/>
                <w:color w:val="000000"/>
                <w:sz w:val="18"/>
                <w:szCs w:val="18"/>
              </w:rPr>
              <w:t xml:space="preserve">Section 3 §“Repository Impact”</w:t>
            </w:r>
          </w:p>
        </w:tc>
      </w:tr>
      <w:tr>
        <w:tc>
          <w:tcPr>
            <w:tcW w:type="dxa" w:w="2000"/>
            <w:vAlign w:val="center"/>
          </w:tcPr>
          <w:p>
            <w:r>
              <w:rPr>
                <w:b w:val="false"/>
                <w:bCs w:val="false"/>
                <w:color w:val="000000"/>
                <w:sz w:val="18"/>
                <w:szCs w:val="18"/>
              </w:rPr>
              <w:t xml:space="preserve">Engineering acceptance readiness</w:t>
            </w:r>
          </w:p>
        </w:tc>
        <w:tc>
          <w:tcPr>
            <w:tcW w:type="dxa" w:w="5350"/>
            <w:vAlign w:val="center"/>
          </w:tcPr>
          <w:p>
            <w:r>
              <w:rPr>
                <w:b w:val="false"/>
                <w:bCs w:val="false"/>
                <w:color w:val="000000"/>
                <w:sz w:val="18"/>
                <w:szCs w:val="18"/>
              </w:rPr>
              <w:t xml:space="preserve">Engineering Design (Section 4) and Implementation Blueprint (Section 5) are complete for all six Work Packages; 0 of 6 have been executed as of this document (Phase B §12).</w:t>
            </w:r>
          </w:p>
        </w:tc>
        <w:tc>
          <w:tcPr>
            <w:tcW w:type="dxa" w:w="2000"/>
            <w:vAlign w:val="center"/>
          </w:tcPr>
          <w:p>
            <w:r>
              <w:rPr>
                <w:b w:val="false"/>
                <w:bCs w:val="false"/>
                <w:color w:val="000000"/>
                <w:sz w:val="18"/>
                <w:szCs w:val="18"/>
              </w:rPr>
              <w:t xml:space="preserve">Section 4; Section 5; Phase B §12</w:t>
            </w:r>
          </w:p>
        </w:tc>
      </w:tr>
      <w:tr>
        <w:tc>
          <w:tcPr>
            <w:tcW w:type="dxa" w:w="2000"/>
            <w:shd w:fill="F2F2F2" w:val="clear"/>
            <w:vAlign w:val="center"/>
          </w:tcPr>
          <w:p>
            <w:r>
              <w:rPr>
                <w:b w:val="false"/>
                <w:bCs w:val="false"/>
                <w:color w:val="000000"/>
                <w:sz w:val="18"/>
                <w:szCs w:val="18"/>
              </w:rPr>
              <w:t xml:space="preserve">Governance acceptance readiness</w:t>
            </w:r>
          </w:p>
        </w:tc>
        <w:tc>
          <w:tcPr>
            <w:tcW w:type="dxa" w:w="5350"/>
            <w:shd w:fill="F2F2F2" w:val="clear"/>
            <w:vAlign w:val="center"/>
          </w:tcPr>
          <w:p>
            <w:r>
              <w:rPr>
                <w:b w:val="false"/>
                <w:bCs w:val="false"/>
                <w:color w:val="000000"/>
                <w:sz w:val="18"/>
                <w:szCs w:val="18"/>
              </w:rPr>
              <w:t xml:space="preserve">Not yet met — KPI-08 Ownership Assignment % = 0%, the same precondition Section 6 §9 and Section 7 §“Governance verification readiness” both identify for full conformance/verification execution.</w:t>
            </w:r>
          </w:p>
        </w:tc>
        <w:tc>
          <w:tcPr>
            <w:tcW w:type="dxa" w:w="2000"/>
            <w:shd w:fill="F2F2F2" w:val="clear"/>
            <w:vAlign w:val="center"/>
          </w:tcPr>
          <w:p>
            <w:r>
              <w:rPr>
                <w:b w:val="false"/>
                <w:bCs w:val="false"/>
                <w:color w:val="000000"/>
                <w:sz w:val="18"/>
                <w:szCs w:val="18"/>
              </w:rPr>
              <w:t xml:space="preserve">Phase A.3 §10; Section 6 §9; Section 7</w:t>
            </w:r>
          </w:p>
        </w:tc>
      </w:tr>
      <w:tr>
        <w:tc>
          <w:tcPr>
            <w:tcW w:type="dxa" w:w="2000"/>
            <w:vAlign w:val="center"/>
          </w:tcPr>
          <w:p>
            <w:r>
              <w:rPr>
                <w:b w:val="false"/>
                <w:bCs w:val="false"/>
                <w:color w:val="000000"/>
                <w:sz w:val="18"/>
                <w:szCs w:val="18"/>
              </w:rPr>
              <w:t xml:space="preserve">Verification acceptance readiness</w:t>
            </w:r>
          </w:p>
        </w:tc>
        <w:tc>
          <w:tcPr>
            <w:tcW w:type="dxa" w:w="5350"/>
            <w:vAlign w:val="center"/>
          </w:tcPr>
          <w:p>
            <w:r>
              <w:rPr>
                <w:b w:val="false"/>
                <w:bCs w:val="false"/>
                <w:color w:val="000000"/>
                <w:sz w:val="18"/>
                <w:szCs w:val="18"/>
              </w:rPr>
              <w:t xml:space="preserve">High for WP-0002 (fully defined, immediately executable); Medium for WP-0001, WP-0004, WP-0005 (methods defined, awaiting Wave 2 sequencing); monitoring-ready only for WP-0003.</w:t>
            </w:r>
          </w:p>
        </w:tc>
        <w:tc>
          <w:tcPr>
            <w:tcW w:type="dxa" w:w="2000"/>
            <w:vAlign w:val="center"/>
          </w:tcPr>
          <w:p>
            <w:r>
              <w:rPr>
                <w:b w:val="false"/>
                <w:bCs w:val="false"/>
                <w:color w:val="000000"/>
                <w:sz w:val="18"/>
                <w:szCs w:val="18"/>
              </w:rPr>
              <w:t xml:space="preserve">Section 7 §“Readiness Dimension” table</w:t>
            </w:r>
          </w:p>
        </w:tc>
      </w:tr>
      <w:tr>
        <w:tc>
          <w:tcPr>
            <w:tcW w:type="dxa" w:w="2000"/>
            <w:shd w:fill="F2F2F2" w:val="clear"/>
            <w:vAlign w:val="center"/>
          </w:tcPr>
          <w:p>
            <w:r>
              <w:rPr>
                <w:b w:val="false"/>
                <w:bCs w:val="false"/>
                <w:color w:val="000000"/>
                <w:sz w:val="18"/>
                <w:szCs w:val="18"/>
              </w:rPr>
              <w:t xml:space="preserve">Risk acceptance readiness</w:t>
            </w:r>
          </w:p>
        </w:tc>
        <w:tc>
          <w:tcPr>
            <w:tcW w:type="dxa" w:w="5350"/>
            <w:shd w:fill="F2F2F2" w:val="clear"/>
            <w:vAlign w:val="center"/>
          </w:tcPr>
          <w:p>
            <w:r>
              <w:rPr>
                <w:b w:val="false"/>
                <w:bCs w:val="false"/>
                <w:color w:val="000000"/>
                <w:sz w:val="18"/>
                <w:szCs w:val="18"/>
              </w:rPr>
              <w:t xml:space="preserve">The baseline's two High-rated items (documentation drift — WP-0001; unverified RLS — WP-0002) both have a low-cost, already-scoped remedy (Phase A.3 §15); no unmitigated High risk lacks an assigned Work Package.</w:t>
            </w:r>
          </w:p>
        </w:tc>
        <w:tc>
          <w:tcPr>
            <w:tcW w:type="dxa" w:w="2000"/>
            <w:shd w:fill="F2F2F2" w:val="clear"/>
            <w:vAlign w:val="center"/>
          </w:tcPr>
          <w:p>
            <w:r>
              <w:rPr>
                <w:b w:val="false"/>
                <w:bCs w:val="false"/>
                <w:color w:val="000000"/>
                <w:sz w:val="18"/>
                <w:szCs w:val="18"/>
              </w:rPr>
              <w:t xml:space="preserve">Phase A.3 §15; Section 8</w:t>
            </w:r>
          </w:p>
        </w:tc>
      </w:tr>
      <w:tr>
        <w:tc>
          <w:tcPr>
            <w:tcW w:type="dxa" w:w="2000"/>
            <w:vAlign w:val="center"/>
          </w:tcPr>
          <w:p>
            <w:r>
              <w:rPr>
                <w:b w:val="false"/>
                <w:bCs w:val="false"/>
                <w:color w:val="000000"/>
                <w:sz w:val="18"/>
                <w:szCs w:val="18"/>
              </w:rPr>
              <w:t xml:space="preserve">Certification readiness</w:t>
            </w:r>
          </w:p>
        </w:tc>
        <w:tc>
          <w:tcPr>
            <w:tcW w:type="dxa" w:w="5350"/>
            <w:vAlign w:val="center"/>
          </w:tcPr>
          <w:p>
            <w:r>
              <w:rPr>
                <w:b w:val="false"/>
                <w:bCs w:val="false"/>
                <w:color w:val="000000"/>
                <w:sz w:val="18"/>
                <w:szCs w:val="18"/>
              </w:rPr>
              <w:t xml:space="preserve">L4 pending for WP-0001, WP-0002, WP-0004, WP-0005; L3 standing (L4 conditional) for WP-0003; Not Applicable for WP-0006 — identical to Section 6 §4's and Section 7 §4's findings.</w:t>
            </w:r>
          </w:p>
        </w:tc>
        <w:tc>
          <w:tcPr>
            <w:tcW w:type="dxa" w:w="2000"/>
            <w:vAlign w:val="center"/>
          </w:tcPr>
          <w:p>
            <w:r>
              <w:rPr>
                <w:b w:val="false"/>
                <w:bCs w:val="false"/>
                <w:color w:val="000000"/>
                <w:sz w:val="18"/>
                <w:szCs w:val="18"/>
              </w:rPr>
              <w:t xml:space="preserve">Section 6 §4; Section 7 §4</w:t>
            </w:r>
          </w:p>
        </w:tc>
      </w:tr>
      <w:tr>
        <w:tc>
          <w:tcPr>
            <w:tcW w:type="dxa" w:w="2000"/>
            <w:shd w:fill="F2F2F2" w:val="clear"/>
            <w:vAlign w:val="center"/>
          </w:tcPr>
          <w:p>
            <w:r>
              <w:rPr>
                <w:b w:val="false"/>
                <w:bCs w:val="false"/>
                <w:color w:val="000000"/>
                <w:sz w:val="18"/>
                <w:szCs w:val="18"/>
              </w:rPr>
              <w:t xml:space="preserve">Overall implementation acceptance readiness</w:t>
            </w:r>
          </w:p>
        </w:tc>
        <w:tc>
          <w:tcPr>
            <w:tcW w:type="dxa" w:w="5350"/>
            <w:shd w:fill="F2F2F2" w:val="clear"/>
            <w:vAlign w:val="center"/>
          </w:tcPr>
          <w:p>
            <w:r>
              <w:rPr>
                <w:b w:val="false"/>
                <w:bCs w:val="false"/>
                <w:color w:val="000000"/>
                <w:sz w:val="18"/>
                <w:szCs w:val="18"/>
              </w:rPr>
              <w:t xml:space="preserve">READY WITH CONDITIONS. Wave 1 (WP-0002, WP-0006) is immediately acceptance-ready with zero blocking dependency. Wave 2 (WP-0001, WP-0004, WP-0005) is ready to follow. Wave 3 (WP-0003) is not ready — trigger not yet fired. The single condition, carried forward unchanged from Phase A.3, Phase B, and Sections 1–8, is that Resource Readiness (KPI-08) is not yet met.</w:t>
            </w:r>
          </w:p>
        </w:tc>
        <w:tc>
          <w:tcPr>
            <w:tcW w:type="dxa" w:w="2000"/>
            <w:shd w:fill="F2F2F2" w:val="clear"/>
            <w:vAlign w:val="center"/>
          </w:tcPr>
          <w:p>
            <w:r>
              <w:rPr>
                <w:b w:val="false"/>
                <w:bCs w:val="false"/>
                <w:color w:val="000000"/>
                <w:sz w:val="18"/>
                <w:szCs w:val="18"/>
              </w:rPr>
              <w:t xml:space="preserve">Phase A.3 §15; Phase B §14; Section 2 §7; Section 7 §“Overall verification readiness”</w:t>
            </w:r>
          </w:p>
        </w:tc>
      </w:tr>
    </w:tbl>
    <w:p>
      <w:pPr>
        <w:pStyle w:val="Heading1"/>
        <w:spacing w:after="200" w:before="400"/>
      </w:pPr>
      <w:r>
        <w:t xml:space="preserve">8. Enterprise Acceptance Traceability Matrix</w:t>
      </w:r>
    </w:p>
    <w:p>
      <w:pPr>
        <w:spacing w:after="150"/>
      </w:pPr>
      <w:r>
        <w:rPr>
          <w:b w:val="false"/>
          <w:bCs w:val="false"/>
          <w:i w:val="false"/>
          <w:iCs w:val="false"/>
        </w:rPr>
        <w:t xml:space="preserve">Chain: Work Package → Architecture Requirement → Enterprise Governance Decision → Enterprise Resolution → Engineering Design → Implementation Activity → Verification Evidence → Risk Mitigation → Acceptance Evidence → Certification Level. No identifier is recreated; every reference cites the section already establishing 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550"/>
        <w:gridCol w:w="1000"/>
        <w:gridCol w:w="1000"/>
        <w:gridCol w:w="1250"/>
        <w:gridCol w:w="1300"/>
        <w:gridCol w:w="1300"/>
        <w:gridCol w:w="850"/>
      </w:tblGrid>
      <w:tr>
        <w:trPr>
          <w:tblHeader/>
        </w:trPr>
        <w:tc>
          <w:tcPr>
            <w:tcW w:type="dxa" w:w="700"/>
            <w:shd w:fill="1F3864" w:val="clear"/>
            <w:vAlign w:val="center"/>
          </w:tcPr>
          <w:p>
            <w:r>
              <w:rPr>
                <w:b/>
                <w:bCs/>
                <w:color w:val="FFFFFF"/>
                <w:sz w:val="18"/>
                <w:szCs w:val="18"/>
              </w:rPr>
              <w:t xml:space="preserve">WP</w:t>
            </w:r>
          </w:p>
        </w:tc>
        <w:tc>
          <w:tcPr>
            <w:tcW w:type="dxa" w:w="700"/>
            <w:shd w:fill="1F3864" w:val="clear"/>
            <w:vAlign w:val="center"/>
          </w:tcPr>
          <w:p>
            <w:r>
              <w:rPr>
                <w:b/>
                <w:bCs/>
                <w:color w:val="FFFFFF"/>
                <w:sz w:val="18"/>
                <w:szCs w:val="18"/>
              </w:rPr>
              <w:t xml:space="preserve">AR</w:t>
            </w:r>
          </w:p>
        </w:tc>
        <w:tc>
          <w:tcPr>
            <w:tcW w:type="dxa" w:w="700"/>
            <w:shd w:fill="1F3864" w:val="clear"/>
            <w:vAlign w:val="center"/>
          </w:tcPr>
          <w:p>
            <w:r>
              <w:rPr>
                <w:b/>
                <w:bCs/>
                <w:color w:val="FFFFFF"/>
                <w:sz w:val="18"/>
                <w:szCs w:val="18"/>
              </w:rPr>
              <w:t xml:space="preserve">EGD</w:t>
            </w:r>
          </w:p>
        </w:tc>
        <w:tc>
          <w:tcPr>
            <w:tcW w:type="dxa" w:w="550"/>
            <w:shd w:fill="1F3864" w:val="clear"/>
            <w:vAlign w:val="center"/>
          </w:tcPr>
          <w:p>
            <w:r>
              <w:rPr>
                <w:b/>
                <w:bCs/>
                <w:color w:val="FFFFFF"/>
                <w:sz w:val="18"/>
                <w:szCs w:val="18"/>
              </w:rPr>
              <w:t xml:space="preserve">ER</w:t>
            </w:r>
          </w:p>
        </w:tc>
        <w:tc>
          <w:tcPr>
            <w:tcW w:type="dxa" w:w="1000"/>
            <w:shd w:fill="1F3864" w:val="clear"/>
            <w:vAlign w:val="center"/>
          </w:tcPr>
          <w:p>
            <w:r>
              <w:rPr>
                <w:b/>
                <w:bCs/>
                <w:color w:val="FFFFFF"/>
                <w:sz w:val="18"/>
                <w:szCs w:val="18"/>
              </w:rPr>
              <w:t xml:space="preserve">Eng. Design</w:t>
            </w:r>
          </w:p>
        </w:tc>
        <w:tc>
          <w:tcPr>
            <w:tcW w:type="dxa" w:w="1000"/>
            <w:shd w:fill="1F3864" w:val="clear"/>
            <w:vAlign w:val="center"/>
          </w:tcPr>
          <w:p>
            <w:r>
              <w:rPr>
                <w:b/>
                <w:bCs/>
                <w:color w:val="FFFFFF"/>
                <w:sz w:val="18"/>
                <w:szCs w:val="18"/>
              </w:rPr>
              <w:t xml:space="preserve">Impl. Activity</w:t>
            </w:r>
          </w:p>
        </w:tc>
        <w:tc>
          <w:tcPr>
            <w:tcW w:type="dxa" w:w="1250"/>
            <w:shd w:fill="1F3864" w:val="clear"/>
            <w:vAlign w:val="center"/>
          </w:tcPr>
          <w:p>
            <w:r>
              <w:rPr>
                <w:b/>
                <w:bCs/>
                <w:color w:val="FFFFFF"/>
                <w:sz w:val="18"/>
                <w:szCs w:val="18"/>
              </w:rPr>
              <w:t xml:space="preserve">Verif. Evidence</w:t>
            </w:r>
          </w:p>
        </w:tc>
        <w:tc>
          <w:tcPr>
            <w:tcW w:type="dxa" w:w="1300"/>
            <w:shd w:fill="1F3864" w:val="clear"/>
            <w:vAlign w:val="center"/>
          </w:tcPr>
          <w:p>
            <w:r>
              <w:rPr>
                <w:b/>
                <w:bCs/>
                <w:color w:val="FFFFFF"/>
                <w:sz w:val="18"/>
                <w:szCs w:val="18"/>
              </w:rPr>
              <w:t xml:space="preserve">Risk Mitigation</w:t>
            </w:r>
          </w:p>
        </w:tc>
        <w:tc>
          <w:tcPr>
            <w:tcW w:type="dxa" w:w="1300"/>
            <w:shd w:fill="1F3864" w:val="clear"/>
            <w:vAlign w:val="center"/>
          </w:tcPr>
          <w:p>
            <w:r>
              <w:rPr>
                <w:b/>
                <w:bCs/>
                <w:color w:val="FFFFFF"/>
                <w:sz w:val="18"/>
                <w:szCs w:val="18"/>
              </w:rPr>
              <w:t xml:space="preserve">Acceptance Evidence</w:t>
            </w:r>
          </w:p>
        </w:tc>
        <w:tc>
          <w:tcPr>
            <w:tcW w:type="dxa" w:w="850"/>
            <w:shd w:fill="1F3864" w:val="clear"/>
            <w:vAlign w:val="center"/>
          </w:tcPr>
          <w:p>
            <w:r>
              <w:rPr>
                <w:b/>
                <w:bCs/>
                <w:color w:val="FFFFFF"/>
                <w:sz w:val="18"/>
                <w:szCs w:val="18"/>
              </w:rPr>
              <w:t xml:space="preserve">Cert. Level</w:t>
            </w:r>
          </w:p>
        </w:tc>
      </w:tr>
      <w:tr>
        <w:tc>
          <w:tcPr>
            <w:tcW w:type="dxa" w:w="700"/>
            <w:vAlign w:val="center"/>
          </w:tcPr>
          <w:p>
            <w:r>
              <w:rPr>
                <w:b w:val="false"/>
                <w:bCs w:val="false"/>
                <w:color w:val="000000"/>
                <w:sz w:val="18"/>
                <w:szCs w:val="18"/>
              </w:rPr>
              <w:t xml:space="preserve">WP-0001</w:t>
            </w:r>
          </w:p>
        </w:tc>
        <w:tc>
          <w:tcPr>
            <w:tcW w:type="dxa" w:w="700"/>
            <w:vAlign w:val="center"/>
          </w:tcPr>
          <w:p>
            <w:r>
              <w:rPr>
                <w:b w:val="false"/>
                <w:bCs w:val="false"/>
                <w:color w:val="000000"/>
                <w:sz w:val="18"/>
                <w:szCs w:val="18"/>
              </w:rPr>
              <w:t xml:space="preserve">AR-0002</w:t>
            </w:r>
          </w:p>
        </w:tc>
        <w:tc>
          <w:tcPr>
            <w:tcW w:type="dxa" w:w="700"/>
            <w:vAlign w:val="center"/>
          </w:tcPr>
          <w:p>
            <w:r>
              <w:rPr>
                <w:b w:val="false"/>
                <w:bCs w:val="false"/>
                <w:color w:val="000000"/>
                <w:sz w:val="18"/>
                <w:szCs w:val="18"/>
              </w:rPr>
              <w:t xml:space="preserve">EGD-0002</w:t>
            </w:r>
          </w:p>
        </w:tc>
        <w:tc>
          <w:tcPr>
            <w:tcW w:type="dxa" w:w="550"/>
            <w:vAlign w:val="center"/>
          </w:tcPr>
          <w:p>
            <w:r>
              <w:rPr>
                <w:b w:val="false"/>
                <w:bCs w:val="false"/>
                <w:color w:val="000000"/>
                <w:sz w:val="18"/>
                <w:szCs w:val="18"/>
              </w:rPr>
              <w:t xml:space="preserve">ER-0002</w:t>
            </w:r>
          </w:p>
        </w:tc>
        <w:tc>
          <w:tcPr>
            <w:tcW w:type="dxa" w:w="1000"/>
            <w:vAlign w:val="center"/>
          </w:tcPr>
          <w:p>
            <w:r>
              <w:rPr>
                <w:b w:val="false"/>
                <w:bCs w:val="false"/>
                <w:color w:val="000000"/>
                <w:sz w:val="18"/>
                <w:szCs w:val="18"/>
              </w:rPr>
              <w:t xml:space="preserve">Section 4 §WP-0001</w:t>
            </w:r>
          </w:p>
        </w:tc>
        <w:tc>
          <w:tcPr>
            <w:tcW w:type="dxa" w:w="1000"/>
            <w:vAlign w:val="center"/>
          </w:tcPr>
          <w:p>
            <w:r>
              <w:rPr>
                <w:b w:val="false"/>
                <w:bCs w:val="false"/>
                <w:color w:val="000000"/>
                <w:sz w:val="18"/>
                <w:szCs w:val="18"/>
              </w:rPr>
              <w:t xml:space="preserve">Section 5 §3, WP-0001</w:t>
            </w:r>
          </w:p>
        </w:tc>
        <w:tc>
          <w:tcPr>
            <w:tcW w:type="dxa" w:w="1250"/>
            <w:vAlign w:val="center"/>
          </w:tcPr>
          <w:p>
            <w:r>
              <w:rPr>
                <w:b w:val="false"/>
                <w:bCs w:val="false"/>
                <w:color w:val="000000"/>
                <w:sz w:val="18"/>
                <w:szCs w:val="18"/>
              </w:rPr>
              <w:t xml:space="preserve">Zero-discrepancy diff</w:t>
            </w:r>
          </w:p>
        </w:tc>
        <w:tc>
          <w:tcPr>
            <w:tcW w:type="dxa" w:w="1300"/>
            <w:vAlign w:val="center"/>
          </w:tcPr>
          <w:p>
            <w:r>
              <w:rPr>
                <w:b w:val="false"/>
                <w:bCs w:val="false"/>
                <w:color w:val="000000"/>
                <w:sz w:val="18"/>
                <w:szCs w:val="18"/>
              </w:rPr>
              <w:t xml:space="preserve">Documentation/maintainability risk (High, mitigated)</w:t>
            </w:r>
          </w:p>
        </w:tc>
        <w:tc>
          <w:tcPr>
            <w:tcW w:type="dxa" w:w="1300"/>
            <w:vAlign w:val="center"/>
          </w:tcPr>
          <w:p>
            <w:r>
              <w:rPr>
                <w:b w:val="false"/>
                <w:bCs w:val="false"/>
                <w:color w:val="000000"/>
                <w:sz w:val="18"/>
                <w:szCs w:val="18"/>
              </w:rPr>
              <w:t xml:space="preserve">Zero-discrepancy diff + published document</w:t>
            </w:r>
          </w:p>
        </w:tc>
        <w:tc>
          <w:tcPr>
            <w:tcW w:type="dxa" w:w="850"/>
            <w:vAlign w:val="center"/>
          </w:tcPr>
          <w:p>
            <w:r>
              <w:rPr>
                <w:b w:val="false"/>
                <w:bCs w:val="false"/>
                <w:color w:val="000000"/>
                <w:sz w:val="18"/>
                <w:szCs w:val="18"/>
              </w:rPr>
              <w:t xml:space="preserve">L4 (pending)</w:t>
            </w:r>
          </w:p>
        </w:tc>
      </w:tr>
      <w:tr>
        <w:tc>
          <w:tcPr>
            <w:tcW w:type="dxa" w:w="700"/>
            <w:shd w:fill="F2F2F2" w:val="clear"/>
            <w:vAlign w:val="center"/>
          </w:tcPr>
          <w:p>
            <w:r>
              <w:rPr>
                <w:b w:val="false"/>
                <w:bCs w:val="false"/>
                <w:color w:val="000000"/>
                <w:sz w:val="18"/>
                <w:szCs w:val="18"/>
              </w:rPr>
              <w:t xml:space="preserve">WP-0002</w:t>
            </w:r>
          </w:p>
        </w:tc>
        <w:tc>
          <w:tcPr>
            <w:tcW w:type="dxa" w:w="700"/>
            <w:shd w:fill="F2F2F2" w:val="clear"/>
            <w:vAlign w:val="center"/>
          </w:tcPr>
          <w:p>
            <w:r>
              <w:rPr>
                <w:b w:val="false"/>
                <w:bCs w:val="false"/>
                <w:color w:val="000000"/>
                <w:sz w:val="18"/>
                <w:szCs w:val="18"/>
              </w:rPr>
              <w:t xml:space="preserve">AR-0007</w:t>
            </w:r>
          </w:p>
        </w:tc>
        <w:tc>
          <w:tcPr>
            <w:tcW w:type="dxa" w:w="700"/>
            <w:shd w:fill="F2F2F2" w:val="clear"/>
            <w:vAlign w:val="center"/>
          </w:tcPr>
          <w:p>
            <w:r>
              <w:rPr>
                <w:b w:val="false"/>
                <w:bCs w:val="false"/>
                <w:color w:val="000000"/>
                <w:sz w:val="18"/>
                <w:szCs w:val="18"/>
              </w:rPr>
              <w:t xml:space="preserve">EGD-0007</w:t>
            </w:r>
          </w:p>
        </w:tc>
        <w:tc>
          <w:tcPr>
            <w:tcW w:type="dxa" w:w="550"/>
            <w:shd w:fill="F2F2F2" w:val="clear"/>
            <w:vAlign w:val="center"/>
          </w:tcPr>
          <w:p>
            <w:r>
              <w:rPr>
                <w:b w:val="false"/>
                <w:bCs w:val="false"/>
                <w:color w:val="000000"/>
                <w:sz w:val="18"/>
                <w:szCs w:val="18"/>
              </w:rPr>
              <w:t xml:space="preserve">ER-0007</w:t>
            </w:r>
          </w:p>
        </w:tc>
        <w:tc>
          <w:tcPr>
            <w:tcW w:type="dxa" w:w="1000"/>
            <w:shd w:fill="F2F2F2" w:val="clear"/>
            <w:vAlign w:val="center"/>
          </w:tcPr>
          <w:p>
            <w:r>
              <w:rPr>
                <w:b w:val="false"/>
                <w:bCs w:val="false"/>
                <w:color w:val="000000"/>
                <w:sz w:val="18"/>
                <w:szCs w:val="18"/>
              </w:rPr>
              <w:t xml:space="preserve">Section 4 §WP-0002</w:t>
            </w:r>
          </w:p>
        </w:tc>
        <w:tc>
          <w:tcPr>
            <w:tcW w:type="dxa" w:w="1000"/>
            <w:shd w:fill="F2F2F2" w:val="clear"/>
            <w:vAlign w:val="center"/>
          </w:tcPr>
          <w:p>
            <w:r>
              <w:rPr>
                <w:b w:val="false"/>
                <w:bCs w:val="false"/>
                <w:color w:val="000000"/>
                <w:sz w:val="18"/>
                <w:szCs w:val="18"/>
              </w:rPr>
              <w:t xml:space="preserve">Section 5 §3, WP-0002</w:t>
            </w:r>
          </w:p>
        </w:tc>
        <w:tc>
          <w:tcPr>
            <w:tcW w:type="dxa" w:w="1250"/>
            <w:shd w:fill="F2F2F2" w:val="clear"/>
            <w:vAlign w:val="center"/>
          </w:tcPr>
          <w:p>
            <w:r>
              <w:rPr>
                <w:b w:val="false"/>
                <w:bCs w:val="false"/>
                <w:color w:val="000000"/>
                <w:sz w:val="18"/>
                <w:szCs w:val="18"/>
              </w:rPr>
              <w:t xml:space="preserve">Per-table verification ledger</w:t>
            </w:r>
          </w:p>
        </w:tc>
        <w:tc>
          <w:tcPr>
            <w:tcW w:type="dxa" w:w="1300"/>
            <w:shd w:fill="F2F2F2" w:val="clear"/>
            <w:vAlign w:val="center"/>
          </w:tcPr>
          <w:p>
            <w:r>
              <w:rPr>
                <w:b w:val="false"/>
                <w:bCs w:val="false"/>
                <w:color w:val="000000"/>
                <w:sz w:val="18"/>
                <w:szCs w:val="18"/>
              </w:rPr>
              <w:t xml:space="preserve">RLS gap (High if confirmed)</w:t>
            </w:r>
          </w:p>
        </w:tc>
        <w:tc>
          <w:tcPr>
            <w:tcW w:type="dxa" w:w="1300"/>
            <w:shd w:fill="F2F2F2" w:val="clear"/>
            <w:vAlign w:val="center"/>
          </w:tcPr>
          <w:p>
            <w:r>
              <w:rPr>
                <w:b w:val="false"/>
                <w:bCs w:val="false"/>
                <w:color w:val="000000"/>
                <w:sz w:val="18"/>
                <w:szCs w:val="18"/>
              </w:rPr>
              <w:t xml:space="preserve">Written RLS confirmation, all tables</w:t>
            </w:r>
          </w:p>
        </w:tc>
        <w:tc>
          <w:tcPr>
            <w:tcW w:type="dxa" w:w="850"/>
            <w:shd w:fill="F2F2F2" w:val="clear"/>
            <w:vAlign w:val="center"/>
          </w:tcPr>
          <w:p>
            <w:r>
              <w:rPr>
                <w:b w:val="false"/>
                <w:bCs w:val="false"/>
                <w:color w:val="000000"/>
                <w:sz w:val="18"/>
                <w:szCs w:val="18"/>
              </w:rPr>
              <w:t xml:space="preserve">L4 (pending)</w:t>
            </w:r>
          </w:p>
        </w:tc>
      </w:tr>
      <w:tr>
        <w:tc>
          <w:tcPr>
            <w:tcW w:type="dxa" w:w="700"/>
            <w:vAlign w:val="center"/>
          </w:tcPr>
          <w:p>
            <w:r>
              <w:rPr>
                <w:b w:val="false"/>
                <w:bCs w:val="false"/>
                <w:color w:val="000000"/>
                <w:sz w:val="18"/>
                <w:szCs w:val="18"/>
              </w:rPr>
              <w:t xml:space="preserve">WP-0003</w:t>
            </w:r>
          </w:p>
        </w:tc>
        <w:tc>
          <w:tcPr>
            <w:tcW w:type="dxa" w:w="700"/>
            <w:vAlign w:val="center"/>
          </w:tcPr>
          <w:p>
            <w:r>
              <w:rPr>
                <w:b w:val="false"/>
                <w:bCs w:val="false"/>
                <w:color w:val="000000"/>
                <w:sz w:val="18"/>
                <w:szCs w:val="18"/>
              </w:rPr>
              <w:t xml:space="preserve">AR-0004</w:t>
            </w:r>
          </w:p>
        </w:tc>
        <w:tc>
          <w:tcPr>
            <w:tcW w:type="dxa" w:w="700"/>
            <w:vAlign w:val="center"/>
          </w:tcPr>
          <w:p>
            <w:r>
              <w:rPr>
                <w:b w:val="false"/>
                <w:bCs w:val="false"/>
                <w:color w:val="000000"/>
                <w:sz w:val="18"/>
                <w:szCs w:val="18"/>
              </w:rPr>
              <w:t xml:space="preserve">EGD-0004</w:t>
            </w:r>
          </w:p>
        </w:tc>
        <w:tc>
          <w:tcPr>
            <w:tcW w:type="dxa" w:w="550"/>
            <w:vAlign w:val="center"/>
          </w:tcPr>
          <w:p>
            <w:r>
              <w:rPr>
                <w:b w:val="false"/>
                <w:bCs w:val="false"/>
                <w:color w:val="000000"/>
                <w:sz w:val="18"/>
                <w:szCs w:val="18"/>
              </w:rPr>
              <w:t xml:space="preserve">ER-0004</w:t>
            </w:r>
          </w:p>
        </w:tc>
        <w:tc>
          <w:tcPr>
            <w:tcW w:type="dxa" w:w="1000"/>
            <w:vAlign w:val="center"/>
          </w:tcPr>
          <w:p>
            <w:r>
              <w:rPr>
                <w:b w:val="false"/>
                <w:bCs w:val="false"/>
                <w:color w:val="000000"/>
                <w:sz w:val="18"/>
                <w:szCs w:val="18"/>
              </w:rPr>
              <w:t xml:space="preserve">Section 4 §WP-0003</w:t>
            </w:r>
          </w:p>
        </w:tc>
        <w:tc>
          <w:tcPr>
            <w:tcW w:type="dxa" w:w="1000"/>
            <w:vAlign w:val="center"/>
          </w:tcPr>
          <w:p>
            <w:r>
              <w:rPr>
                <w:b w:val="false"/>
                <w:bCs w:val="false"/>
                <w:color w:val="000000"/>
                <w:sz w:val="18"/>
                <w:szCs w:val="18"/>
              </w:rPr>
              <w:t xml:space="preserve">Section 5 §3, WP-0003</w:t>
            </w:r>
          </w:p>
        </w:tc>
        <w:tc>
          <w:tcPr>
            <w:tcW w:type="dxa" w:w="1250"/>
            <w:vAlign w:val="center"/>
          </w:tcPr>
          <w:p>
            <w:r>
              <w:rPr>
                <w:b w:val="false"/>
                <w:bCs w:val="false"/>
                <w:color w:val="000000"/>
                <w:sz w:val="18"/>
                <w:szCs w:val="18"/>
              </w:rPr>
              <w:t xml:space="preserve">Quarterly assessment report</w:t>
            </w:r>
          </w:p>
        </w:tc>
        <w:tc>
          <w:tcPr>
            <w:tcW w:type="dxa" w:w="1300"/>
            <w:vAlign w:val="center"/>
          </w:tcPr>
          <w:p>
            <w:r>
              <w:rPr>
                <w:b w:val="false"/>
                <w:bCs w:val="false"/>
                <w:color w:val="000000"/>
                <w:sz w:val="18"/>
                <w:szCs w:val="18"/>
              </w:rPr>
              <w:t xml:space="preserve">Unpartitioned growth (Medium, growing)</w:t>
            </w:r>
          </w:p>
        </w:tc>
        <w:tc>
          <w:tcPr>
            <w:tcW w:type="dxa" w:w="1300"/>
            <w:vAlign w:val="center"/>
          </w:tcPr>
          <w:p>
            <w:r>
              <w:rPr>
                <w:b w:val="false"/>
                <w:bCs w:val="false"/>
                <w:color w:val="000000"/>
                <w:sz w:val="18"/>
                <w:szCs w:val="18"/>
              </w:rPr>
              <w:t xml:space="preserve">Quarterly monitoring evidence, current</w:t>
            </w:r>
          </w:p>
        </w:tc>
        <w:tc>
          <w:tcPr>
            <w:tcW w:type="dxa" w:w="850"/>
            <w:vAlign w:val="center"/>
          </w:tcPr>
          <w:p>
            <w:r>
              <w:rPr>
                <w:b w:val="false"/>
                <w:bCs w:val="false"/>
                <w:color w:val="000000"/>
                <w:sz w:val="18"/>
                <w:szCs w:val="18"/>
              </w:rPr>
              <w:t xml:space="preserve">L3 (standing); L4 if triggered</w:t>
            </w:r>
          </w:p>
        </w:tc>
      </w:tr>
      <w:tr>
        <w:tc>
          <w:tcPr>
            <w:tcW w:type="dxa" w:w="700"/>
            <w:shd w:fill="F2F2F2" w:val="clear"/>
            <w:vAlign w:val="center"/>
          </w:tcPr>
          <w:p>
            <w:r>
              <w:rPr>
                <w:b w:val="false"/>
                <w:bCs w:val="false"/>
                <w:color w:val="000000"/>
                <w:sz w:val="18"/>
                <w:szCs w:val="18"/>
              </w:rPr>
              <w:t xml:space="preserve">WP-0004</w:t>
            </w:r>
          </w:p>
        </w:tc>
        <w:tc>
          <w:tcPr>
            <w:tcW w:type="dxa" w:w="700"/>
            <w:shd w:fill="F2F2F2" w:val="clear"/>
            <w:vAlign w:val="center"/>
          </w:tcPr>
          <w:p>
            <w:r>
              <w:rPr>
                <w:b w:val="false"/>
                <w:bCs w:val="false"/>
                <w:color w:val="000000"/>
                <w:sz w:val="18"/>
                <w:szCs w:val="18"/>
              </w:rPr>
              <w:t xml:space="preserve">AR-0003</w:t>
            </w:r>
          </w:p>
        </w:tc>
        <w:tc>
          <w:tcPr>
            <w:tcW w:type="dxa" w:w="700"/>
            <w:shd w:fill="F2F2F2" w:val="clear"/>
            <w:vAlign w:val="center"/>
          </w:tcPr>
          <w:p>
            <w:r>
              <w:rPr>
                <w:b w:val="false"/>
                <w:bCs w:val="false"/>
                <w:color w:val="000000"/>
                <w:sz w:val="18"/>
                <w:szCs w:val="18"/>
              </w:rPr>
              <w:t xml:space="preserve">EGD-0003</w:t>
            </w:r>
          </w:p>
        </w:tc>
        <w:tc>
          <w:tcPr>
            <w:tcW w:type="dxa" w:w="550"/>
            <w:shd w:fill="F2F2F2" w:val="clear"/>
            <w:vAlign w:val="center"/>
          </w:tcPr>
          <w:p>
            <w:r>
              <w:rPr>
                <w:b w:val="false"/>
                <w:bCs w:val="false"/>
                <w:color w:val="000000"/>
                <w:sz w:val="18"/>
                <w:szCs w:val="18"/>
              </w:rPr>
              <w:t xml:space="preserve">ER-0003</w:t>
            </w:r>
          </w:p>
        </w:tc>
        <w:tc>
          <w:tcPr>
            <w:tcW w:type="dxa" w:w="1000"/>
            <w:shd w:fill="F2F2F2" w:val="clear"/>
            <w:vAlign w:val="center"/>
          </w:tcPr>
          <w:p>
            <w:r>
              <w:rPr>
                <w:b w:val="false"/>
                <w:bCs w:val="false"/>
                <w:color w:val="000000"/>
                <w:sz w:val="18"/>
                <w:szCs w:val="18"/>
              </w:rPr>
              <w:t xml:space="preserve">Section 4 §WP-0004</w:t>
            </w:r>
          </w:p>
        </w:tc>
        <w:tc>
          <w:tcPr>
            <w:tcW w:type="dxa" w:w="1000"/>
            <w:shd w:fill="F2F2F2" w:val="clear"/>
            <w:vAlign w:val="center"/>
          </w:tcPr>
          <w:p>
            <w:r>
              <w:rPr>
                <w:b w:val="false"/>
                <w:bCs w:val="false"/>
                <w:color w:val="000000"/>
                <w:sz w:val="18"/>
                <w:szCs w:val="18"/>
              </w:rPr>
              <w:t xml:space="preserve">Section 5 §3, WP-0004</w:t>
            </w:r>
          </w:p>
        </w:tc>
        <w:tc>
          <w:tcPr>
            <w:tcW w:type="dxa" w:w="1250"/>
            <w:shd w:fill="F2F2F2" w:val="clear"/>
            <w:vAlign w:val="center"/>
          </w:tcPr>
          <w:p>
            <w:r>
              <w:rPr>
                <w:b w:val="false"/>
                <w:bCs w:val="false"/>
                <w:color w:val="000000"/>
                <w:sz w:val="18"/>
                <w:szCs w:val="18"/>
              </w:rPr>
              <w:t xml:space="preserve">Per-release check output</w:t>
            </w:r>
          </w:p>
        </w:tc>
        <w:tc>
          <w:tcPr>
            <w:tcW w:type="dxa" w:w="1300"/>
            <w:shd w:fill="F2F2F2" w:val="clear"/>
            <w:vAlign w:val="center"/>
          </w:tcPr>
          <w:p>
            <w:r>
              <w:rPr>
                <w:b w:val="false"/>
                <w:bCs w:val="false"/>
                <w:color w:val="000000"/>
                <w:sz w:val="18"/>
                <w:szCs w:val="18"/>
              </w:rPr>
              <w:t xml:space="preserve">Latent denormalization (Medium)</w:t>
            </w:r>
          </w:p>
        </w:tc>
        <w:tc>
          <w:tcPr>
            <w:tcW w:type="dxa" w:w="1300"/>
            <w:shd w:fill="F2F2F2" w:val="clear"/>
            <w:vAlign w:val="center"/>
          </w:tcPr>
          <w:p>
            <w:r>
              <w:rPr>
                <w:b w:val="false"/>
                <w:bCs w:val="false"/>
                <w:color w:val="000000"/>
                <w:sz w:val="18"/>
                <w:szCs w:val="18"/>
              </w:rPr>
              <w:t xml:space="preserve">Zero violations in check history</w:t>
            </w:r>
          </w:p>
        </w:tc>
        <w:tc>
          <w:tcPr>
            <w:tcW w:type="dxa" w:w="850"/>
            <w:shd w:fill="F2F2F2" w:val="clear"/>
            <w:vAlign w:val="center"/>
          </w:tcPr>
          <w:p>
            <w:r>
              <w:rPr>
                <w:b w:val="false"/>
                <w:bCs w:val="false"/>
                <w:color w:val="000000"/>
                <w:sz w:val="18"/>
                <w:szCs w:val="18"/>
              </w:rPr>
              <w:t xml:space="preserve">L4 (pending)</w:t>
            </w:r>
          </w:p>
        </w:tc>
      </w:tr>
      <w:tr>
        <w:tc>
          <w:tcPr>
            <w:tcW w:type="dxa" w:w="700"/>
            <w:vAlign w:val="center"/>
          </w:tcPr>
          <w:p>
            <w:r>
              <w:rPr>
                <w:b w:val="false"/>
                <w:bCs w:val="false"/>
                <w:color w:val="000000"/>
                <w:sz w:val="18"/>
                <w:szCs w:val="18"/>
              </w:rPr>
              <w:t xml:space="preserve">WP-0005</w:t>
            </w:r>
          </w:p>
        </w:tc>
        <w:tc>
          <w:tcPr>
            <w:tcW w:type="dxa" w:w="700"/>
            <w:vAlign w:val="center"/>
          </w:tcPr>
          <w:p>
            <w:r>
              <w:rPr>
                <w:b w:val="false"/>
                <w:bCs w:val="false"/>
                <w:color w:val="000000"/>
                <w:sz w:val="18"/>
                <w:szCs w:val="18"/>
              </w:rPr>
              <w:t xml:space="preserve">AR-0007 (ext.)</w:t>
            </w:r>
          </w:p>
        </w:tc>
        <w:tc>
          <w:tcPr>
            <w:tcW w:type="dxa" w:w="700"/>
            <w:vAlign w:val="center"/>
          </w:tcPr>
          <w:p>
            <w:r>
              <w:rPr>
                <w:b w:val="false"/>
                <w:bCs w:val="false"/>
                <w:color w:val="000000"/>
                <w:sz w:val="18"/>
                <w:szCs w:val="18"/>
              </w:rPr>
              <w:t xml:space="preserve">EGD-0007</w:t>
            </w:r>
          </w:p>
        </w:tc>
        <w:tc>
          <w:tcPr>
            <w:tcW w:type="dxa" w:w="550"/>
            <w:vAlign w:val="center"/>
          </w:tcPr>
          <w:p>
            <w:r>
              <w:rPr>
                <w:b w:val="false"/>
                <w:bCs w:val="false"/>
                <w:color w:val="000000"/>
                <w:sz w:val="18"/>
                <w:szCs w:val="18"/>
              </w:rPr>
              <w:t xml:space="preserve">ER-0007</w:t>
            </w:r>
          </w:p>
        </w:tc>
        <w:tc>
          <w:tcPr>
            <w:tcW w:type="dxa" w:w="1000"/>
            <w:vAlign w:val="center"/>
          </w:tcPr>
          <w:p>
            <w:r>
              <w:rPr>
                <w:b w:val="false"/>
                <w:bCs w:val="false"/>
                <w:color w:val="000000"/>
                <w:sz w:val="18"/>
                <w:szCs w:val="18"/>
              </w:rPr>
              <w:t xml:space="preserve">Section 4 §WP-0005</w:t>
            </w:r>
          </w:p>
        </w:tc>
        <w:tc>
          <w:tcPr>
            <w:tcW w:type="dxa" w:w="1000"/>
            <w:vAlign w:val="center"/>
          </w:tcPr>
          <w:p>
            <w:r>
              <w:rPr>
                <w:b w:val="false"/>
                <w:bCs w:val="false"/>
                <w:color w:val="000000"/>
                <w:sz w:val="18"/>
                <w:szCs w:val="18"/>
              </w:rPr>
              <w:t xml:space="preserve">Section 5 §3, WP-0005</w:t>
            </w:r>
          </w:p>
        </w:tc>
        <w:tc>
          <w:tcPr>
            <w:tcW w:type="dxa" w:w="1250"/>
            <w:vAlign w:val="center"/>
          </w:tcPr>
          <w:p>
            <w:r>
              <w:rPr>
                <w:b w:val="false"/>
                <w:bCs w:val="false"/>
                <w:color w:val="000000"/>
                <w:sz w:val="18"/>
                <w:szCs w:val="18"/>
              </w:rPr>
              <w:t xml:space="preserve">Per-column decision ledger</w:t>
            </w:r>
          </w:p>
        </w:tc>
        <w:tc>
          <w:tcPr>
            <w:tcW w:type="dxa" w:w="1300"/>
            <w:vAlign w:val="center"/>
          </w:tcPr>
          <w:p>
            <w:r>
              <w:rPr>
                <w:b w:val="false"/>
                <w:bCs w:val="false"/>
                <w:color w:val="000000"/>
                <w:sz w:val="18"/>
                <w:szCs w:val="18"/>
              </w:rPr>
              <w:t xml:space="preserve">Latent column exposure (Low–Medium)</w:t>
            </w:r>
          </w:p>
        </w:tc>
        <w:tc>
          <w:tcPr>
            <w:tcW w:type="dxa" w:w="1300"/>
            <w:vAlign w:val="center"/>
          </w:tcPr>
          <w:p>
            <w:r>
              <w:rPr>
                <w:b w:val="false"/>
                <w:bCs w:val="false"/>
                <w:color w:val="000000"/>
                <w:sz w:val="18"/>
                <w:szCs w:val="18"/>
              </w:rPr>
              <w:t xml:space="preserve">Documented decision per column</w:t>
            </w:r>
          </w:p>
        </w:tc>
        <w:tc>
          <w:tcPr>
            <w:tcW w:type="dxa" w:w="850"/>
            <w:vAlign w:val="center"/>
          </w:tcPr>
          <w:p>
            <w:r>
              <w:rPr>
                <w:b w:val="false"/>
                <w:bCs w:val="false"/>
                <w:color w:val="000000"/>
                <w:sz w:val="18"/>
                <w:szCs w:val="18"/>
              </w:rPr>
              <w:t xml:space="preserve">L4 (pending, ext.)</w:t>
            </w:r>
          </w:p>
        </w:tc>
      </w:tr>
      <w:tr>
        <w:tc>
          <w:tcPr>
            <w:tcW w:type="dxa" w:w="700"/>
            <w:shd w:fill="F2F2F2" w:val="clear"/>
            <w:vAlign w:val="center"/>
          </w:tcPr>
          <w:p>
            <w:r>
              <w:rPr>
                <w:b w:val="false"/>
                <w:bCs w:val="false"/>
                <w:color w:val="000000"/>
                <w:sz w:val="18"/>
                <w:szCs w:val="18"/>
              </w:rPr>
              <w:t xml:space="preserve">WP-0006</w:t>
            </w:r>
          </w:p>
        </w:tc>
        <w:tc>
          <w:tcPr>
            <w:tcW w:type="dxa" w:w="700"/>
            <w:shd w:fill="F2F2F2" w:val="clear"/>
            <w:vAlign w:val="center"/>
          </w:tcPr>
          <w:p>
            <w:r>
              <w:rPr>
                <w:b w:val="false"/>
                <w:bCs w:val="false"/>
                <w:color w:val="000000"/>
                <w:sz w:val="18"/>
                <w:szCs w:val="18"/>
              </w:rPr>
              <w:t xml:space="preserve">AP-009 (all)</w:t>
            </w:r>
          </w:p>
        </w:tc>
        <w:tc>
          <w:tcPr>
            <w:tcW w:type="dxa" w:w="700"/>
            <w:shd w:fill="F2F2F2" w:val="clear"/>
            <w:vAlign w:val="center"/>
          </w:tcPr>
          <w:p>
            <w:r>
              <w:rPr>
                <w:b w:val="false"/>
                <w:bCs w:val="false"/>
                <w:color w:val="000000"/>
                <w:sz w:val="18"/>
                <w:szCs w:val="18"/>
              </w:rPr>
              <w:t xml:space="preserve">EGD-0001–0009</w:t>
            </w:r>
          </w:p>
        </w:tc>
        <w:tc>
          <w:tcPr>
            <w:tcW w:type="dxa" w:w="550"/>
            <w:shd w:fill="F2F2F2" w:val="clear"/>
            <w:vAlign w:val="center"/>
          </w:tcPr>
          <w:p>
            <w:r>
              <w:rPr>
                <w:b w:val="false"/>
                <w:bCs w:val="false"/>
                <w:color w:val="000000"/>
                <w:sz w:val="18"/>
                <w:szCs w:val="18"/>
              </w:rPr>
              <w:t xml:space="preserve">—</w:t>
            </w:r>
          </w:p>
        </w:tc>
        <w:tc>
          <w:tcPr>
            <w:tcW w:type="dxa" w:w="1000"/>
            <w:shd w:fill="F2F2F2" w:val="clear"/>
            <w:vAlign w:val="center"/>
          </w:tcPr>
          <w:p>
            <w:r>
              <w:rPr>
                <w:b w:val="false"/>
                <w:bCs w:val="false"/>
                <w:color w:val="000000"/>
                <w:sz w:val="18"/>
                <w:szCs w:val="18"/>
              </w:rPr>
              <w:t xml:space="preserve">Section 4 §WP-0006</w:t>
            </w:r>
          </w:p>
        </w:tc>
        <w:tc>
          <w:tcPr>
            <w:tcW w:type="dxa" w:w="1000"/>
            <w:shd w:fill="F2F2F2" w:val="clear"/>
            <w:vAlign w:val="center"/>
          </w:tcPr>
          <w:p>
            <w:r>
              <w:rPr>
                <w:b w:val="false"/>
                <w:bCs w:val="false"/>
                <w:color w:val="000000"/>
                <w:sz w:val="18"/>
                <w:szCs w:val="18"/>
              </w:rPr>
              <w:t xml:space="preserve">Section 5 §3, WP-0006</w:t>
            </w:r>
          </w:p>
        </w:tc>
        <w:tc>
          <w:tcPr>
            <w:tcW w:type="dxa" w:w="1250"/>
            <w:shd w:fill="F2F2F2" w:val="clear"/>
            <w:vAlign w:val="center"/>
          </w:tcPr>
          <w:p>
            <w:r>
              <w:rPr>
                <w:b w:val="false"/>
                <w:bCs w:val="false"/>
                <w:color w:val="000000"/>
                <w:sz w:val="18"/>
                <w:szCs w:val="18"/>
              </w:rPr>
              <w:t xml:space="preserve">Named-owner governance record</w:t>
            </w:r>
          </w:p>
        </w:tc>
        <w:tc>
          <w:tcPr>
            <w:tcW w:type="dxa" w:w="1300"/>
            <w:shd w:fill="F2F2F2" w:val="clear"/>
            <w:vAlign w:val="center"/>
          </w:tcPr>
          <w:p>
            <w:r>
              <w:rPr>
                <w:b w:val="false"/>
                <w:bCs w:val="false"/>
                <w:color w:val="000000"/>
                <w:sz w:val="18"/>
                <w:szCs w:val="18"/>
              </w:rPr>
              <w:t xml:space="preserve">N/A — mitigating WP</w:t>
            </w:r>
          </w:p>
        </w:tc>
        <w:tc>
          <w:tcPr>
            <w:tcW w:type="dxa" w:w="1300"/>
            <w:shd w:fill="F2F2F2" w:val="clear"/>
            <w:vAlign w:val="center"/>
          </w:tcPr>
          <w:p>
            <w:r>
              <w:rPr>
                <w:b w:val="false"/>
                <w:bCs w:val="false"/>
                <w:color w:val="000000"/>
                <w:sz w:val="18"/>
                <w:szCs w:val="18"/>
              </w:rPr>
              <w:t xml:space="preserve">KPI-08 = 100%</w:t>
            </w:r>
          </w:p>
        </w:tc>
        <w:tc>
          <w:tcPr>
            <w:tcW w:type="dxa" w:w="850"/>
            <w:shd w:fill="F2F2F2" w:val="clear"/>
            <w:vAlign w:val="center"/>
          </w:tcPr>
          <w:p>
            <w:r>
              <w:rPr>
                <w:b w:val="false"/>
                <w:bCs w:val="false"/>
                <w:color w:val="000000"/>
                <w:sz w:val="18"/>
                <w:szCs w:val="18"/>
              </w:rPr>
              <w:t xml:space="preserve">Not Applicable</w:t>
            </w:r>
          </w:p>
        </w:tc>
      </w:tr>
    </w:tbl>
    <w:p>
      <w:pPr>
        <w:pStyle w:val="Heading1"/>
        <w:spacing w:after="200" w:before="400"/>
      </w:pPr>
      <w:r>
        <w:t xml:space="preserve">9. Executive Acceptance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1150"/>
        <w:gridCol w:w="1650"/>
        <w:gridCol w:w="1150"/>
        <w:gridCol w:w="1300"/>
        <w:gridCol w:w="1200"/>
        <w:gridCol w:w="1000"/>
        <w:gridCol w:w="1200"/>
      </w:tblGrid>
      <w:tr>
        <w:trPr>
          <w:tblHeader/>
        </w:trPr>
        <w:tc>
          <w:tcPr>
            <w:tcW w:type="dxa" w:w="700"/>
            <w:shd w:fill="1F3864" w:val="clear"/>
            <w:vAlign w:val="center"/>
          </w:tcPr>
          <w:p>
            <w:r>
              <w:rPr>
                <w:b/>
                <w:bCs/>
                <w:color w:val="FFFFFF"/>
                <w:sz w:val="18"/>
                <w:szCs w:val="18"/>
              </w:rPr>
              <w:t xml:space="preserve">WP</w:t>
            </w:r>
          </w:p>
        </w:tc>
        <w:tc>
          <w:tcPr>
            <w:tcW w:type="dxa" w:w="1150"/>
            <w:shd w:fill="1F3864" w:val="clear"/>
            <w:vAlign w:val="center"/>
          </w:tcPr>
          <w:p>
            <w:r>
              <w:rPr>
                <w:b/>
                <w:bCs/>
                <w:color w:val="FFFFFF"/>
                <w:sz w:val="18"/>
                <w:szCs w:val="18"/>
              </w:rPr>
              <w:t xml:space="preserve">Acceptance Status</w:t>
            </w:r>
          </w:p>
        </w:tc>
        <w:tc>
          <w:tcPr>
            <w:tcW w:type="dxa" w:w="1650"/>
            <w:shd w:fill="1F3864" w:val="clear"/>
            <w:vAlign w:val="center"/>
          </w:tcPr>
          <w:p>
            <w:r>
              <w:rPr>
                <w:b/>
                <w:bCs/>
                <w:color w:val="FFFFFF"/>
                <w:sz w:val="18"/>
                <w:szCs w:val="18"/>
              </w:rPr>
              <w:t xml:space="preserve">Repository Status</w:t>
            </w:r>
          </w:p>
        </w:tc>
        <w:tc>
          <w:tcPr>
            <w:tcW w:type="dxa" w:w="1150"/>
            <w:shd w:fill="1F3864" w:val="clear"/>
            <w:vAlign w:val="center"/>
          </w:tcPr>
          <w:p>
            <w:r>
              <w:rPr>
                <w:b/>
                <w:bCs/>
                <w:color w:val="FFFFFF"/>
                <w:sz w:val="18"/>
                <w:szCs w:val="18"/>
              </w:rPr>
              <w:t xml:space="preserve">Verification Completion</w:t>
            </w:r>
          </w:p>
        </w:tc>
        <w:tc>
          <w:tcPr>
            <w:tcW w:type="dxa" w:w="1300"/>
            <w:shd w:fill="1F3864" w:val="clear"/>
            <w:vAlign w:val="center"/>
          </w:tcPr>
          <w:p>
            <w:r>
              <w:rPr>
                <w:b/>
                <w:bCs/>
                <w:color w:val="FFFFFF"/>
                <w:sz w:val="18"/>
                <w:szCs w:val="18"/>
              </w:rPr>
              <w:t xml:space="preserve">Risk Closure</w:t>
            </w:r>
          </w:p>
        </w:tc>
        <w:tc>
          <w:tcPr>
            <w:tcW w:type="dxa" w:w="1200"/>
            <w:shd w:fill="1F3864" w:val="clear"/>
            <w:vAlign w:val="center"/>
          </w:tcPr>
          <w:p>
            <w:r>
              <w:rPr>
                <w:b/>
                <w:bCs/>
                <w:color w:val="FFFFFF"/>
                <w:sz w:val="18"/>
                <w:szCs w:val="18"/>
              </w:rPr>
              <w:t xml:space="preserve">KPI Status</w:t>
            </w:r>
          </w:p>
        </w:tc>
        <w:tc>
          <w:tcPr>
            <w:tcW w:type="dxa" w:w="1000"/>
            <w:shd w:fill="1F3864" w:val="clear"/>
            <w:vAlign w:val="center"/>
          </w:tcPr>
          <w:p>
            <w:r>
              <w:rPr>
                <w:b/>
                <w:bCs/>
                <w:color w:val="FFFFFF"/>
                <w:sz w:val="18"/>
                <w:szCs w:val="18"/>
              </w:rPr>
              <w:t xml:space="preserve">Cert. Readiness</w:t>
            </w:r>
          </w:p>
        </w:tc>
        <w:tc>
          <w:tcPr>
            <w:tcW w:type="dxa" w:w="1200"/>
            <w:shd w:fill="1F3864" w:val="clear"/>
            <w:vAlign w:val="center"/>
          </w:tcPr>
          <w:p>
            <w:r>
              <w:rPr>
                <w:b/>
                <w:bCs/>
                <w:color w:val="FFFFFF"/>
                <w:sz w:val="18"/>
                <w:szCs w:val="18"/>
              </w:rPr>
              <w:t xml:space="preserve">Readiness</w:t>
            </w:r>
          </w:p>
        </w:tc>
      </w:tr>
      <w:tr>
        <w:tc>
          <w:tcPr>
            <w:tcW w:type="dxa" w:w="700"/>
            <w:vAlign w:val="center"/>
          </w:tcPr>
          <w:p>
            <w:r>
              <w:rPr>
                <w:b w:val="false"/>
                <w:bCs w:val="false"/>
                <w:color w:val="000000"/>
                <w:sz w:val="18"/>
                <w:szCs w:val="18"/>
              </w:rPr>
              <w:t xml:space="preserve">WP-0001</w:t>
            </w:r>
          </w:p>
        </w:tc>
        <w:tc>
          <w:tcPr>
            <w:tcW w:type="dxa" w:w="1150"/>
            <w:vAlign w:val="center"/>
          </w:tcPr>
          <w:p>
            <w:r>
              <w:rPr>
                <w:b w:val="false"/>
                <w:bCs w:val="false"/>
                <w:color w:val="000000"/>
                <w:sz w:val="18"/>
                <w:szCs w:val="18"/>
              </w:rPr>
              <w:t xml:space="preserve">Not started</w:t>
            </w:r>
          </w:p>
        </w:tc>
        <w:tc>
          <w:tcPr>
            <w:tcW w:type="dxa" w:w="1650"/>
            <w:vAlign w:val="center"/>
          </w:tcPr>
          <w:p>
            <w:r>
              <w:rPr>
                <w:b w:val="false"/>
                <w:bCs w:val="false"/>
                <w:color w:val="000000"/>
                <w:sz w:val="18"/>
                <w:szCs w:val="18"/>
              </w:rPr>
              <w:t xml:space="preserve">Documentation — not yet published</w:t>
            </w:r>
          </w:p>
        </w:tc>
        <w:tc>
          <w:tcPr>
            <w:tcW w:type="dxa" w:w="1150"/>
            <w:vAlign w:val="center"/>
          </w:tcPr>
          <w:p>
            <w:r>
              <w:rPr>
                <w:b w:val="false"/>
                <w:bCs w:val="false"/>
                <w:color w:val="000000"/>
                <w:sz w:val="18"/>
                <w:szCs w:val="18"/>
              </w:rPr>
              <w:t xml:space="preserve">Not yet executed</w:t>
            </w:r>
          </w:p>
        </w:tc>
        <w:tc>
          <w:tcPr>
            <w:tcW w:type="dxa" w:w="1300"/>
            <w:vAlign w:val="center"/>
          </w:tcPr>
          <w:p>
            <w:r>
              <w:rPr>
                <w:b w:val="false"/>
                <w:bCs w:val="false"/>
                <w:color w:val="000000"/>
                <w:sz w:val="18"/>
                <w:szCs w:val="18"/>
              </w:rPr>
              <w:t xml:space="preserve">Not started</w:t>
            </w:r>
          </w:p>
        </w:tc>
        <w:tc>
          <w:tcPr>
            <w:tcW w:type="dxa" w:w="1200"/>
            <w:vAlign w:val="center"/>
          </w:tcPr>
          <w:p>
            <w:r>
              <w:rPr>
                <w:b w:val="false"/>
                <w:bCs w:val="false"/>
                <w:color w:val="000000"/>
                <w:sz w:val="18"/>
                <w:szCs w:val="18"/>
              </w:rPr>
              <w:t xml:space="preserve">KPI-02 = 30/100 (baseline)</w:t>
            </w:r>
          </w:p>
        </w:tc>
        <w:tc>
          <w:tcPr>
            <w:tcW w:type="dxa" w:w="1000"/>
            <w:vAlign w:val="center"/>
          </w:tcPr>
          <w:p>
            <w:r>
              <w:rPr>
                <w:b w:val="false"/>
                <w:bCs w:val="false"/>
                <w:color w:val="000000"/>
                <w:sz w:val="18"/>
                <w:szCs w:val="18"/>
              </w:rPr>
              <w:t xml:space="preserve">L4 pending</w:t>
            </w:r>
          </w:p>
        </w:tc>
        <w:tc>
          <w:tcPr>
            <w:tcW w:type="dxa" w:w="1200"/>
            <w:vAlign w:val="center"/>
          </w:tcPr>
          <w:p>
            <w:r>
              <w:rPr>
                <w:b w:val="false"/>
                <w:bCs w:val="false"/>
                <w:color w:val="000000"/>
                <w:sz w:val="18"/>
                <w:szCs w:val="18"/>
              </w:rPr>
              <w:t xml:space="preserve">Ready (Wave 2)</w:t>
            </w:r>
          </w:p>
        </w:tc>
      </w:tr>
      <w:tr>
        <w:tc>
          <w:tcPr>
            <w:tcW w:type="dxa" w:w="700"/>
            <w:shd w:fill="F2F2F2" w:val="clear"/>
            <w:vAlign w:val="center"/>
          </w:tcPr>
          <w:p>
            <w:r>
              <w:rPr>
                <w:b w:val="false"/>
                <w:bCs w:val="false"/>
                <w:color w:val="000000"/>
                <w:sz w:val="18"/>
                <w:szCs w:val="18"/>
              </w:rPr>
              <w:t xml:space="preserve">WP-0002</w:t>
            </w:r>
          </w:p>
        </w:tc>
        <w:tc>
          <w:tcPr>
            <w:tcW w:type="dxa" w:w="1150"/>
            <w:shd w:fill="F2F2F2" w:val="clear"/>
            <w:vAlign w:val="center"/>
          </w:tcPr>
          <w:p>
            <w:r>
              <w:rPr>
                <w:b w:val="false"/>
                <w:bCs w:val="false"/>
                <w:color w:val="000000"/>
                <w:sz w:val="18"/>
                <w:szCs w:val="18"/>
              </w:rPr>
              <w:t xml:space="preserve">Not started</w:t>
            </w:r>
          </w:p>
        </w:tc>
        <w:tc>
          <w:tcPr>
            <w:tcW w:type="dxa" w:w="1650"/>
            <w:shd w:fill="F2F2F2" w:val="clear"/>
            <w:vAlign w:val="center"/>
          </w:tcPr>
          <w:p>
            <w:r>
              <w:rPr>
                <w:b w:val="false"/>
                <w:bCs w:val="false"/>
                <w:color w:val="000000"/>
                <w:sz w:val="18"/>
                <w:szCs w:val="18"/>
              </w:rPr>
              <w:t xml:space="preserve">Not Applicable (no repository deliverable pending verification)</w:t>
            </w:r>
          </w:p>
        </w:tc>
        <w:tc>
          <w:tcPr>
            <w:tcW w:type="dxa" w:w="1150"/>
            <w:shd w:fill="F2F2F2" w:val="clear"/>
            <w:vAlign w:val="center"/>
          </w:tcPr>
          <w:p>
            <w:r>
              <w:rPr>
                <w:b w:val="false"/>
                <w:bCs w:val="false"/>
                <w:color w:val="000000"/>
                <w:sz w:val="18"/>
                <w:szCs w:val="18"/>
              </w:rPr>
              <w:t xml:space="preserve">Not yet executed</w:t>
            </w:r>
          </w:p>
        </w:tc>
        <w:tc>
          <w:tcPr>
            <w:tcW w:type="dxa" w:w="1300"/>
            <w:shd w:fill="F2F2F2" w:val="clear"/>
            <w:vAlign w:val="center"/>
          </w:tcPr>
          <w:p>
            <w:r>
              <w:rPr>
                <w:b w:val="false"/>
                <w:bCs w:val="false"/>
                <w:color w:val="000000"/>
                <w:sz w:val="18"/>
                <w:szCs w:val="18"/>
              </w:rPr>
              <w:t xml:space="preserve">High-if-confirmed, unmitigated pending verification</w:t>
            </w:r>
          </w:p>
        </w:tc>
        <w:tc>
          <w:tcPr>
            <w:tcW w:type="dxa" w:w="1200"/>
            <w:shd w:fill="F2F2F2" w:val="clear"/>
            <w:vAlign w:val="center"/>
          </w:tcPr>
          <w:p>
            <w:r>
              <w:rPr>
                <w:b w:val="false"/>
                <w:bCs w:val="false"/>
                <w:color w:val="000000"/>
                <w:sz w:val="18"/>
                <w:szCs w:val="18"/>
              </w:rPr>
              <w:t xml:space="preserve">KPI-06 unverified beyond 2 tables</w:t>
            </w:r>
          </w:p>
        </w:tc>
        <w:tc>
          <w:tcPr>
            <w:tcW w:type="dxa" w:w="1000"/>
            <w:shd w:fill="F2F2F2" w:val="clear"/>
            <w:vAlign w:val="center"/>
          </w:tcPr>
          <w:p>
            <w:r>
              <w:rPr>
                <w:b w:val="false"/>
                <w:bCs w:val="false"/>
                <w:color w:val="000000"/>
                <w:sz w:val="18"/>
                <w:szCs w:val="18"/>
              </w:rPr>
              <w:t xml:space="preserve">L4 pending</w:t>
            </w:r>
          </w:p>
        </w:tc>
        <w:tc>
          <w:tcPr>
            <w:tcW w:type="dxa" w:w="1200"/>
            <w:shd w:fill="F2F2F2" w:val="clear"/>
            <w:vAlign w:val="center"/>
          </w:tcPr>
          <w:p>
            <w:r>
              <w:rPr>
                <w:b w:val="false"/>
                <w:bCs w:val="false"/>
                <w:color w:val="000000"/>
                <w:sz w:val="18"/>
                <w:szCs w:val="18"/>
              </w:rPr>
              <w:t xml:space="preserve">Ready (Wave 1)</w:t>
            </w:r>
          </w:p>
        </w:tc>
      </w:tr>
      <w:tr>
        <w:tc>
          <w:tcPr>
            <w:tcW w:type="dxa" w:w="700"/>
            <w:vAlign w:val="center"/>
          </w:tcPr>
          <w:p>
            <w:r>
              <w:rPr>
                <w:b w:val="false"/>
                <w:bCs w:val="false"/>
                <w:color w:val="000000"/>
                <w:sz w:val="18"/>
                <w:szCs w:val="18"/>
              </w:rPr>
              <w:t xml:space="preserve">WP-0003</w:t>
            </w:r>
          </w:p>
        </w:tc>
        <w:tc>
          <w:tcPr>
            <w:tcW w:type="dxa" w:w="1150"/>
            <w:vAlign w:val="center"/>
          </w:tcPr>
          <w:p>
            <w:r>
              <w:rPr>
                <w:b w:val="false"/>
                <w:bCs w:val="false"/>
                <w:color w:val="000000"/>
                <w:sz w:val="18"/>
                <w:szCs w:val="18"/>
              </w:rPr>
              <w:t xml:space="preserve">Not started — trigger not fired</w:t>
            </w:r>
          </w:p>
        </w:tc>
        <w:tc>
          <w:tcPr>
            <w:tcW w:type="dxa" w:w="1650"/>
            <w:vAlign w:val="center"/>
          </w:tcPr>
          <w:p>
            <w:r>
              <w:rPr>
                <w:b w:val="false"/>
                <w:bCs w:val="false"/>
                <w:color w:val="000000"/>
                <w:sz w:val="18"/>
                <w:szCs w:val="18"/>
              </w:rPr>
              <w:t xml:space="preserve">Not Applicable — conditional only</w:t>
            </w:r>
          </w:p>
        </w:tc>
        <w:tc>
          <w:tcPr>
            <w:tcW w:type="dxa" w:w="1150"/>
            <w:vAlign w:val="center"/>
          </w:tcPr>
          <w:p>
            <w:r>
              <w:rPr>
                <w:b w:val="false"/>
                <w:bCs w:val="false"/>
                <w:color w:val="000000"/>
                <w:sz w:val="18"/>
                <w:szCs w:val="18"/>
              </w:rPr>
              <w:t xml:space="preserve">Dormant (monitoring-ready)</w:t>
            </w:r>
          </w:p>
        </w:tc>
        <w:tc>
          <w:tcPr>
            <w:tcW w:type="dxa" w:w="1300"/>
            <w:vAlign w:val="center"/>
          </w:tcPr>
          <w:p>
            <w:r>
              <w:rPr>
                <w:b w:val="false"/>
                <w:bCs w:val="false"/>
                <w:color w:val="000000"/>
                <w:sz w:val="18"/>
                <w:szCs w:val="18"/>
              </w:rPr>
              <w:t xml:space="preserve">Monitored, standing (Medium)</w:t>
            </w:r>
          </w:p>
        </w:tc>
        <w:tc>
          <w:tcPr>
            <w:tcW w:type="dxa" w:w="1200"/>
            <w:vAlign w:val="center"/>
          </w:tcPr>
          <w:p>
            <w:r>
              <w:rPr>
                <w:b w:val="false"/>
                <w:bCs w:val="false"/>
                <w:color w:val="000000"/>
                <w:sz w:val="18"/>
                <w:szCs w:val="18"/>
              </w:rPr>
              <w:t xml:space="preserve">KPI-05 = 4 deferred decisions (baseline)</w:t>
            </w:r>
          </w:p>
        </w:tc>
        <w:tc>
          <w:tcPr>
            <w:tcW w:type="dxa" w:w="1000"/>
            <w:vAlign w:val="center"/>
          </w:tcPr>
          <w:p>
            <w:r>
              <w:rPr>
                <w:b w:val="false"/>
                <w:bCs w:val="false"/>
                <w:color w:val="000000"/>
                <w:sz w:val="18"/>
                <w:szCs w:val="18"/>
              </w:rPr>
              <w:t xml:space="preserve">L3 standing; L4 if triggered</w:t>
            </w:r>
          </w:p>
        </w:tc>
        <w:tc>
          <w:tcPr>
            <w:tcW w:type="dxa" w:w="1200"/>
            <w:vAlign w:val="center"/>
          </w:tcPr>
          <w:p>
            <w:r>
              <w:rPr>
                <w:b w:val="false"/>
                <w:bCs w:val="false"/>
                <w:color w:val="000000"/>
                <w:sz w:val="18"/>
                <w:szCs w:val="18"/>
              </w:rPr>
              <w:t xml:space="preserve">Monitoring-ready (Wave 3)</w:t>
            </w:r>
          </w:p>
        </w:tc>
      </w:tr>
      <w:tr>
        <w:tc>
          <w:tcPr>
            <w:tcW w:type="dxa" w:w="700"/>
            <w:shd w:fill="F2F2F2" w:val="clear"/>
            <w:vAlign w:val="center"/>
          </w:tcPr>
          <w:p>
            <w:r>
              <w:rPr>
                <w:b w:val="false"/>
                <w:bCs w:val="false"/>
                <w:color w:val="000000"/>
                <w:sz w:val="18"/>
                <w:szCs w:val="18"/>
              </w:rPr>
              <w:t xml:space="preserve">WP-0004</w:t>
            </w:r>
          </w:p>
        </w:tc>
        <w:tc>
          <w:tcPr>
            <w:tcW w:type="dxa" w:w="1150"/>
            <w:shd w:fill="F2F2F2" w:val="clear"/>
            <w:vAlign w:val="center"/>
          </w:tcPr>
          <w:p>
            <w:r>
              <w:rPr>
                <w:b w:val="false"/>
                <w:bCs w:val="false"/>
                <w:color w:val="000000"/>
                <w:sz w:val="18"/>
                <w:szCs w:val="18"/>
              </w:rPr>
              <w:t xml:space="preserve">Not started</w:t>
            </w:r>
          </w:p>
        </w:tc>
        <w:tc>
          <w:tcPr>
            <w:tcW w:type="dxa" w:w="1650"/>
            <w:shd w:fill="F2F2F2" w:val="clear"/>
            <w:vAlign w:val="center"/>
          </w:tcPr>
          <w:p>
            <w:r>
              <w:rPr>
                <w:b w:val="false"/>
                <w:bCs w:val="false"/>
                <w:color w:val="000000"/>
                <w:sz w:val="18"/>
                <w:szCs w:val="18"/>
              </w:rPr>
              <w:t xml:space="preserve">Documentation — not yet published</w:t>
            </w:r>
          </w:p>
        </w:tc>
        <w:tc>
          <w:tcPr>
            <w:tcW w:type="dxa" w:w="1150"/>
            <w:shd w:fill="F2F2F2" w:val="clear"/>
            <w:vAlign w:val="center"/>
          </w:tcPr>
          <w:p>
            <w:r>
              <w:rPr>
                <w:b w:val="false"/>
                <w:bCs w:val="false"/>
                <w:color w:val="000000"/>
                <w:sz w:val="18"/>
                <w:szCs w:val="18"/>
              </w:rPr>
              <w:t xml:space="preserve">Not yet executed</w:t>
            </w:r>
          </w:p>
        </w:tc>
        <w:tc>
          <w:tcPr>
            <w:tcW w:type="dxa" w:w="1300"/>
            <w:shd w:fill="F2F2F2" w:val="clear"/>
            <w:vAlign w:val="center"/>
          </w:tcPr>
          <w:p>
            <w:r>
              <w:rPr>
                <w:b w:val="false"/>
                <w:bCs w:val="false"/>
                <w:color w:val="000000"/>
                <w:sz w:val="18"/>
                <w:szCs w:val="18"/>
              </w:rPr>
              <w:t xml:space="preserve">Monitored, standing (Medium, latent)</w:t>
            </w:r>
          </w:p>
        </w:tc>
        <w:tc>
          <w:tcPr>
            <w:tcW w:type="dxa" w:w="1200"/>
            <w:shd w:fill="F2F2F2" w:val="clear"/>
            <w:vAlign w:val="center"/>
          </w:tcPr>
          <w:p>
            <w:r>
              <w:rPr>
                <w:b w:val="false"/>
                <w:bCs w:val="false"/>
                <w:color w:val="000000"/>
                <w:sz w:val="18"/>
                <w:szCs w:val="18"/>
              </w:rPr>
              <w:t xml:space="preserve">KPI-04 = 4 approved variances (baseline)</w:t>
            </w:r>
          </w:p>
        </w:tc>
        <w:tc>
          <w:tcPr>
            <w:tcW w:type="dxa" w:w="1000"/>
            <w:shd w:fill="F2F2F2" w:val="clear"/>
            <w:vAlign w:val="center"/>
          </w:tcPr>
          <w:p>
            <w:r>
              <w:rPr>
                <w:b w:val="false"/>
                <w:bCs w:val="false"/>
                <w:color w:val="000000"/>
                <w:sz w:val="18"/>
                <w:szCs w:val="18"/>
              </w:rPr>
              <w:t xml:space="preserve">L4 pending</w:t>
            </w:r>
          </w:p>
        </w:tc>
        <w:tc>
          <w:tcPr>
            <w:tcW w:type="dxa" w:w="1200"/>
            <w:shd w:fill="F2F2F2" w:val="clear"/>
            <w:vAlign w:val="center"/>
          </w:tcPr>
          <w:p>
            <w:r>
              <w:rPr>
                <w:b w:val="false"/>
                <w:bCs w:val="false"/>
                <w:color w:val="000000"/>
                <w:sz w:val="18"/>
                <w:szCs w:val="18"/>
              </w:rPr>
              <w:t xml:space="preserve">Ready (Wave 2)</w:t>
            </w:r>
          </w:p>
        </w:tc>
      </w:tr>
      <w:tr>
        <w:tc>
          <w:tcPr>
            <w:tcW w:type="dxa" w:w="700"/>
            <w:vAlign w:val="center"/>
          </w:tcPr>
          <w:p>
            <w:r>
              <w:rPr>
                <w:b w:val="false"/>
                <w:bCs w:val="false"/>
                <w:color w:val="000000"/>
                <w:sz w:val="18"/>
                <w:szCs w:val="18"/>
              </w:rPr>
              <w:t xml:space="preserve">WP-0005</w:t>
            </w:r>
          </w:p>
        </w:tc>
        <w:tc>
          <w:tcPr>
            <w:tcW w:type="dxa" w:w="1150"/>
            <w:vAlign w:val="center"/>
          </w:tcPr>
          <w:p>
            <w:r>
              <w:rPr>
                <w:b w:val="false"/>
                <w:bCs w:val="false"/>
                <w:color w:val="000000"/>
                <w:sz w:val="18"/>
                <w:szCs w:val="18"/>
              </w:rPr>
              <w:t xml:space="preserve">Not started</w:t>
            </w:r>
          </w:p>
        </w:tc>
        <w:tc>
          <w:tcPr>
            <w:tcW w:type="dxa" w:w="1650"/>
            <w:vAlign w:val="center"/>
          </w:tcPr>
          <w:p>
            <w:r>
              <w:rPr>
                <w:b w:val="false"/>
                <w:bCs w:val="false"/>
                <w:color w:val="000000"/>
                <w:sz w:val="18"/>
                <w:szCs w:val="18"/>
              </w:rPr>
              <w:t xml:space="preserve">Not Applicable</w:t>
            </w:r>
          </w:p>
        </w:tc>
        <w:tc>
          <w:tcPr>
            <w:tcW w:type="dxa" w:w="1150"/>
            <w:vAlign w:val="center"/>
          </w:tcPr>
          <w:p>
            <w:r>
              <w:rPr>
                <w:b w:val="false"/>
                <w:bCs w:val="false"/>
                <w:color w:val="000000"/>
                <w:sz w:val="18"/>
                <w:szCs w:val="18"/>
              </w:rPr>
              <w:t xml:space="preserve">Not yet executed</w:t>
            </w:r>
          </w:p>
        </w:tc>
        <w:tc>
          <w:tcPr>
            <w:tcW w:type="dxa" w:w="1300"/>
            <w:vAlign w:val="center"/>
          </w:tcPr>
          <w:p>
            <w:r>
              <w:rPr>
                <w:b w:val="false"/>
                <w:bCs w:val="false"/>
                <w:color w:val="000000"/>
                <w:sz w:val="18"/>
                <w:szCs w:val="18"/>
              </w:rPr>
              <w:t xml:space="preserve">Monitored, standing (Low–Medium)</w:t>
            </w:r>
          </w:p>
        </w:tc>
        <w:tc>
          <w:tcPr>
            <w:tcW w:type="dxa" w:w="1200"/>
            <w:vAlign w:val="center"/>
          </w:tcPr>
          <w:p>
            <w:r>
              <w:rPr>
                <w:b w:val="false"/>
                <w:bCs w:val="false"/>
                <w:color w:val="000000"/>
                <w:sz w:val="18"/>
                <w:szCs w:val="18"/>
              </w:rPr>
              <w:t xml:space="preserve">KPI-06/KPI-09 (extension scope)</w:t>
            </w:r>
          </w:p>
        </w:tc>
        <w:tc>
          <w:tcPr>
            <w:tcW w:type="dxa" w:w="1000"/>
            <w:vAlign w:val="center"/>
          </w:tcPr>
          <w:p>
            <w:r>
              <w:rPr>
                <w:b w:val="false"/>
                <w:bCs w:val="false"/>
                <w:color w:val="000000"/>
                <w:sz w:val="18"/>
                <w:szCs w:val="18"/>
              </w:rPr>
              <w:t xml:space="preserve">L4 pending (ext.)</w:t>
            </w:r>
          </w:p>
        </w:tc>
        <w:tc>
          <w:tcPr>
            <w:tcW w:type="dxa" w:w="1200"/>
            <w:vAlign w:val="center"/>
          </w:tcPr>
          <w:p>
            <w:r>
              <w:rPr>
                <w:b w:val="false"/>
                <w:bCs w:val="false"/>
                <w:color w:val="000000"/>
                <w:sz w:val="18"/>
                <w:szCs w:val="18"/>
              </w:rPr>
              <w:t xml:space="preserve">Ready (Wave 2)</w:t>
            </w:r>
          </w:p>
        </w:tc>
      </w:tr>
      <w:tr>
        <w:tc>
          <w:tcPr>
            <w:tcW w:type="dxa" w:w="700"/>
            <w:shd w:fill="F2F2F2" w:val="clear"/>
            <w:vAlign w:val="center"/>
          </w:tcPr>
          <w:p>
            <w:r>
              <w:rPr>
                <w:b w:val="false"/>
                <w:bCs w:val="false"/>
                <w:color w:val="000000"/>
                <w:sz w:val="18"/>
                <w:szCs w:val="18"/>
              </w:rPr>
              <w:t xml:space="preserve">WP-0006</w:t>
            </w:r>
          </w:p>
        </w:tc>
        <w:tc>
          <w:tcPr>
            <w:tcW w:type="dxa" w:w="1150"/>
            <w:shd w:fill="F2F2F2" w:val="clear"/>
            <w:vAlign w:val="center"/>
          </w:tcPr>
          <w:p>
            <w:r>
              <w:rPr>
                <w:b w:val="false"/>
                <w:bCs w:val="false"/>
                <w:color w:val="000000"/>
                <w:sz w:val="18"/>
                <w:szCs w:val="18"/>
              </w:rPr>
              <w:t xml:space="preserve">Not started</w:t>
            </w:r>
          </w:p>
        </w:tc>
        <w:tc>
          <w:tcPr>
            <w:tcW w:type="dxa" w:w="1650"/>
            <w:shd w:fill="F2F2F2" w:val="clear"/>
            <w:vAlign w:val="center"/>
          </w:tcPr>
          <w:p>
            <w:r>
              <w:rPr>
                <w:b w:val="false"/>
                <w:bCs w:val="false"/>
                <w:color w:val="000000"/>
                <w:sz w:val="18"/>
                <w:szCs w:val="18"/>
              </w:rPr>
              <w:t xml:space="preserve">Documentation — owner record not yet created</w:t>
            </w:r>
          </w:p>
        </w:tc>
        <w:tc>
          <w:tcPr>
            <w:tcW w:type="dxa" w:w="1150"/>
            <w:shd w:fill="F2F2F2" w:val="clear"/>
            <w:vAlign w:val="center"/>
          </w:tcPr>
          <w:p>
            <w:r>
              <w:rPr>
                <w:b w:val="false"/>
                <w:bCs w:val="false"/>
                <w:color w:val="000000"/>
                <w:sz w:val="18"/>
                <w:szCs w:val="18"/>
              </w:rPr>
              <w:t xml:space="preserve">Not yet executed</w:t>
            </w:r>
          </w:p>
        </w:tc>
        <w:tc>
          <w:tcPr>
            <w:tcW w:type="dxa" w:w="1300"/>
            <w:shd w:fill="F2F2F2" w:val="clear"/>
            <w:vAlign w:val="center"/>
          </w:tcPr>
          <w:p>
            <w:r>
              <w:rPr>
                <w:b w:val="false"/>
                <w:bCs w:val="false"/>
                <w:color w:val="000000"/>
                <w:sz w:val="18"/>
                <w:szCs w:val="18"/>
              </w:rPr>
              <w:t xml:space="preserve">N/A — mitigating WP</w:t>
            </w:r>
          </w:p>
        </w:tc>
        <w:tc>
          <w:tcPr>
            <w:tcW w:type="dxa" w:w="1200"/>
            <w:shd w:fill="F2F2F2" w:val="clear"/>
            <w:vAlign w:val="center"/>
          </w:tcPr>
          <w:p>
            <w:r>
              <w:rPr>
                <w:b w:val="false"/>
                <w:bCs w:val="false"/>
                <w:color w:val="000000"/>
                <w:sz w:val="18"/>
                <w:szCs w:val="18"/>
              </w:rPr>
              <w:t xml:space="preserve">KPI-08 = 0%</w:t>
            </w:r>
          </w:p>
        </w:tc>
        <w:tc>
          <w:tcPr>
            <w:tcW w:type="dxa" w:w="1000"/>
            <w:shd w:fill="F2F2F2" w:val="clear"/>
            <w:vAlign w:val="center"/>
          </w:tcPr>
          <w:p>
            <w:r>
              <w:rPr>
                <w:b w:val="false"/>
                <w:bCs w:val="false"/>
                <w:color w:val="000000"/>
                <w:sz w:val="18"/>
                <w:szCs w:val="18"/>
              </w:rPr>
              <w:t xml:space="preserve">Not Applicable</w:t>
            </w:r>
          </w:p>
        </w:tc>
        <w:tc>
          <w:tcPr>
            <w:tcW w:type="dxa" w:w="1200"/>
            <w:shd w:fill="F2F2F2" w:val="clear"/>
            <w:vAlign w:val="center"/>
          </w:tcPr>
          <w:p>
            <w:r>
              <w:rPr>
                <w:b w:val="false"/>
                <w:bCs w:val="false"/>
                <w:color w:val="000000"/>
                <w:sz w:val="18"/>
                <w:szCs w:val="18"/>
              </w:rPr>
              <w:t xml:space="preserve">Ready (Wave 1)</w:t>
            </w:r>
          </w:p>
        </w:tc>
      </w:tr>
    </w:tbl>
    <w:p>
      <w:pPr>
        <w:pStyle w:val="Heading2"/>
        <w:spacing w:after="150" w:before="300"/>
      </w:pPr>
      <w:r>
        <w:t xml:space="preserve">Outstanding Acceptance Conditions</w:t>
      </w:r>
    </w:p>
    <w:p>
      <w:pPr>
        <w:pStyle w:val="ListParagraph"/>
        <w:numPr>
          <w:ilvl w:val="0"/>
          <w:numId w:val="1"/>
        </w:numPr>
        <w:spacing w:after="80"/>
      </w:pPr>
      <w:r>
        <w:t xml:space="preserve">KPI-08 Ownership Assignment % = 0% — the single condition every prior phase and section has identified as blocking full, accountable acceptance across all six Work Packages (Phase A.3 §15; Phase B §14; Section 6 §9; Section 7 §“Governance verification readiness”).</w:t>
      </w:r>
    </w:p>
    <w:p>
      <w:pPr>
        <w:pStyle w:val="ListParagraph"/>
        <w:numPr>
          <w:ilvl w:val="0"/>
          <w:numId w:val="1"/>
        </w:numPr>
        <w:spacing w:after="80"/>
      </w:pPr>
      <w:r>
        <w:t xml:space="preserve">WP-0002's RLS coverage is confirmed today only on 2 of 4 named table groups; acceptance of WP-0002 cannot be recorded until written confirmation exists for the remaining groups.</w:t>
      </w:r>
    </w:p>
    <w:p>
      <w:pPr>
        <w:pStyle w:val="ListParagraph"/>
        <w:numPr>
          <w:ilvl w:val="0"/>
          <w:numId w:val="1"/>
        </w:numPr>
        <w:spacing w:after="80"/>
      </w:pPr>
      <w:r>
        <w:t xml:space="preserve">WP-0003's row-count/growth data has not yet been gathered; the EGD-0004 trigger's status cannot be assessed until this external dependency is resolved (Phase A.3 §8).</w:t>
      </w:r>
    </w:p>
    <w:p>
      <w:pPr>
        <w:pStyle w:val="Heading2"/>
        <w:spacing w:after="150" w:before="300"/>
      </w:pPr>
      <w:r>
        <w:t xml:space="preserve">Overall Enterprise Acceptance Readiness</w:t>
      </w:r>
    </w:p>
    <w:p>
      <w:pPr>
        <w:spacing w:after="150"/>
      </w:pPr>
      <w:r>
        <w:rPr>
          <w:b w:val="false"/>
          <w:bCs w:val="false"/>
          <w:i w:val="false"/>
          <w:iCs w:val="false"/>
        </w:rPr>
        <w:t xml:space="preserve">READY WITH CONDITIONS. Zero of six Work Packages have been formally accepted as of this document. Wave 1 (WP-0002, WP-0006) carries no blocking Entry Criterion and is acceptance-ready to begin immediately. Wave 2 (WP-0001, WP-0004, WP-0005) is ready to follow. Wave 3 (WP-0003) remains monitoring-ready, not acceptance-ready, pending its trigger. This finding is identical to the Overall Execution Readiness already recorded in Section 2 §7 and the Overall Verification Readiness recorded in Section 7 — this document does not identify a new readiness condition beyond what Sections 1–8 already established.</w:t>
      </w:r>
    </w:p>
    <w:p>
      <w:pPr>
        <w:pStyle w:val="Heading1"/>
        <w:spacing w:after="200" w:before="400"/>
      </w:pPr>
      <w:r>
        <w:t xml:space="preserve">10. Executive Summary</w:t>
      </w:r>
    </w:p>
    <w:p>
      <w:pPr>
        <w:pStyle w:val="Heading2"/>
        <w:spacing w:after="150" w:before="300"/>
      </w:pPr>
      <w:r>
        <w:t xml:space="preserve">Engineering Acceptance Maturity</w:t>
      </w:r>
    </w:p>
    <w:p>
      <w:pPr>
        <w:spacing w:after="150"/>
      </w:pPr>
      <w:r>
        <w:rPr>
          <w:b w:val="false"/>
          <w:bCs w:val="false"/>
          <w:i w:val="false"/>
          <w:iCs w:val="false"/>
        </w:rPr>
        <w:t xml:space="preserve">Acceptance criteria, evidence requirements, and completion conditions are fully defined for all six approved Work Packages (§4 above). No Work Package has yet been executed or formally accepted (Phase B §12); acceptance maturity is therefore Defined but not yet Realized — consistent with the Implementation Alignment maturity rating of Initial recorded in Phase A.3 §12.</w:t>
      </w:r>
    </w:p>
    <w:p>
      <w:pPr>
        <w:pStyle w:val="Heading2"/>
        <w:spacing w:after="150" w:before="300"/>
      </w:pPr>
      <w:r>
        <w:t xml:space="preserve">Repository Acceptance Maturity</w:t>
      </w:r>
    </w:p>
    <w:p>
      <w:pPr>
        <w:spacing w:after="150"/>
      </w:pPr>
      <w:r>
        <w:rPr>
          <w:b w:val="false"/>
          <w:bCs w:val="false"/>
          <w:i w:val="false"/>
          <w:iCs w:val="false"/>
        </w:rPr>
        <w:t xml:space="preserve">Acceptance evidence requirements are scoped exactly to the three repository categories (Documentation, Database, Test) Section 3 evidences as carrying approved impact. This scoping is precise, not partial — no acceptance evidence is expected, and none is required, from any other repository category.</w:t>
      </w:r>
    </w:p>
    <w:p>
      <w:pPr>
        <w:pStyle w:val="Heading2"/>
        <w:spacing w:after="150" w:before="300"/>
      </w:pPr>
      <w:r>
        <w:t xml:space="preserve">Governance Acceptance Maturity</w:t>
      </w:r>
    </w:p>
    <w:p>
      <w:pPr>
        <w:spacing w:after="150"/>
      </w:pPr>
      <w:r>
        <w:rPr>
          <w:b w:val="false"/>
          <w:bCs w:val="false"/>
          <w:i w:val="false"/>
          <w:iCs w:val="false"/>
        </w:rPr>
        <w:t xml:space="preserve">Every Work Package's governing Enterprise Governance Decision is already dispositioned (Phase A.3 §4); no acceptance in this document is blocked on new governance. The sole governance-maturity gap is ownership: KPI-08 Ownership Assignment % = 0%, unchanged from every prior phase's own finding, and resolved only by WP-0006's own acceptance.</w:t>
      </w:r>
    </w:p>
    <w:p>
      <w:pPr>
        <w:pStyle w:val="Heading2"/>
        <w:spacing w:after="150" w:before="300"/>
      </w:pPr>
      <w:r>
        <w:t xml:space="preserve">Verification Completion</w:t>
      </w:r>
    </w:p>
    <w:p>
      <w:pPr>
        <w:spacing w:after="150"/>
      </w:pPr>
      <w:r>
        <w:rPr>
          <w:b w:val="false"/>
          <w:bCs w:val="false"/>
          <w:i w:val="false"/>
          <w:iCs w:val="false"/>
        </w:rPr>
        <w:t xml:space="preserve">Verification methods are fully specified for all six Work Packages (Section 7 §4); none has yet been executed. WP-0002's verification method is rated High readiness — fully defined and immediately executable — while WP-0001, WP-0004, and WP-0005 are rated Medium, awaiting Wave 2 sequencing. WP-0003 remains monitoring-ready, not execution-ready, pending its trigger.</w:t>
      </w:r>
    </w:p>
    <w:p>
      <w:pPr>
        <w:pStyle w:val="Heading2"/>
        <w:spacing w:after="150" w:before="300"/>
      </w:pPr>
      <w:r>
        <w:t xml:space="preserve">Risk Closure</w:t>
      </w:r>
    </w:p>
    <w:p>
      <w:pPr>
        <w:spacing w:after="150"/>
      </w:pPr>
      <w:r>
        <w:rPr>
          <w:b w:val="false"/>
          <w:bCs w:val="false"/>
          <w:i w:val="false"/>
          <w:iCs w:val="false"/>
        </w:rPr>
        <w:t xml:space="preserve">The enterprise baseline's two High-rated risks — documentation drift (WP-0001) and unverified RLS coverage (WP-0002) — each have a low-cost, already-scoped Work Package as their closure mechanism (Phase A.3 §15). No High risk in this baseline lacks an assigned, acceptance-ready Work Package.</w:t>
      </w:r>
    </w:p>
    <w:p>
      <w:pPr>
        <w:pStyle w:val="Heading2"/>
        <w:spacing w:after="150" w:before="300"/>
      </w:pPr>
      <w:r>
        <w:t xml:space="preserve">Certification Readiness</w:t>
      </w:r>
    </w:p>
    <w:p>
      <w:pPr>
        <w:spacing w:after="150"/>
      </w:pPr>
      <w:r>
        <w:rPr>
          <w:b w:val="false"/>
          <w:bCs w:val="false"/>
          <w:i w:val="false"/>
          <w:iCs w:val="false"/>
        </w:rPr>
        <w:t xml:space="preserve">Certification Level L4 (Implementation Verified) remains NOT MET pending WP-0001 and WP-0002's execution and acceptance (Phase A.3 §11). L3 (Implementation Traceable) is MET, established by Phase A.3 itself. L5 (Architecture Certified) remains NOT MET, pending L4 and a future closed-loop re-assessment (Phase A.2 §9's roadmap item).</w:t>
      </w:r>
    </w:p>
    <w:p>
      <w:pPr>
        <w:pStyle w:val="Heading2"/>
        <w:spacing w:after="150" w:before="300"/>
      </w:pPr>
      <w:r>
        <w:t xml:space="preserve">Overall Implementation Acceptance Confidence</w:t>
      </w:r>
    </w:p>
    <w:p>
      <w:pPr>
        <w:spacing w:after="150"/>
      </w:pPr>
      <w:r>
        <w:rPr>
          <w:b w:val="false"/>
          <w:bCs w:val="false"/>
          <w:i w:val="false"/>
          <w:iCs w:val="false"/>
        </w:rPr>
        <w:t xml:space="preserve">READY WITH CONDITIONS. The Enterprise Engineering Acceptance Criteria established in this document provide a complete, evidence-bound gate for all six approved Work Packages: engineering execution is accepted only once architecture conformance (§4.B, §6), verification (§4.E, §7), governance (§4.C), repository integrity (§4.D, §3), and risk disposition (§4.E, §8) have each been objectively demonstrated — not asserted. The single outstanding condition, unchanged across every phase of ERP-01 from Phase A.3 through this section, is that named, accountable ownership (KPI-08) has not yet been assigned. Once WP-0006 closes this gap, Wave 1 and Wave 2 acceptance can proceed immediately against the criteria this document establishes, with Wave 3 (WP-0003) continuing under trigger-based monitoring until EGD-0004's threshold is met.</w:t>
      </w:r>
    </w:p>
    <w:p>
      <w:pPr>
        <w:spacing w:before="300"/>
      </w:pPr>
      <w:r>
        <w:rPr>
          <w:b/>
          <w:bCs/>
          <w:i/>
          <w:iCs/>
        </w:rPr>
        <w:t xml:space="preserve">This document is the authoritative Enterprise Engineering Acceptance Criteria Repository for ERP-01 Phase C. It introduces no new Work Package, Architecture Requirement, Enterprise Governance Decision, Enterprise Resolution, Variance, KPI, or acceptance authority beyond those already approved in Phase A.1–A.3, Phase B, and Phase C Sections 1–8.</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ERP-01 Phase C — Section 9 — Enterprise Engineering Acceptance Criteria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180" w:before="360"/>
    </w:pPr>
    <w:rPr>
      <w:rFonts w:ascii="Calibri" w:cs="Calibri" w:eastAsia="Calibri" w:hAnsi="Calibri"/>
      <w:b/>
      <w:bCs/>
      <w:color w:val="1F3864"/>
      <w:sz w:val="28"/>
      <w:szCs w:val="28"/>
    </w:rPr>
  </w:style>
  <w:style w:type="paragraph" w:styleId="Heading2">
    <w:name w:val="Heading 2"/>
    <w:basedOn w:val="Normal"/>
    <w:next w:val="Normal"/>
    <w:qFormat/>
    <w:pPr>
      <w:spacing w:after="140" w:before="260"/>
    </w:pPr>
    <w:rPr>
      <w:rFonts w:ascii="Calibri" w:cs="Calibri" w:eastAsia="Calibri" w:hAnsi="Calibri"/>
      <w:b/>
      <w:bCs/>
      <w:color w:val="2E5395"/>
      <w:sz w:val="24"/>
      <w:szCs w:val="24"/>
    </w:rPr>
  </w:style>
  <w:style w:type="paragraph" w:styleId="Heading3">
    <w:name w:val="Heading 3"/>
    <w:basedOn w:val="Normal"/>
    <w:next w:val="Normal"/>
    <w:qFormat/>
    <w:pPr>
      <w:spacing w:after="100" w:before="180"/>
    </w:pPr>
    <w:rPr>
      <w:rFonts w:ascii="Calibri" w:cs="Calibri" w:eastAsia="Calibri" w:hAnsi="Calibri"/>
      <w:b/>
      <w:bCs/>
      <w:i/>
      <w:i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2026-07-09T18:28:28.013Z</dcterms:created>
  <dcterms:modified xsi:type="dcterms:W3CDTF">2026-07-09T18:28:28.013Z</dcterms:modified>
</cp:coreProperties>
</file>

<file path=docProps/custom.xml><?xml version="1.0" encoding="utf-8"?>
<Properties xmlns="http://schemas.openxmlformats.org/officeDocument/2006/custom-properties" xmlns:vt="http://schemas.openxmlformats.org/officeDocument/2006/docPropsVTypes"/>
</file>