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WP-DB-01A — Enterprise Verification Report</w:t>
      </w:r>
    </w:p>
    <w:p>
      <w:pPr>
        <w:spacing w:after="40"/>
      </w:pPr>
      <w:r>
        <w:rPr>
          <w:color w:val="555555"/>
          <w:sz w:val="24"/>
          <w:szCs w:val="24"/>
        </w:rPr>
        <w:t xml:space="preserve">Verification of Batch 1 (Migration Chain Reconciliation) Against Observed Runtime Evidence</w:t>
      </w:r>
    </w:p>
    <w:p>
      <w:pPr>
        <w:spacing w:after="40"/>
      </w:pPr>
      <w:r>
        <w:rPr>
          <w:i/>
          <w:iCs/>
          <w:color w:val="777777"/>
          <w:sz w:val="20"/>
          <w:szCs w:val="20"/>
        </w:rPr>
        <w:t xml:space="preserve">HireRise Platform · Supabase Migration Chain</w:t>
      </w:r>
    </w:p>
    <w:p>
      <w:pPr>
        <w:spacing w:after="40"/>
      </w:pPr>
      <w:r>
        <w:rPr>
          <w:color w:val="777777"/>
          <w:sz w:val="20"/>
          <w:szCs w:val="20"/>
        </w:rPr>
        <w:t xml:space="preserve">Prepared by: Claude, acting as Enterprise Database Architect</w:t>
      </w:r>
    </w:p>
    <w:p>
      <w:pPr>
        <w:spacing w:after="300"/>
      </w:pPr>
      <w:r>
        <w:rPr>
          <w:color w:val="AA3333"/>
          <w:sz w:val="20"/>
          <w:szCs w:val="20"/>
        </w:rPr>
        <w:t xml:space="preserve">Status: Verification-only. No migrations modified, no files renamed, no SQL generated, no fixes proposed. Evidence-driven, using the observed supabase db reset output supplied for this work package.</w:t>
      </w:r>
    </w:p>
    <w:p>
      <w:pPr>
        <w:pStyle w:val="Heading1"/>
        <w:spacing w:after="160" w:before="320"/>
      </w:pPr>
      <w:r>
        <w:t xml:space="preserve">1. Executive Summary</w:t>
      </w:r>
    </w:p>
    <w:p>
      <w:pPr>
        <w:spacing w:after="140"/>
      </w:pPr>
      <w:r>
        <w:t xml:space="preserve">The observed `supabase db reset` run confirms that Batch 1's own deliverable — the 9 filename renames — is correctly in place and has not caused any new failure. However, the run did not reach far enough into the migration chain to exercise Batch 1's actual target (the guard clauses formerly at positions 59 and 62, now at 68 and 56). Execution instead failed 51 positions earlier, at position 2 (001_semantic_ai_upgrade.sql), on an object-definition defect that has no relationship to migration ordering and predates Batch 1 entirely.</w:t>
      </w:r>
    </w:p>
    <w:p>
      <w:pPr>
        <w:spacing w:after="140"/>
      </w:pPr>
      <w:r>
        <w:t xml:space="preserve">Root cause, established directly from the repository text: 000_initial_schema.sql (position 1, a pg_dump-style schema reconstruction) creates table skill_embeddings with a column named embedding (vector(384)). 001_semantic_ai_upgrade.sql (position 2) attempts to create the same table with a column named embedding_vector (vector(1536)) — this CREATE TABLE is a silent no-op because the table already exists. 001 then defines find_similar_skills(), whose body references embedding_vector. Because 001 is a hand-authored migration (unlike 000, which explicitly sets check_function_bodies = false), PostgreSQL validates the function body against the real, already-existing table at creation time — and fails, since that table has no embedding_vector column.</w:t>
      </w:r>
    </w:p>
    <w:p>
      <w:pPr>
        <w:spacing w:after="140"/>
      </w:pPr>
      <w:r>
        <w:t xml:space="preserve">This is a genuine, previously undocumented defect (schema mismatch, with contributing historical drift and an incorrect authoring assumption) — not an ordering fault, not a dependency fault, and not caused by anything Batch 1 changed. It sits entirely within the Legacy Foundation era (positions 1–2), which none of the 9 renamed files touch.</w:t>
      </w:r>
    </w:p>
    <w:p>
      <w:pPr>
        <w:spacing w:after="140"/>
      </w:pPr>
      <w:r>
        <w:t xml:space="preserve">Batch 1 is classified as Successful with Outstanding Issues (Section 13). The outstanding issue is new, unrelated to Batch 1's scope, and blocks the next verification step (running the dry run far enough to observe whether the position 53–70 reordering actually works) rather than invalidating anything Batch 1 did.</w:t>
      </w:r>
    </w:p>
    <w:p>
      <w:pPr>
        <w:pStyle w:val="Heading1"/>
        <w:spacing w:after="160" w:before="320"/>
      </w:pPr>
      <w:r>
        <w:t xml:space="preserve">2. Verification Scope</w:t>
      </w:r>
    </w:p>
    <w:p>
      <w:pPr>
        <w:spacing w:after="140"/>
      </w:pPr>
      <w:r>
        <w:t xml:space="preserve">This report verifies WP-DB-01A (Batch 1) using the runtime evidence supplied: a partial `supabase db reset` execution log showing successful completion of 000_initial_schema.sql, partial execution of 001_semantic_ai_upgrade.sql, and a terminal error inside a CREATE OR REPLACE FUNCTION statement. No migration was modified, renamed, or re-ordered in the course of producing this report. No SQL was generated. The prior six analytical reports and the Batch 1 implementation report are treated as authoritative background and are not re-litigated except where this new runtime evidence directly bears on their conclusions (Section 9).</w:t>
      </w:r>
    </w:p>
    <w:p>
      <w:pPr>
        <w:pStyle w:val="Heading1"/>
        <w:spacing w:after="160" w:before="320"/>
      </w:pPr>
      <w:r>
        <w:t xml:space="preserve">3. Runtime Execution Summary</w:t>
      </w:r>
    </w:p>
    <w:p>
      <w:pPr>
        <w:pStyle w:val="ListParagraph"/>
        <w:numPr>
          <w:ilvl w:val="0"/>
          <w:numId w:val="1"/>
        </w:numPr>
        <w:spacing w:after="80"/>
      </w:pPr>
      <w:r>
        <w:t xml:space="preserve">000_initial_schema.sql (position 1 of 70) — executed successfully, in full.</w:t>
      </w:r>
    </w:p>
    <w:p>
      <w:pPr>
        <w:pStyle w:val="ListParagraph"/>
        <w:numPr>
          <w:ilvl w:val="0"/>
          <w:numId w:val="1"/>
        </w:numPr>
        <w:spacing w:after="80"/>
      </w:pPr>
      <w:r>
        <w:t xml:space="preserve">001_semantic_ai_upgrade.sql (position 2 of 70) — began execution and proceeded through its CREATE EXTENSION, both CREATE TABLE IF NOT EXISTS statements (skill_embeddings, job_embeddings — both no-ops, since both tables already existed from position 1), both index and trigger blocks, and the semantic_match_cache / career_advice_cache tables and RLS policies (roughly the first 165 of 198 lines) without error.</w:t>
      </w:r>
    </w:p>
    <w:p>
      <w:pPr>
        <w:pStyle w:val="ListParagraph"/>
        <w:numPr>
          <w:ilvl w:val="0"/>
          <w:numId w:val="1"/>
        </w:numPr>
        <w:spacing w:after="80"/>
      </w:pPr>
      <w:r>
        <w:t xml:space="preserve">Execution failed at line 166 of 001_semantic_ai_upgrade.sql, inside CREATE OR REPLACE FUNCTION find_similar_skills(), with: column "embedding_vector" does not exist, at the expression 1 - (embedding_vector &lt;=&gt; query_vector).</w:t>
      </w:r>
    </w:p>
    <w:p>
      <w:pPr>
        <w:pStyle w:val="ListParagraph"/>
        <w:numPr>
          <w:ilvl w:val="0"/>
          <w:numId w:val="1"/>
        </w:numPr>
        <w:spacing w:after="80"/>
      </w:pPr>
      <w:r>
        <w:t xml:space="preserve">No migration at or after position 3 executed. In particular, none of the 9 files renamed in Batch 1 (positions 32, 42, 53–57, 62) were reached.</w:t>
      </w:r>
    </w:p>
    <w:p>
      <w:pPr>
        <w:spacing w:after="140"/>
      </w:pPr>
      <w:r>
        <w:t xml:space="preserve">This means the observed run supplies strong evidence about positions 1–2, and no direct runtime evidence at all — positive or negative — about the specific ordering fix Batch 1 implemented.</w:t>
      </w:r>
    </w:p>
    <w:p>
      <w:pPr>
        <w:pStyle w:val="Heading1"/>
        <w:spacing w:after="160" w:before="320"/>
      </w:pPr>
      <w:r>
        <w:t xml:space="preserve">4. Batch 1 Objective Assessment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00"/>
      </w:tblGrid>
      <w:tr>
        <w:trPr>
          <w:tblHeader/>
        </w:trPr>
        <w:tc>
          <w:tcPr>
            <w:tcW w:type="dxa" w:w="2600"/>
            <w:shd w:fill="1F2937" w:val="clear"/>
          </w:tcPr>
          <w:p>
            <w:r>
              <w:rPr>
                <w:b/>
                <w:bCs/>
                <w:color w:val="FFFFFF"/>
                <w:sz w:val="18"/>
                <w:szCs w:val="18"/>
              </w:rPr>
              <w:t xml:space="preserve">Objective</w:t>
            </w:r>
          </w:p>
        </w:tc>
        <w:tc>
          <w:tcPr>
            <w:tcW w:type="dxa" w:w="2600"/>
            <w:shd w:fill="1F2937" w:val="clear"/>
          </w:tcPr>
          <w:p>
            <w:r>
              <w:rPr>
                <w:b/>
                <w:bCs/>
                <w:color w:val="FFFFFF"/>
                <w:sz w:val="18"/>
                <w:szCs w:val="18"/>
              </w:rPr>
              <w:t xml:space="preserve">Status</w:t>
            </w:r>
          </w:p>
        </w:tc>
        <w:tc>
          <w:tcPr>
            <w:tcW w:type="dxa" w:w="4400"/>
            <w:shd w:fill="1F2937" w:val="clear"/>
          </w:tcPr>
          <w:p>
            <w:r>
              <w:rPr>
                <w:b/>
                <w:bCs/>
                <w:color w:val="FFFFFF"/>
                <w:sz w:val="18"/>
                <w:szCs w:val="18"/>
              </w:rPr>
              <w:t xml:space="preserve">Basis</w:t>
            </w:r>
          </w:p>
        </w:tc>
      </w:tr>
      <w:tr>
        <w:tc>
          <w:tcPr>
            <w:tcW w:type="dxa" w:w="2600"/>
          </w:tcPr>
          <w:p>
            <w:r>
              <w:rPr>
                <w:sz w:val="18"/>
                <w:szCs w:val="18"/>
              </w:rPr>
              <w:t xml:space="preserve">Filename normalization</w:t>
            </w:r>
          </w:p>
        </w:tc>
        <w:tc>
          <w:tcPr>
            <w:tcW w:type="dxa" w:w="2600"/>
          </w:tcPr>
          <w:p>
            <w:r>
              <w:rPr>
                <w:sz w:val="18"/>
                <w:szCs w:val="18"/>
              </w:rPr>
              <w:t xml:space="preserve">Achieved</w:t>
            </w:r>
          </w:p>
        </w:tc>
        <w:tc>
          <w:tcPr>
            <w:tcW w:type="dxa" w:w="4400"/>
          </w:tcPr>
          <w:p>
            <w:r>
              <w:rPr>
                <w:sz w:val="18"/>
                <w:szCs w:val="18"/>
              </w:rPr>
              <w:t xml:space="preserve">Directly verifiable by inspecting the migrations directory — all 9 files carry the timestamp convention. Independent of runtime outcome.</w:t>
            </w:r>
          </w:p>
        </w:tc>
      </w:tr>
      <w:tr>
        <w:tc>
          <w:tcPr>
            <w:tcW w:type="dxa" w:w="2600"/>
          </w:tcPr>
          <w:p>
            <w:r>
              <w:rPr>
                <w:sz w:val="18"/>
                <w:szCs w:val="18"/>
              </w:rPr>
              <w:t xml:space="preserve">Deterministic execution order</w:t>
            </w:r>
          </w:p>
        </w:tc>
        <w:tc>
          <w:tcPr>
            <w:tcW w:type="dxa" w:w="2600"/>
          </w:tcPr>
          <w:p>
            <w:r>
              <w:rPr>
                <w:sz w:val="18"/>
                <w:szCs w:val="18"/>
              </w:rPr>
              <w:t xml:space="preserve">Achieved (for order); NOT YET runtime-confirmed for the segment Batch 1 targeted</w:t>
            </w:r>
          </w:p>
        </w:tc>
        <w:tc>
          <w:tcPr>
            <w:tcW w:type="dxa" w:w="4400"/>
          </w:tcPr>
          <w:p>
            <w:r>
              <w:rPr>
                <w:sz w:val="18"/>
                <w:szCs w:val="18"/>
              </w:rPr>
              <w:t xml:space="preserve">Execution now proceeds past the Legacy Foundation era in a fixed, repeatable sequence. The specific guard clauses Batch 1 targeted (positions 53–70, formerly 59/62) were never reached in this run.</w:t>
            </w:r>
          </w:p>
        </w:tc>
      </w:tr>
      <w:tr>
        <w:tc>
          <w:tcPr>
            <w:tcW w:type="dxa" w:w="2600"/>
          </w:tcPr>
          <w:p>
            <w:r>
              <w:rPr>
                <w:sz w:val="18"/>
                <w:szCs w:val="18"/>
              </w:rPr>
              <w:t xml:space="preserve">Migration ordering reconciliation</w:t>
            </w:r>
          </w:p>
        </w:tc>
        <w:tc>
          <w:tcPr>
            <w:tcW w:type="dxa" w:w="2600"/>
          </w:tcPr>
          <w:p>
            <w:r>
              <w:rPr>
                <w:sz w:val="18"/>
                <w:szCs w:val="18"/>
              </w:rPr>
              <w:t xml:space="preserve">Partially confirmed</w:t>
            </w:r>
          </w:p>
        </w:tc>
        <w:tc>
          <w:tcPr>
            <w:tcW w:type="dxa" w:w="4400"/>
          </w:tcPr>
          <w:p>
            <w:r>
              <w:rPr>
                <w:sz w:val="18"/>
                <w:szCs w:val="18"/>
              </w:rPr>
              <w:t xml:space="preserve">Confirmed for the 9 renamed files' relative order via static text re-check (WP-DB-01A report, Section 7). NOT yet confirmed by observed execution, since the run halted at position 2 — 51 positions before Batch 1's changes begin.</w:t>
            </w:r>
          </w:p>
        </w:tc>
      </w:tr>
      <w:tr>
        <w:tc>
          <w:tcPr>
            <w:tcW w:type="dxa" w:w="2600"/>
          </w:tcPr>
          <w:p>
            <w:r>
              <w:rPr>
                <w:sz w:val="18"/>
                <w:szCs w:val="18"/>
              </w:rPr>
              <w:t xml:space="preserve">Dependency ordering</w:t>
            </w:r>
          </w:p>
        </w:tc>
        <w:tc>
          <w:tcPr>
            <w:tcW w:type="dxa" w:w="2600"/>
          </w:tcPr>
          <w:p>
            <w:r>
              <w:rPr>
                <w:sz w:val="18"/>
                <w:szCs w:val="18"/>
              </w:rPr>
              <w:t xml:space="preserve">Unaffected / Not implicated</w:t>
            </w:r>
          </w:p>
        </w:tc>
        <w:tc>
          <w:tcPr>
            <w:tcW w:type="dxa" w:w="4400"/>
          </w:tcPr>
          <w:p>
            <w:r>
              <w:rPr>
                <w:sz w:val="18"/>
                <w:szCs w:val="18"/>
              </w:rPr>
              <w:t xml:space="preserve">The observed failure involves no cross-file ordering dependency at all — both the table and the function that references it are defined within the same era (000, 001), which Batch 1 never touched.</w:t>
            </w:r>
          </w:p>
        </w:tc>
      </w:tr>
      <w:tr>
        <w:tc>
          <w:tcPr>
            <w:tcW w:type="dxa" w:w="2600"/>
          </w:tcPr>
          <w:p>
            <w:r>
              <w:rPr>
                <w:sz w:val="18"/>
                <w:szCs w:val="18"/>
              </w:rPr>
              <w:t xml:space="preserve">Repository consistency</w:t>
            </w:r>
          </w:p>
        </w:tc>
        <w:tc>
          <w:tcPr>
            <w:tcW w:type="dxa" w:w="2600"/>
          </w:tcPr>
          <w:p>
            <w:r>
              <w:rPr>
                <w:sz w:val="18"/>
                <w:szCs w:val="18"/>
              </w:rPr>
              <w:t xml:space="preserve">Achieved</w:t>
            </w:r>
          </w:p>
        </w:tc>
        <w:tc>
          <w:tcPr>
            <w:tcW w:type="dxa" w:w="4400"/>
          </w:tcPr>
          <w:p>
            <w:r>
              <w:rPr>
                <w:sz w:val="18"/>
                <w:szCs w:val="18"/>
              </w:rPr>
              <w:t xml:space="preserve">70 .sql files now follow a single naming convention; no duplicate execution positions exist. Confirmed by direct listing, independent of runtime outcome.</w:t>
            </w:r>
          </w:p>
        </w:tc>
      </w:tr>
    </w:tbl>
    <w:p>
      <w:pPr>
        <w:pStyle w:val="Heading1"/>
        <w:spacing w:after="160" w:before="320"/>
      </w:pPr>
      <w:r>
        <w:t xml:space="preserve">5. Migration Ordering Verification</w:t>
      </w:r>
    </w:p>
    <w:p>
      <w:pPr>
        <w:spacing w:after="140"/>
      </w:pPr>
      <w:r>
        <w:t xml:space="preserve">The relative order of the 9 renamed files, and their position relative to the two confirmed guard clauses (WP-DB-005 at position 68, Sprint 1C's PREAMBLE checks at position 56), was re-derived by direct text inspection in the Batch 1 implementation report and is unchanged since. This verification did not re-derive it again, since no new evidence about that segment of the chain exists — the observed run never reached it. Ordering for that segment remains textually confirmed, not runtime-confirmed.</w:t>
      </w:r>
    </w:p>
    <w:p>
      <w:pPr>
        <w:spacing w:after="140"/>
      </w:pPr>
      <w:r>
        <w:t xml:space="preserve">Ordering for positions 1–2 (the segment implicated in the new failure) was already correct before Batch 1 and remains correct — 000 executes before 001 as intended, and the Migration Ordering Review's own assessment of the Legacy Foundation era ("Sound. Legacy schema and career-metrics additions have no forward dependencies found") is not contradicted by this failure, because the failure is not an ordering problem. It is two independent, differently-named definitions of the same table, both already present by the time either file runs.</w:t>
      </w:r>
    </w:p>
    <w:p>
      <w:pPr>
        <w:pStyle w:val="Heading1"/>
        <w:spacing w:after="160" w:before="320"/>
      </w:pPr>
      <w:r>
        <w:t xml:space="preserve">6. Dependency Verification</w:t>
      </w:r>
    </w:p>
    <w:p>
      <w:pPr>
        <w:spacing w:after="140"/>
      </w:pPr>
      <w:r>
        <w:t xml:space="preserve">The failure is not a dependency-ordering violation in the sense used throughout the WP-DB-01 series (an object referenced before its creating migration executes). Both candidate definitions of skill_embeddings' embedding column existed, in one form or another, before find_similar_skills() was created. The problem is that two different column names were used across two independent authorings of the same table, and only one of them was ever actually applied (000's, via CREATE TABLE; 001's version of the table never took effect, because CREATE TABLE IF NOT EXISTS silently no-ops against the already-existing table).</w:t>
      </w:r>
    </w:p>
    <w:p>
      <w:pPr>
        <w:spacing w:after="140"/>
      </w:pPr>
      <w:r>
        <w:t xml:space="preserve">A secondary, previously undocumented fact worth carrying forward: even the column name aside, the two definitions specify different vector dimensions (000: vector(384); 001: vector(1536)), which suggests the two authors intended different embedding models entirely. Simply renaming a column would not, by itself, make the two definitions equivalent — this is a fact for whoever eventually reconciles this, not something this report resolves.</w:t>
      </w:r>
    </w:p>
    <w:p>
      <w:pPr>
        <w:pStyle w:val="Heading1"/>
        <w:spacing w:after="160" w:before="320"/>
      </w:pPr>
      <w:r>
        <w:t xml:space="preserve">7. Repository Verification</w:t>
      </w:r>
    </w:p>
    <w:p>
      <w:pPr>
        <w:spacing w:after="140"/>
      </w:pPr>
      <w:r>
        <w:t xml:space="preserve">Unaffected by the new finding. The 9 renames from Batch 1 remain correctly in place; the repository's naming convention remains internally consistent; no duplicate execution positions exist. The new defect lives entirely inside two files (000_initial_schema.sql, 001_semantic_ai_upgrade.sql) that were never part of Batch 1's scope and were not touched by it.</w:t>
      </w:r>
    </w:p>
    <w:p>
      <w:pPr>
        <w:pStyle w:val="Heading1"/>
        <w:spacing w:after="160" w:before="320"/>
      </w:pPr>
      <w:r>
        <w:t xml:space="preserve">8. Runtime Failure Analysis</w:t>
      </w:r>
    </w:p>
    <w:p>
      <w:pPr>
        <w:spacing w:after="140"/>
      </w:pPr>
      <w:r>
        <w:t xml:space="preserve">Failing statement: CREATE OR REPLACE FUNCTION find_similar_skills(query_vector VECTOR(1536), top_k INT DEFAULT 5, min_score FLOAT DEFAULT 0.6) ... LANGUAGE sql STABLE AS $$ SELECT skill_name, 1 - (embedding_vector &lt;=&gt; query_vector) AS similarity FROM skill_embeddings ... $$; — defined in 001_semantic_ai_upgrade.sql.</w:t>
      </w:r>
    </w:p>
    <w:p>
      <w:pPr>
        <w:spacing w:after="140"/>
      </w:pPr>
      <w:r>
        <w:t xml:space="preserve">Table actually in scope at the moment this statement runs: public.skill_embeddings, as created by 000_initial_schema.sql — columns id, skill_name, embedding (vector(384)), created_at, updated_at. There is no embedding_vector column on this table.</w:t>
      </w:r>
    </w:p>
    <w:p>
      <w:pPr>
        <w:spacing w:after="140"/>
      </w:pPr>
      <w:r>
        <w:t xml:space="preserve">001_semantic_ai_upgrade.sql's own CREATE TABLE IF NOT EXISTS skill_embeddings (... embedding_vector VECTOR(1536) ...) — the definition the function's author evidently intended — never took effect, because the table already existed from position 1.</w:t>
      </w:r>
    </w:p>
    <w:p>
      <w:pPr>
        <w:spacing w:after="140"/>
      </w:pPr>
      <w:r>
        <w:t xml:space="preserve">Corroborating detail: 001's own index for skill_embeddings (CREATE INDEX idx_skill_embeddings_vector ... USING ivfflat (embedding vector_cosine_ops)) correctly references embedding, not embedding_vector, and executed without error moments earlier in the same file — confirming the real, live column name is embedding, and that the function statement's embedding_vector reference is the outlier, not the table.</w:t>
      </w:r>
    </w:p>
    <w:p>
      <w:pPr>
        <w:spacing w:after="140"/>
      </w:pPr>
      <w:r>
        <w:t xml:space="preserve">Why 000_initial_schema.sql itself does not fail on the same defect: its header explicitly sets SET check_function_bodies = false; (standard pg_dump behavior), which suppresses semantic validation of function bodies at creation time. 000 contains its own, near-identical find_similar_skills() definition (also referencing embedding_vector against the same table), and it is created earlier in that file than skill_embeddings itself — an ordering that would also fail under normal validation, but does not, because body-checking is off. 001_semantic_ai_upgrade.sql sets no such override, so it runs under Postgres's default check_function_bodies = on, and is validated normally — which is why the identical class of column mismatch is silent in 000 but fatal in 001.</w:t>
      </w:r>
    </w:p>
    <w:p>
      <w:pPr>
        <w:pStyle w:val="Heading1"/>
        <w:spacing w:after="160" w:before="320"/>
      </w:pPr>
      <w:r>
        <w:t xml:space="preserve">9. Root Cause Assessment</w:t>
      </w:r>
    </w:p>
    <w:p>
      <w:pPr>
        <w:spacing w:after="100"/>
      </w:pPr>
      <w:r>
        <w:rPr>
          <w:b/>
          <w:bCs/>
        </w:rPr>
        <w:t xml:space="preserve">Was the column renamed? </w:t>
      </w:r>
    </w:p>
    <w:p>
      <w:pPr>
        <w:spacing w:after="140"/>
      </w:pPr>
      <w:r>
        <w:t xml:space="preserve">No rename statement exists anywhere in the repository (verified by a full-text search for RENAME COLUMN against skill_embeddings). The two names appear to be two independent, parallel authorings rather than one evolving from the other.</w:t>
      </w:r>
    </w:p>
    <w:p>
      <w:pPr>
        <w:spacing w:after="100"/>
      </w:pPr>
      <w:r>
        <w:rPr>
          <w:b/>
          <w:bCs/>
        </w:rPr>
        <w:t xml:space="preserve">Was the table redesigned? </w:t>
      </w:r>
    </w:p>
    <w:p>
      <w:pPr>
        <w:spacing w:after="140"/>
      </w:pPr>
      <w:r>
        <w:t xml:space="preserve">Effectively no — 001's intended redesign (embedding_vector, 1536 dimensions) was written but never applied, because the table already existed under the 000 definition (embedding, 384 dimensions) by the time 001 ran.</w:t>
      </w:r>
    </w:p>
    <w:p>
      <w:pPr>
        <w:spacing w:after="100"/>
      </w:pPr>
      <w:r>
        <w:rPr>
          <w:b/>
          <w:bCs/>
        </w:rPr>
        <w:t xml:space="preserve">Was the migration partially updated? </w:t>
      </w:r>
    </w:p>
    <w:p>
      <w:pPr>
        <w:spacing w:after="140"/>
      </w:pPr>
      <w:r>
        <w:t xml:space="preserve">Yes, in effect. 001 updated everything around the table (indexes, triggers, cache tables, RLS policies, the job_embeddings table — which does not have this problem, since 000 and 001 agree on embedding_vector there) but never actually updated skill_embeddings itself, because of the IF NOT EXISTS no-op.</w:t>
      </w:r>
    </w:p>
    <w:p>
      <w:pPr>
        <w:spacing w:after="100"/>
      </w:pPr>
      <w:r>
        <w:rPr>
          <w:b/>
          <w:bCs/>
        </w:rPr>
        <w:t xml:space="preserve">Was the function never updated? </w:t>
      </w:r>
    </w:p>
    <w:p>
      <w:pPr>
        <w:spacing w:after="140"/>
      </w:pPr>
      <w:r>
        <w:t xml:space="preserve">The function WAS updated (001's CREATE OR REPLACE overwrites 000's version) — but it was updated to match a table schema (001's own, embedding_vector) that never actually took effect, rather than the schema that was actually live (000's, embedding).</w:t>
      </w:r>
    </w:p>
    <w:p>
      <w:pPr>
        <w:spacing w:after="100"/>
      </w:pPr>
      <w:r>
        <w:rPr>
          <w:b/>
          <w:bCs/>
        </w:rPr>
        <w:t xml:space="preserve">Was the function copied from an earlier schema? </w:t>
      </w:r>
    </w:p>
    <w:p>
      <w:pPr>
        <w:spacing w:after="140"/>
      </w:pPr>
      <w:r>
        <w:t xml:space="preserve">More precisely the reverse: the function appears to have been authored together with a table redefinition that was intended to supersede the earlier schema, but the table redefinition silently failed to apply, while the function redefinition succeeded (until now, when validation is actually enforced).</w:t>
      </w:r>
    </w:p>
    <w:p>
      <w:pPr>
        <w:spacing w:after="100"/>
      </w:pPr>
      <w:r>
        <w:rPr>
          <w:b/>
          <w:bCs/>
        </w:rPr>
        <w:t xml:space="preserve">Classification against the six candidate causes: </w:t>
      </w:r>
    </w:p>
    <w:p>
      <w:pPr>
        <w:pStyle w:val="ListParagraph"/>
        <w:numPr>
          <w:ilvl w:val="0"/>
          <w:numId w:val="1"/>
        </w:numPr>
        <w:spacing w:after="80"/>
      </w:pPr>
      <w:r>
        <w:t xml:space="preserve">A — Migration ordering: NOT the cause. 000 correctly precedes 001; no ordering change would fix this.</w:t>
      </w:r>
    </w:p>
    <w:p>
      <w:pPr>
        <w:pStyle w:val="ListParagraph"/>
        <w:numPr>
          <w:ilvl w:val="0"/>
          <w:numId w:val="1"/>
        </w:numPr>
        <w:spacing w:after="80"/>
      </w:pPr>
      <w:r>
        <w:t xml:space="preserve">B — Dependency ordering: NOT the cause. Nothing here is referenced before it exists; it is referenced under the wrong name.</w:t>
      </w:r>
    </w:p>
    <w:p>
      <w:pPr>
        <w:pStyle w:val="ListParagraph"/>
        <w:numPr>
          <w:ilvl w:val="0"/>
          <w:numId w:val="1"/>
        </w:numPr>
        <w:spacing w:after="80"/>
      </w:pPr>
      <w:r>
        <w:t xml:space="preserve">C — Schema mismatch: PRIMARY cause. Two incompatible definitions of the same table (different column name, different vector dimension), with only one taking effect.</w:t>
      </w:r>
    </w:p>
    <w:p>
      <w:pPr>
        <w:pStyle w:val="ListParagraph"/>
        <w:numPr>
          <w:ilvl w:val="0"/>
          <w:numId w:val="1"/>
        </w:numPr>
        <w:spacing w:after="80"/>
      </w:pPr>
      <w:r>
        <w:t xml:space="preserve">D — Historical drift: CONTRIBUTING. This is the same class of drift documented elsewhere in the WP-DB-01 series (duplicate, incompatible object definitions) — this is a previously undetected instance of it, in the Legacy Foundation era rather than the Governance/Intelligence era.</w:t>
      </w:r>
    </w:p>
    <w:p>
      <w:pPr>
        <w:pStyle w:val="ListParagraph"/>
        <w:numPr>
          <w:ilvl w:val="0"/>
          <w:numId w:val="1"/>
        </w:numPr>
        <w:spacing w:after="80"/>
      </w:pPr>
      <w:r>
        <w:t xml:space="preserve">E — Incorrect SQL assumptions: CONTRIBUTING. The function was authored against an assumed schema that was never actually realized in the database.</w:t>
      </w:r>
    </w:p>
    <w:p>
      <w:pPr>
        <w:pStyle w:val="ListParagraph"/>
        <w:numPr>
          <w:ilvl w:val="0"/>
          <w:numId w:val="1"/>
        </w:numPr>
        <w:spacing w:after="80"/>
      </w:pPr>
      <w:r>
        <w:t xml:space="preserve">F — Canonical mismatch: NOT DIRECTLY APPLICABLE. No canonical schema artifact exists to compare against (Finding F11, still open) — this finding is a further illustration of why that gap matters, not an instance of a confirmed canonical mismatch.</w:t>
      </w:r>
    </w:p>
    <w:p>
      <w:pPr>
        <w:pStyle w:val="Heading1"/>
        <w:spacing w:after="160" w:before="320"/>
      </w:pPr>
      <w:r>
        <w:t xml:space="preserve">10. Scope Assessment</w:t>
      </w:r>
    </w:p>
    <w:p>
      <w:pPr>
        <w:spacing w:after="140"/>
      </w:pPr>
      <w:r>
        <w:t xml:space="preserve">This defect is outside WP-DB-01A (Batch 1) scope. Batch 1's approved scope was limited to filename normalization and execution-order reconciliation for the 9 specifically identified non-timestamped files (Findings F1/F2). This defect involves two files — 000_initial_schema.sql and 001_semantic_ai_upgrade.sql — that were never among the 9, were never flagged by any prior WP-DB-01 report, and involve object-definition content (a column name and type), not filename or ordering.</w:t>
      </w:r>
    </w:p>
    <w:p>
      <w:pPr>
        <w:spacing w:after="140"/>
      </w:pPr>
      <w:r>
        <w:t xml:space="preserve">It belongs to the same category of work the Reconciliation Planning Report assigned to Group C (Duplicate Object Reconciliation) and explicitly marked "Requires Human Decision" — resolving which embedding schema (384-dim embedding or 1536-dim embedding_vector) is authoritative affects whichever application code path (e.g., SemanticSkillEngine, referenced in 001's own header comment) reads this table, which is outside this report's visibility. This is a new finding for that same category of future work, not a re-opening of Batch 1.</w:t>
      </w:r>
    </w:p>
    <w:p>
      <w:pPr>
        <w:pStyle w:val="Heading1"/>
        <w:spacing w:after="160" w:before="320"/>
      </w:pPr>
      <w:r>
        <w:t xml:space="preserve">11. Outstanding Issues</w:t>
      </w:r>
    </w:p>
    <w:p>
      <w:pPr>
        <w:pStyle w:val="ListParagraph"/>
        <w:numPr>
          <w:ilvl w:val="0"/>
          <w:numId w:val="1"/>
        </w:numPr>
        <w:spacing w:after="80"/>
      </w:pPr>
      <w:r>
        <w:t xml:space="preserve">New: skill_embeddings column-name and dimension mismatch between 000_initial_schema.sql and 001_semantic_ai_upgrade.sql, blocking find_similar_skills() creation and, as a direct consequence, blocking any further progress of a clean `supabase db reset` — including verification of Batch 1's own target guard clauses.</w:t>
      </w:r>
    </w:p>
    <w:p>
      <w:pPr>
        <w:pStyle w:val="ListParagraph"/>
        <w:numPr>
          <w:ilvl w:val="0"/>
          <w:numId w:val="1"/>
        </w:numPr>
        <w:spacing w:after="80"/>
      </w:pPr>
      <w:r>
        <w:t xml:space="preserve">Carried forward, unchanged: F3 (signal_category_hierarchy / signal_ontology_edges duplicate schemas, now resolved in favor of the 1A cluster's definition per the Batch 1 report), F4 (5 idempotent duplicate tables), F5 (RECONSTRUCTED trio phantom dependencies), F6/F7 (function/trigger ownership and duplication), F8 (extensionless artifact disposition), F9 (unresolved governance_audit role / Sprint 1B reference), F10 (H1 seed column verification), F11 (no canonical schema artifact).</w:t>
      </w:r>
    </w:p>
    <w:p>
      <w:pPr>
        <w:pStyle w:val="ListParagraph"/>
        <w:numPr>
          <w:ilvl w:val="0"/>
          <w:numId w:val="1"/>
        </w:numPr>
        <w:spacing w:after="80"/>
      </w:pPr>
      <w:r>
        <w:t xml:space="preserve">None of Batch 1's own target guard clauses (WP-DB-005, Sprint 1C PREAMBLE checks, the fn_approve_lineage_transition %ROWTYPE dependency) have yet been runtime-exercised, because the chain has not yet run far enough to reach them.</w:t>
      </w:r>
    </w:p>
    <w:p>
      <w:pPr>
        <w:pStyle w:val="Heading1"/>
        <w:spacing w:after="160" w:before="320"/>
      </w:pPr>
      <w:r>
        <w:t xml:space="preserve">12. Risk Assessment</w:t>
      </w:r>
    </w:p>
    <w:p>
      <w:pPr>
        <w:pStyle w:val="ListParagraph"/>
        <w:numPr>
          <w:ilvl w:val="0"/>
          <w:numId w:val="1"/>
        </w:numPr>
        <w:spacing w:after="80"/>
      </w:pPr>
      <w:r>
        <w:t xml:space="preserve">Immediate risk: High. The database cannot currently be reconstructed from a clean state at all — the chain fails before position 3 of 70. This is a more severe blocker, in practical terms, than the position-59/62 issue Batch 1 addressed, since it prevents any further verification whatsoever.</w:t>
      </w:r>
    </w:p>
    <w:p>
      <w:pPr>
        <w:pStyle w:val="ListParagraph"/>
        <w:numPr>
          <w:ilvl w:val="0"/>
          <w:numId w:val="1"/>
        </w:numPr>
        <w:spacing w:after="80"/>
      </w:pPr>
      <w:r>
        <w:t xml:space="preserve">Risk to Batch 1's own changes: Low. Nothing observed contradicts them; they simply have not yet been exercised. No evidence suggests the renames themselves are unsound.</w:t>
      </w:r>
    </w:p>
    <w:p>
      <w:pPr>
        <w:pStyle w:val="ListParagraph"/>
        <w:numPr>
          <w:ilvl w:val="0"/>
          <w:numId w:val="1"/>
        </w:numPr>
        <w:spacing w:after="80"/>
      </w:pPr>
      <w:r>
        <w:t xml:space="preserve">Risk of scope creep if this is fixed under WP-DB-01A: Medium. Because this defect sits in files never covered by Batch 1's approved scope, fixing it under the WP-DB-01A umbrella would exceed that work package's approved boundaries; it warrants its own clearly-scoped corrective batch.</w:t>
      </w:r>
    </w:p>
    <w:p>
      <w:pPr>
        <w:pStyle w:val="ListParagraph"/>
        <w:numPr>
          <w:ilvl w:val="0"/>
          <w:numId w:val="1"/>
        </w:numPr>
        <w:spacing w:after="80"/>
      </w:pPr>
      <w:r>
        <w:t xml:space="preserve">Risk of continued silent drift: Medium. This defect went undetected through six analytical reports and one implementation batch because none of them performed column-level, cross-file schema comparison for the Legacy Foundation era — a gap worth flagging for whatever review process governs future batches.</w:t>
      </w:r>
    </w:p>
    <w:p>
      <w:pPr>
        <w:pStyle w:val="Heading1"/>
        <w:spacing w:after="160" w:before="320"/>
      </w:pPr>
      <w:r>
        <w:t xml:space="preserve">13. Enterprise Conclusions</w:t>
      </w:r>
    </w:p>
    <w:p>
      <w:pPr>
        <w:spacing w:after="140"/>
      </w:pPr>
      <w:r>
        <w:t xml:space="preserve">Batch 1 is classified as: Successful with Outstanding Issues.</w:t>
      </w:r>
    </w:p>
    <w:p>
      <w:pPr>
        <w:spacing w:after="140"/>
      </w:pPr>
      <w:r>
        <w:t xml:space="preserve">Rationale: every objective Batch 1 explicitly committed to (filename normalization, repository consistency, and a textually-verified fix for the two documented guard-clause halts) has been achieved and is independently verifiable right now, without depending on this runtime evidence. The observed dry run neither confirms nor contradicts Batch 1's specific ordering fix, because it did not run far enough to reach it. It does surface one new, unrelated, and more immediately severe defect, located entirely outside Batch 1's changed files.</w:t>
      </w:r>
    </w:p>
    <w:p>
      <w:pPr>
        <w:spacing w:after="140"/>
      </w:pPr>
      <w:r>
        <w:t xml:space="preserve">WP-DB-01A (Batch 1, the implementation) can be considered closed on its own terms — its deliverables are complete, correct, and match its approved scope. WP-DB-01A's broader verification objective (an observed, successful, clean `supabase db reset`) cannot yet be closed, since that has still not been achieved, for reasons outside Batch 1's control.</w:t>
      </w:r>
    </w:p>
    <w:p>
      <w:pPr>
        <w:spacing w:after="140"/>
      </w:pPr>
      <w:r>
        <w:t xml:space="preserve">An additional corrective implementation batch is required before WP-DB-01B, but its purpose is to resolve the newly discovered skill_embeddings defect, not to redo or extend Batch 1's work.</w:t>
      </w:r>
    </w:p>
    <w:p>
      <w:pPr>
        <w:pStyle w:val="Heading1"/>
        <w:spacing w:after="160" w:before="320"/>
      </w:pPr>
      <w:r>
        <w:t xml:space="preserve">14. Recommendations</w:t>
      </w:r>
    </w:p>
    <w:p>
      <w:pPr>
        <w:pStyle w:val="ListParagraph"/>
        <w:numPr>
          <w:ilvl w:val="0"/>
          <w:numId w:val="1"/>
        </w:numPr>
        <w:spacing w:after="80"/>
      </w:pPr>
      <w:r>
        <w:t xml:space="preserve">Open a new, narrowly-scoped corrective batch with the single implementation objective of reconciling the skill_embeddings column-name/dimension mismatch between 000_initial_schema.sql and 001_semantic_ai_upgrade.sql, sufficient to let find_similar_skills() create successfully. (Per this work package's instructions, no implementation approach is proposed here — that decision includes a human call on which embedding schema, and which dependent application code path, is authoritative, consistent with how Group C decisions have been handled throughout this series.)</w:t>
      </w:r>
    </w:p>
    <w:p>
      <w:pPr>
        <w:pStyle w:val="ListParagraph"/>
        <w:numPr>
          <w:ilvl w:val="0"/>
          <w:numId w:val="1"/>
        </w:numPr>
        <w:spacing w:after="80"/>
      </w:pPr>
      <w:r>
        <w:t xml:space="preserve">Re-run `supabase db reset` after that corrective batch, specifically to determine whether the chain now proceeds past position 2 and, ultimately, whether it reaches and clears positions 53–70 — this is the run that will finally give Batch 1's own fix its first piece of direct runtime evidence.</w:t>
      </w:r>
    </w:p>
    <w:p>
      <w:pPr>
        <w:pStyle w:val="ListParagraph"/>
        <w:numPr>
          <w:ilvl w:val="0"/>
          <w:numId w:val="1"/>
        </w:numPr>
        <w:spacing w:after="80"/>
      </w:pPr>
      <w:r>
        <w:t xml:space="preserve">Extend the same column-level, cross-file comparison approach that surfaced this defect to the rest of the Legacy Foundation era (positions 1–7) and the Career Metrics / CHI Performance layer (positions 6–21), since none of those eras have had this granularity of check performed, and this finding shows static, filename/dependency-level analysis alone can miss defects of this kind.</w:t>
      </w:r>
    </w:p>
    <w:p>
      <w:pPr>
        <w:pStyle w:val="ListParagraph"/>
        <w:numPr>
          <w:ilvl w:val="0"/>
          <w:numId w:val="1"/>
        </w:numPr>
        <w:spacing w:after="80"/>
      </w:pPr>
      <w:r>
        <w:t xml:space="preserve">Continue treating the canonical schema artifact acquisition (Group H / F11) as a standing, parallel priority — a real canonical schema would have caught this specific mismatch immediately by comparison, rather than requiring an actual failed reset to surface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2026-07-07T06:36:25.418Z</dcterms:created>
  <dcterms:modified xsi:type="dcterms:W3CDTF">2026-07-07T06:36:25.432Z</dcterms:modified>
</cp:coreProperties>
</file>

<file path=docProps/custom.xml><?xml version="1.0" encoding="utf-8"?>
<Properties xmlns="http://schemas.openxmlformats.org/officeDocument/2006/custom-properties" xmlns:vt="http://schemas.openxmlformats.org/officeDocument/2006/docPropsVTypes"/>
</file>