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WP-DB-01 — Enterprise Canonical Schema Comparison</w:t>
      </w:r>
    </w:p>
    <w:p>
      <w:pPr>
        <w:spacing w:after="140"/>
      </w:pPr>
      <w:r>
        <w:rPr>
          <w:i/>
          <w:iCs/>
        </w:rPr>
        <w:t xml:space="preserve">HireRise Platform · Supabase Migration Chain vs. Stated Canonical Schema</w:t>
      </w:r>
    </w:p>
    <w:p>
      <w:pPr>
        <w:spacing w:after="140"/>
      </w:pPr>
      <w:r>
        <w:rPr>
          <w:i/>
          <w:iCs/>
        </w:rPr>
        <w:t xml:space="preserve">Mode: Read-only comparison. No files modified. No fixes proposed. No implementation recommended.</w:t>
      </w:r>
    </w:p>
    <w:p>
      <w:pPr>
        <w:spacing w:after="140"/>
      </w:pPr>
      <w:r>
        <w:rPr>
          <w:i/>
          <w:iCs/>
        </w:rPr>
        <w:t xml:space="preserve">Repository path audited: core/supabase/ (migration chain). Full repository searched for a canonical schema artifact.</w:t>
      </w:r>
    </w:p>
    <w:p>
      <w:pPr>
        <w:pStyle w:val="Heading1"/>
        <w:spacing w:after="120" w:before="300"/>
      </w:pPr>
      <w:r>
        <w:t xml:space="preserve">1. Executive Summary</w:t>
      </w:r>
    </w:p>
    <w:p>
      <w:pPr>
        <w:spacing w:after="140"/>
      </w:pPr>
      <w:r>
        <w:rPr>
          <w:b/>
          <w:bCs/>
        </w:rPr>
        <w:t xml:space="preserve">This work package could not be completed as specified, and that inability is itself the finding.</w:t>
      </w:r>
    </w:p>
    <w:p>
      <w:pPr>
        <w:spacing w:after="140"/>
      </w:pPr>
      <w:r>
        <w:t xml:space="preserve">The requested comparison is between (a) the schema produced by the migration chain and (b) "the canonical HireRise database schema" as an independent source of truth. No artifact meeting definition (b) exists anywhere in this repository — not as a pg_dump, not as a declarative schema file, not as a DDL-level specification of the same tables the migration chain builds.</w:t>
      </w:r>
    </w:p>
    <w:p>
      <w:pPr>
        <w:spacing w:after="140"/>
      </w:pPr>
      <w:r>
        <w:t xml:space="preserve">This is not a new finding. All three prior WP-DB-01 reports flagged it independently and did not resolve it:</w:t>
      </w:r>
    </w:p>
    <w:p>
      <w:pPr>
        <w:pStyle w:val="ListParagraph"/>
        <w:numPr>
          <w:ilvl w:val="0"/>
          <w:numId w:val="1"/>
        </w:numPr>
        <w:spacing w:after="80"/>
      </w:pPr>
      <w:r>
        <w:t xml:space="preserve">Migration Audit Report, §7: "No canonical schema artifact was provided to this audit... Recommendation: obtain a pg_dump --schema-only of the canonical database so the next work package can perform a true diff."</w:t>
      </w:r>
    </w:p>
    <w:p>
      <w:pPr>
        <w:pStyle w:val="ListParagraph"/>
        <w:numPr>
          <w:ilvl w:val="0"/>
          <w:numId w:val="1"/>
        </w:numPr>
        <w:spacing w:after="80"/>
      </w:pPr>
      <w:r>
        <w:t xml:space="preserve">Drift Analysis Report, scope note: "no canonical schema artifact (pg_dump, declarative schema, or ERD) was supplied to this analysis. Every reference to ‘canonical definition’ below is therefore reconstructed from the last-executing definition of each object."</w:t>
      </w:r>
    </w:p>
    <w:p>
      <w:pPr>
        <w:pStyle w:val="ListParagraph"/>
        <w:numPr>
          <w:ilvl w:val="0"/>
          <w:numId w:val="1"/>
        </w:numPr>
        <w:spacing w:after="80"/>
      </w:pPr>
      <w:r>
        <w:t xml:space="preserve">Migration Ordering Review: frames "canonical" only as an assumed 14-phase logical ordering (Infrastructure → Extensions → ... → Operational Corrections), not as a concrete target schema.</w:t>
      </w:r>
    </w:p>
    <w:p>
      <w:pPr>
        <w:spacing w:after="140"/>
      </w:pPr>
      <w:r>
        <w:t xml:space="preserve">This report searched the full repository (not just core/supabase/) for anything that could substitute for the missing artifact. One real candidate exists — a DDL file literally named "canonical entity core" — but it defines an unrelated subsystem, not a reference version of the audited schema. Section 3 documents why it does not qualify.</w:t>
      </w:r>
    </w:p>
    <w:p>
      <w:pPr>
        <w:spacing w:after="140"/>
      </w:pPr>
      <w:r>
        <w:t xml:space="preserve">Given the missing target, this report does what the evidence actually supports: it reports the comparison as blocked, quantifies why, and reduces the requested 21-part canonical diff to the subset that is honestly answerable without a real point of comparison. Sections that cannot be answered are marked accordingly rather than filled with an invented or reconstructed "canonical" standing in as the real thing.</w:t>
      </w:r>
    </w:p>
    <w:p>
      <w:pPr>
        <w:pStyle w:val="Heading1"/>
        <w:spacing w:after="120" w:before="300"/>
      </w:pPr>
      <w:r>
        <w:t xml:space="preserve">2. Comparison Methodology</w:t>
      </w:r>
    </w:p>
    <w:p>
      <w:pPr>
        <w:spacing w:after="140"/>
      </w:pPr>
      <w:r>
        <w:t xml:space="preserve">Steps taken:</w:t>
      </w:r>
    </w:p>
    <w:p>
      <w:pPr>
        <w:pStyle w:val="ListParagraph"/>
        <w:numPr>
          <w:ilvl w:val="0"/>
          <w:numId w:val="1"/>
        </w:numPr>
        <w:spacing w:after="80"/>
      </w:pPr>
      <w:r>
        <w:t xml:space="preserve">Reviewed all three prior WP-DB-01 reports for their stated canonical-schema scope limitations (confirmed above).</w:t>
      </w:r>
    </w:p>
    <w:p>
      <w:pPr>
        <w:pStyle w:val="ListParagraph"/>
        <w:numPr>
          <w:ilvl w:val="0"/>
          <w:numId w:val="1"/>
        </w:numPr>
        <w:spacing w:after="80"/>
      </w:pPr>
      <w:r>
        <w:t xml:space="preserve">Searched the entire repository (grep -ril "canonical") for any file that could serve as a declarative schema, ERD, or pg_dump — not just documents already discussed in prior reports.</w:t>
      </w:r>
    </w:p>
    <w:p>
      <w:pPr>
        <w:pStyle w:val="ListParagraph"/>
        <w:numPr>
          <w:ilvl w:val="0"/>
          <w:numId w:val="1"/>
        </w:numPr>
        <w:spacing w:after="80"/>
      </w:pPr>
      <w:r>
        <w:t xml:space="preserve">Inspected every "canonical"-labelled document and migration found, to determine whether any is (a) schema-level (types, constraints, columns — not prose) and (b) describing the same tables the audited migration chain produces.</w:t>
      </w:r>
    </w:p>
    <w:p>
      <w:pPr>
        <w:pStyle w:val="ListParagraph"/>
        <w:numPr>
          <w:ilvl w:val="0"/>
          <w:numId w:val="1"/>
        </w:numPr>
        <w:spacing w:after="80"/>
      </w:pPr>
      <w:r>
        <w:t xml:space="preserve">Cross-checked the existing tables_inventory.csv / functions_inventory.csv / migration_inventory.csv (produced by the prior Dependency Analysis work package) for internal duplication, since that is the nearest verifiable proxy to "drift" in the absence of a real canonical target.</w:t>
      </w:r>
    </w:p>
    <w:p>
      <w:pPr>
        <w:spacing w:after="140"/>
      </w:pPr>
      <w:r>
        <w:t xml:space="preserve">No new SQL was written, no migrations were run, and no supabase db reset was performed. All findings below are static, file-based analysis.</w:t>
      </w:r>
    </w:p>
    <w:p>
      <w:pPr>
        <w:pStyle w:val="Heading1"/>
        <w:spacing w:after="120" w:before="300"/>
      </w:pPr>
      <w:r>
        <w:t xml:space="preserve">3. Canonical Schema Candidates Considered — and Why Each Was Rejected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900"/>
        <w:gridCol w:w="2500"/>
      </w:tblGrid>
      <w:tr>
        <w:tc>
          <w:tcPr>
            <w:tcW w:type="dxa" w:w="2600"/>
            <w:shd w:fill="2F3B52" w:val="clear"/>
          </w:tcPr>
          <w:p>
            <w:r>
              <w:rPr>
                <w:b/>
                <w:bCs/>
                <w:color w:val="FFFFFF"/>
              </w:rPr>
              <w:t xml:space="preserve">Candidate</w:t>
            </w:r>
          </w:p>
        </w:tc>
        <w:tc>
          <w:tcPr>
            <w:tcW w:type="dxa" w:w="2600"/>
            <w:shd w:fill="2F3B52" w:val="clear"/>
          </w:tcPr>
          <w:p>
            <w:r>
              <w:rPr>
                <w:b/>
                <w:bCs/>
                <w:color w:val="FFFFFF"/>
              </w:rPr>
              <w:t xml:space="preserve">Location</w:t>
            </w:r>
          </w:p>
        </w:tc>
        <w:tc>
          <w:tcPr>
            <w:tcW w:type="dxa" w:w="1900"/>
            <w:shd w:fill="2F3B52" w:val="clear"/>
          </w:tcPr>
          <w:p>
            <w:r>
              <w:rPr>
                <w:b/>
                <w:bCs/>
                <w:color w:val="FFFFFF"/>
              </w:rPr>
              <w:t xml:space="preserve">Nature</w:t>
            </w:r>
          </w:p>
        </w:tc>
        <w:tc>
          <w:tcPr>
            <w:tcW w:type="dxa" w:w="2500"/>
            <w:shd w:fill="2F3B52" w:val="clear"/>
          </w:tcPr>
          <w:p>
            <w:r>
              <w:rPr>
                <w:b/>
                <w:bCs/>
                <w:color w:val="FFFFFF"/>
              </w:rPr>
              <w:t xml:space="preserve">Verdict</w:t>
            </w:r>
          </w:p>
        </w:tc>
      </w:tr>
      <w:tr>
        <w:tc>
          <w:tcPr>
            <w:tcW w:type="dxa" w:w="2600"/>
          </w:tcPr>
          <w:p>
            <w:r>
              <w:rPr>
                <w:b w:val="false"/>
                <w:bCs w:val="false"/>
              </w:rPr>
              <w:t xml:space="preserve">Migration Audit / Drift / Ordering Reports</w:t>
            </w:r>
          </w:p>
        </w:tc>
        <w:tc>
          <w:tcPr>
            <w:tcW w:type="dxa" w:w="2600"/>
          </w:tcPr>
          <w:p>
            <w:r>
              <w:rPr>
                <w:b w:val="false"/>
                <w:bCs w:val="false"/>
              </w:rPr>
              <w:t xml:space="preserve">core/supabase/docs/</w:t>
            </w:r>
          </w:p>
        </w:tc>
        <w:tc>
          <w:tcPr>
            <w:tcW w:type="dxa" w:w="1900"/>
          </w:tcPr>
          <w:p>
            <w:r>
              <w:rPr>
                <w:b w:val="false"/>
                <w:bCs w:val="false"/>
              </w:rPr>
              <w:t xml:space="preserve">Prior analysis reports</w:t>
            </w:r>
          </w:p>
        </w:tc>
        <w:tc>
          <w:tcPr>
            <w:tcW w:type="dxa" w:w="2500"/>
          </w:tcPr>
          <w:p>
            <w:r>
              <w:rPr>
                <w:b w:val="false"/>
                <w:bCs w:val="false"/>
              </w:rPr>
              <w:t xml:space="preserve">Explicitly state no artifact was supplied to them either — not a source</w:t>
            </w:r>
          </w:p>
        </w:tc>
      </w:tr>
      <w:tr>
        <w:tc>
          <w:tcPr>
            <w:tcW w:type="dxa" w:w="2600"/>
          </w:tcPr>
          <w:p>
            <w:r>
              <w:rPr>
                <w:b w:val="false"/>
                <w:bCs w:val="false"/>
              </w:rPr>
              <w:t xml:space="preserve">"Canonical Entity Model" (canonical_entities spine + ext_* tables)</w:t>
            </w:r>
          </w:p>
        </w:tc>
        <w:tc>
          <w:tcPr>
            <w:tcW w:type="dxa" w:w="2600"/>
          </w:tcPr>
          <w:p>
            <w:r>
              <w:rPr>
                <w:b w:val="false"/>
                <w:bCs w:val="false"/>
              </w:rPr>
              <w:t xml:space="preserve">documents/WP-EXEC-01/migrations/01_canonical_entity_core.sql</w:t>
            </w:r>
          </w:p>
        </w:tc>
        <w:tc>
          <w:tcPr>
            <w:tcW w:type="dxa" w:w="1900"/>
          </w:tcPr>
          <w:p>
            <w:r>
              <w:rPr>
                <w:b w:val="false"/>
                <w:bCs w:val="false"/>
              </w:rPr>
              <w:t xml:space="preserve">Real DDL, deployable</w:t>
            </w:r>
          </w:p>
        </w:tc>
        <w:tc>
          <w:tcPr>
            <w:tcW w:type="dxa" w:w="2500"/>
          </w:tcPr>
          <w:p>
            <w:r>
              <w:rPr>
                <w:b w:val="false"/>
                <w:bCs w:val="false"/>
              </w:rPr>
              <w:t xml:space="preserve">Different subsystem (Knowledge Platform taxonomy). Zero table-name overlap with core/supabase/migrations. Not part of the Supabase migration folder, so not applied by supabase db reset for this project.</w:t>
            </w:r>
          </w:p>
        </w:tc>
      </w:tr>
      <w:tr>
        <w:tc>
          <w:tcPr>
            <w:tcW w:type="dxa" w:w="2600"/>
          </w:tcPr>
          <w:p>
            <w:r>
              <w:rPr>
                <w:b w:val="false"/>
                <w:bCs w:val="false"/>
              </w:rPr>
              <w:t xml:space="preserve">CANONICAL_MODULE_BOUNDARIES.md / STUDENT_INTELLIGENCE_PLATFORM_CANONICAL_ARCHITECTURE.md</w:t>
            </w:r>
          </w:p>
        </w:tc>
        <w:tc>
          <w:tcPr>
            <w:tcW w:type="dxa" w:w="2600"/>
          </w:tcPr>
          <w:p>
            <w:r>
              <w:rPr>
                <w:b w:val="false"/>
                <w:bCs w:val="false"/>
              </w:rPr>
              <w:t xml:space="preserve">documents/WP-AIC-01/</w:t>
            </w:r>
          </w:p>
        </w:tc>
        <w:tc>
          <w:tcPr>
            <w:tcW w:type="dxa" w:w="1900"/>
          </w:tcPr>
          <w:p>
            <w:r>
              <w:rPr>
                <w:b w:val="false"/>
                <w:bCs w:val="false"/>
              </w:rPr>
              <w:t xml:space="preserve">Prose architecture docs</w:t>
            </w:r>
          </w:p>
        </w:tc>
        <w:tc>
          <w:tcPr>
            <w:tcW w:type="dxa" w:w="2500"/>
          </w:tcPr>
          <w:p>
            <w:r>
              <w:rPr>
                <w:b w:val="false"/>
                <w:bCs w:val="false"/>
              </w:rPr>
              <w:t xml:space="preserve">No column/type/constraint detail. Describes module boundaries and product architecture, not a schema. Not diffable against SQL.</w:t>
            </w:r>
          </w:p>
        </w:tc>
      </w:tr>
      <w:tr>
        <w:tc>
          <w:tcPr>
            <w:tcW w:type="dxa" w:w="2600"/>
          </w:tcPr>
          <w:p>
            <w:r>
              <w:rPr>
                <w:b w:val="false"/>
                <w:bCs w:val="false"/>
              </w:rPr>
              <w:t xml:space="preserve">MASTER_DATA_SCHEMA.md</w:t>
            </w:r>
          </w:p>
        </w:tc>
        <w:tc>
          <w:tcPr>
            <w:tcW w:type="dxa" w:w="2600"/>
          </w:tcPr>
          <w:p>
            <w:r>
              <w:rPr>
                <w:b w:val="false"/>
                <w:bCs w:val="false"/>
              </w:rPr>
              <w:t xml:space="preserve">documents/WP-EXEC-01/docs/</w:t>
            </w:r>
          </w:p>
        </w:tc>
        <w:tc>
          <w:tcPr>
            <w:tcW w:type="dxa" w:w="1900"/>
          </w:tcPr>
          <w:p>
            <w:r>
              <w:rPr>
                <w:b w:val="false"/>
                <w:bCs w:val="false"/>
              </w:rPr>
              <w:t xml:space="preserve">Schema documentation</w:t>
            </w:r>
          </w:p>
        </w:tc>
        <w:tc>
          <w:tcPr>
            <w:tcW w:type="dxa" w:w="2500"/>
          </w:tcPr>
          <w:p>
            <w:r>
              <w:rPr>
                <w:b w:val="false"/>
                <w:bCs w:val="false"/>
              </w:rPr>
              <w:t xml:space="preserve">Documents the same unrelated Knowledge Platform tables as row 2, not the audited schema.</w:t>
            </w:r>
          </w:p>
        </w:tc>
      </w:tr>
      <w:tr>
        <w:tc>
          <w:tcPr>
            <w:tcW w:type="dxa" w:w="2600"/>
          </w:tcPr>
          <w:p>
            <w:r>
              <w:rPr>
                <w:b w:val="false"/>
                <w:bCs w:val="false"/>
              </w:rPr>
              <w:t xml:space="preserve">core/backups/pre_wp_db_005_schema.sql / post_wp_db_005_schema.sql</w:t>
            </w:r>
          </w:p>
        </w:tc>
        <w:tc>
          <w:tcPr>
            <w:tcW w:type="dxa" w:w="2600"/>
          </w:tcPr>
          <w:p>
            <w:r>
              <w:rPr>
                <w:b w:val="false"/>
                <w:bCs w:val="false"/>
              </w:rPr>
              <w:t xml:space="preserve">core/backups/</w:t>
            </w:r>
          </w:p>
        </w:tc>
        <w:tc>
          <w:tcPr>
            <w:tcW w:type="dxa" w:w="1900"/>
          </w:tcPr>
          <w:p>
            <w:r>
              <w:rPr>
                <w:b w:val="false"/>
                <w:bCs w:val="false"/>
              </w:rPr>
              <w:t xml:space="preserve">Named as schema snapshots</w:t>
            </w:r>
          </w:p>
        </w:tc>
        <w:tc>
          <w:tcPr>
            <w:tcW w:type="dxa" w:w="2500"/>
          </w:tcPr>
          <w:p>
            <w:r>
              <w:rPr>
                <w:b w:val="false"/>
                <w:bCs w:val="false"/>
              </w:rPr>
              <w:t xml:space="preserve">Point-in-time backups from an earlier, different work package (WP-DB-005), not labelled or confirmed as the current canonical target — see Section 8 limitation.</w:t>
            </w:r>
          </w:p>
        </w:tc>
      </w:tr>
    </w:tbl>
    <w:p>
      <w:pPr>
        <w:spacing w:after="140"/>
      </w:pPr>
      <w:r>
        <w:t xml:space="preserve">Row 5 is the closest thing to a real schema snapshot found in the repository. It was not evaluated further in this report because doing so — determining whether a two-year-old, differently-numbered work package's before/after backup is authoritative for the present migration chain — is itself a scope/provenance judgment call, not a comparison. It is logged in Section 8 as a lead for the next stage, per this work package's instruction not to expand scope.</w:t>
      </w:r>
    </w:p>
    <w:p>
      <w:pPr>
        <w:pStyle w:val="Heading1"/>
        <w:spacing w:after="120" w:before="300"/>
      </w:pPr>
      <w:r>
        <w:t xml:space="preserve">4. What Can Be Answered Without a Canonical Target</w:t>
      </w:r>
    </w:p>
    <w:p>
      <w:pPr>
        <w:spacing w:after="140"/>
      </w:pPr>
      <w:r>
        <w:t xml:space="preserve">The following is internal-consistency evidence only. It answers “does the migration chain agree with itself”, not “does it match the canonical schema” — there is no canonical schema in scope to check against.</w:t>
      </w:r>
    </w:p>
    <w:p>
      <w:pPr>
        <w:pStyle w:val="Heading2"/>
        <w:spacing w:after="100" w:before="240"/>
      </w:pPr>
      <w:r>
        <w:t xml:space="preserve">4.1 Confirmed multi-definition tables</w:t>
      </w:r>
    </w:p>
    <w:p>
      <w:pPr>
        <w:spacing w:after="140"/>
      </w:pPr>
      <w:r>
        <w:t xml:space="preserve">Cross-referencing the Dependency Analysis work package's tables_inventory.csv (270 tracked table names) against itself: 7 real tables are created by more than one migration file (2 inventory rows — "IF" and "public" — are grep/regex parsing artifacts from that inventory, not real tables, and are excluded).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2F3B52" w:val="clear"/>
          </w:tcPr>
          <w:p>
            <w:r>
              <w:rPr>
                <w:b/>
                <w:bCs/>
                <w:color w:val="FFFFFF"/>
              </w:rPr>
              <w:t xml:space="preserve">Table</w:t>
            </w:r>
          </w:p>
        </w:tc>
        <w:tc>
          <w:tcPr>
            <w:tcW w:type="dxa" w:w="6400"/>
            <w:shd w:fill="2F3B52" w:val="clear"/>
          </w:tcPr>
          <w:p>
            <w:r>
              <w:rPr>
                <w:b/>
                <w:bCs/>
                <w:color w:val="FFFFFF"/>
              </w:rPr>
              <w:t xml:space="preserve">Defined in</w:t>
            </w:r>
          </w:p>
        </w:tc>
      </w:tr>
      <w:tr>
        <w:tc>
          <w:tcPr>
            <w:tcW w:type="dxa" w:w="3200"/>
          </w:tcPr>
          <w:p>
            <w:r>
              <w:rPr>
                <w:b w:val="false"/>
                <w:bCs w:val="false"/>
              </w:rPr>
              <w:t xml:space="preserve">public.chi_scores</w:t>
            </w:r>
          </w:p>
        </w:tc>
        <w:tc>
          <w:tcPr>
            <w:tcW w:type="dxa" w:w="6400"/>
          </w:tcPr>
          <w:p>
            <w:r>
              <w:rPr>
                <w:b w:val="false"/>
                <w:bCs w:val="false"/>
              </w:rPr>
              <w:t xml:space="preserve">000_initial_schema.sql; 20260410020500_chi_scores_partition_lifecycle.sql; 20260410162714_remote_schema.sql</w:t>
            </w:r>
          </w:p>
        </w:tc>
      </w:tr>
      <w:tr>
        <w:tc>
          <w:tcPr>
            <w:tcW w:type="dxa" w:w="3200"/>
          </w:tcPr>
          <w:p>
            <w:r>
              <w:rPr>
                <w:b w:val="false"/>
                <w:bCs w:val="false"/>
              </w:rPr>
              <w:t xml:space="preserve">public.consent_versions</w:t>
            </w:r>
          </w:p>
        </w:tc>
        <w:tc>
          <w:tcPr>
            <w:tcW w:type="dxa" w:w="6400"/>
          </w:tcPr>
          <w:p>
            <w:r>
              <w:rPr>
                <w:b w:val="false"/>
                <w:bCs w:val="false"/>
              </w:rPr>
              <w:t xml:space="preserve">000_initial_schema.sql; 20260601000001_governance_foundation_RECONSTRUCTED.sql</w:t>
            </w:r>
          </w:p>
        </w:tc>
      </w:tr>
      <w:tr>
        <w:tc>
          <w:tcPr>
            <w:tcW w:type="dxa" w:w="3200"/>
          </w:tcPr>
          <w:p>
            <w:r>
              <w:rPr>
                <w:b w:val="false"/>
                <w:bCs w:val="false"/>
              </w:rPr>
              <w:t xml:space="preserve">public.health_check</w:t>
            </w:r>
          </w:p>
        </w:tc>
        <w:tc>
          <w:tcPr>
            <w:tcW w:type="dxa" w:w="6400"/>
          </w:tcPr>
          <w:p>
            <w:r>
              <w:rPr>
                <w:b w:val="false"/>
                <w:bCs w:val="false"/>
              </w:rPr>
              <w:t xml:space="preserve">000_initial_schema.sql; 20260421000001_audit_fixes.sql</w:t>
            </w:r>
          </w:p>
        </w:tc>
      </w:tr>
      <w:tr>
        <w:tc>
          <w:tcPr>
            <w:tcW w:type="dxa" w:w="3200"/>
          </w:tcPr>
          <w:p>
            <w:r>
              <w:rPr>
                <w:b w:val="false"/>
                <w:bCs w:val="false"/>
              </w:rPr>
              <w:t xml:space="preserve">public.profiles</w:t>
            </w:r>
          </w:p>
        </w:tc>
        <w:tc>
          <w:tcPr>
            <w:tcW w:type="dxa" w:w="6400"/>
          </w:tcPr>
          <w:p>
            <w:r>
              <w:rPr>
                <w:b w:val="false"/>
                <w:bCs w:val="false"/>
              </w:rPr>
              <w:t xml:space="preserve">000_initial_schema.sql; supabase_bootstrap_fix.sql</w:t>
            </w:r>
          </w:p>
        </w:tc>
      </w:tr>
      <w:tr>
        <w:tc>
          <w:tcPr>
            <w:tcW w:type="dxa" w:w="3200"/>
          </w:tcPr>
          <w:p>
            <w:r>
              <w:rPr>
                <w:b w:val="false"/>
                <w:bCs w:val="false"/>
              </w:rPr>
              <w:t xml:space="preserve">public.signal_category_hierarchy</w:t>
            </w:r>
          </w:p>
        </w:tc>
        <w:tc>
          <w:tcPr>
            <w:tcW w:type="dxa" w:w="6400"/>
          </w:tcPr>
          <w:p>
            <w:r>
              <w:rPr>
                <w:b w:val="false"/>
                <w:bCs w:val="false"/>
              </w:rPr>
              <w:t xml:space="preserve">20260608000001_intelligence_foundation_layer.sql; migration_1A_02_core_tables.sql</w:t>
            </w:r>
          </w:p>
        </w:tc>
      </w:tr>
      <w:tr>
        <w:tc>
          <w:tcPr>
            <w:tcW w:type="dxa" w:w="3200"/>
          </w:tcPr>
          <w:p>
            <w:r>
              <w:rPr>
                <w:b w:val="false"/>
                <w:bCs w:val="false"/>
              </w:rPr>
              <w:t xml:space="preserve">public.signal_ontology_edges</w:t>
            </w:r>
          </w:p>
        </w:tc>
        <w:tc>
          <w:tcPr>
            <w:tcW w:type="dxa" w:w="6400"/>
          </w:tcPr>
          <w:p>
            <w:r>
              <w:rPr>
                <w:b w:val="false"/>
                <w:bCs w:val="false"/>
              </w:rPr>
              <w:t xml:space="preserve">20260608000001_intelligence_foundation_layer.sql; migration_1A_03_and_04.sql</w:t>
            </w:r>
          </w:p>
        </w:tc>
      </w:tr>
      <w:tr>
        <w:tc>
          <w:tcPr>
            <w:tcW w:type="dxa" w:w="3200"/>
          </w:tcPr>
          <w:p>
            <w:r>
              <w:rPr>
                <w:b w:val="false"/>
                <w:bCs w:val="false"/>
              </w:rPr>
              <w:t xml:space="preserve">public.skills</w:t>
            </w:r>
          </w:p>
        </w:tc>
        <w:tc>
          <w:tcPr>
            <w:tcW w:type="dxa" w:w="6400"/>
          </w:tcPr>
          <w:p>
            <w:r>
              <w:rPr>
                <w:b w:val="false"/>
                <w:bCs w:val="false"/>
              </w:rPr>
              <w:t xml:space="preserve">000_initial_schema.sql; 202604130003_roles_skills.sql</w:t>
            </w:r>
          </w:p>
        </w:tc>
      </w:tr>
    </w:tbl>
    <w:p>
      <w:pPr>
        <w:spacing w:after="140"/>
      </w:pPr>
      <w:r>
        <w:t xml:space="preserve">Each pair is a candidate case of definition drift within the chain itself. Without a canonical target, this report cannot say which (if either) definition is “correct” — only that two definitions exist and the second-executing one wins (or errors, per the Migration Audit's Section 6 finding on execution order).</w:t>
      </w:r>
    </w:p>
    <w:p>
      <w:pPr>
        <w:pStyle w:val="Heading2"/>
        <w:spacing w:after="100" w:before="240"/>
      </w:pPr>
      <w:r>
        <w:t xml:space="preserve">4.2 Data-quality caveat on the source inventories</w:t>
      </w:r>
    </w:p>
    <w:p>
      <w:pPr>
        <w:spacing w:after="140"/>
      </w:pPr>
      <w:r>
        <w:t xml:space="preserve">The tables_inventory.csv used above contains at least two non-table entries ("IF", "public") produced by static regex extraction rather than a real SQL parse. This does not invalidate the 7 genuine duplicates above, but it means the underlying inventory has not been verified against an actual parsed AST, and any further quantitative claim built on it (e.g. exact column-level counts) would carry the same unverified-extraction caveat.</w:t>
      </w:r>
    </w:p>
    <w:p>
      <w:pPr>
        <w:pStyle w:val="Heading1"/>
        <w:spacing w:after="120" w:before="300"/>
      </w:pPr>
      <w:r>
        <w:t xml:space="preserve">5. Object Classes Requested but Not Assessable</w:t>
      </w:r>
    </w:p>
    <w:p>
      <w:pPr>
        <w:spacing w:after="140"/>
      </w:pPr>
      <w:r>
        <w:t xml:space="preserve">The work package requests comparison across 20+ object classes (columns, constraints, indexes, functions, triggers, policies, views, materialized views, extensions, permissions, ownership, comments, etc.), each requiring a canonical definition to compare against. With no canonical artifact in scope (Section 3), none of these can be scored as “Match / Drift / Missing in Canonical / Missing in Migration” — every such classification would require inventing the canonical side, which this report does not do.</w:t>
      </w:r>
    </w:p>
    <w:p>
      <w:pPr>
        <w:spacing w:after="140"/>
      </w:pPr>
      <w:r>
        <w:t xml:space="preserve">Status for all requested object classes: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2F3B52" w:val="clear"/>
          </w:tcPr>
          <w:p>
            <w:r>
              <w:rPr>
                <w:b/>
                <w:bCs/>
                <w:color w:val="FFFFFF"/>
              </w:rPr>
              <w:t xml:space="preserve">Object Class</w:t>
            </w:r>
          </w:p>
        </w:tc>
        <w:tc>
          <w:tcPr>
            <w:tcW w:type="dxa" w:w="4800"/>
            <w:shd w:fill="2F3B52" w:val="clear"/>
          </w:tcPr>
          <w:p>
            <w:r>
              <w:rPr>
                <w:b/>
                <w:bCs/>
                <w:color w:val="FFFFFF"/>
              </w:rPr>
              <w:t xml:space="preserve">Status</w:t>
            </w:r>
          </w:p>
        </w:tc>
      </w:tr>
      <w:tr>
        <w:tc>
          <w:tcPr>
            <w:tcW w:type="dxa" w:w="4800"/>
          </w:tcPr>
          <w:p>
            <w:r>
              <w:rPr>
                <w:b w:val="false"/>
                <w:bCs w:val="false"/>
              </w:rPr>
              <w:t xml:space="preserve">Schemas / Extensions / Enums</w:t>
            </w:r>
          </w:p>
        </w:tc>
        <w:tc>
          <w:tcPr>
            <w:tcW w:type="dxa" w:w="4800"/>
          </w:tcPr>
          <w:p>
            <w:r>
              <w:rPr>
                <w:b w:val="false"/>
                <w:bCs w:val="false"/>
              </w:rPr>
              <w:t xml:space="preserve">Not assessable — no canonical target</w:t>
            </w:r>
          </w:p>
        </w:tc>
      </w:tr>
      <w:tr>
        <w:tc>
          <w:tcPr>
            <w:tcW w:type="dxa" w:w="4800"/>
          </w:tcPr>
          <w:p>
            <w:r>
              <w:rPr>
                <w:b w:val="false"/>
                <w:bCs w:val="false"/>
              </w:rPr>
              <w:t xml:space="preserve">Tables / Columns / Types / Nullability / Defaults</w:t>
            </w:r>
          </w:p>
        </w:tc>
        <w:tc>
          <w:tcPr>
            <w:tcW w:type="dxa" w:w="4800"/>
          </w:tcPr>
          <w:p>
            <w:r>
              <w:rPr>
                <w:b w:val="false"/>
                <w:bCs w:val="false"/>
              </w:rPr>
              <w:t xml:space="preserve">Not assessable — no canonical target (internal duplication noted in §4.1)</w:t>
            </w:r>
          </w:p>
        </w:tc>
      </w:tr>
      <w:tr>
        <w:tc>
          <w:tcPr>
            <w:tcW w:type="dxa" w:w="4800"/>
          </w:tcPr>
          <w:p>
            <w:r>
              <w:rPr>
                <w:b w:val="false"/>
                <w:bCs w:val="false"/>
              </w:rPr>
              <w:t xml:space="preserve">Primary/Foreign/Unique/Check Constraints</w:t>
            </w:r>
          </w:p>
        </w:tc>
        <w:tc>
          <w:tcPr>
            <w:tcW w:type="dxa" w:w="4800"/>
          </w:tcPr>
          <w:p>
            <w:r>
              <w:rPr>
                <w:b w:val="false"/>
                <w:bCs w:val="false"/>
              </w:rPr>
              <w:t xml:space="preserve">Not assessable — no canonical target</w:t>
            </w:r>
          </w:p>
        </w:tc>
      </w:tr>
      <w:tr>
        <w:tc>
          <w:tcPr>
            <w:tcW w:type="dxa" w:w="4800"/>
          </w:tcPr>
          <w:p>
            <w:r>
              <w:rPr>
                <w:b w:val="false"/>
                <w:bCs w:val="false"/>
              </w:rPr>
              <w:t xml:space="preserve">Indexes (incl. expression/partial/covering)</w:t>
            </w:r>
          </w:p>
        </w:tc>
        <w:tc>
          <w:tcPr>
            <w:tcW w:type="dxa" w:w="4800"/>
          </w:tcPr>
          <w:p>
            <w:r>
              <w:rPr>
                <w:b w:val="false"/>
                <w:bCs w:val="false"/>
              </w:rPr>
              <w:t xml:space="preserve">Not assessable — no canonical target</w:t>
            </w:r>
          </w:p>
        </w:tc>
      </w:tr>
      <w:tr>
        <w:tc>
          <w:tcPr>
            <w:tcW w:type="dxa" w:w="4800"/>
          </w:tcPr>
          <w:p>
            <w:r>
              <w:rPr>
                <w:b w:val="false"/>
                <w:bCs w:val="false"/>
              </w:rPr>
              <w:t xml:space="preserve">Functions / Procedures (signatures, volatility, security mode)</w:t>
            </w:r>
          </w:p>
        </w:tc>
        <w:tc>
          <w:tcPr>
            <w:tcW w:type="dxa" w:w="4800"/>
          </w:tcPr>
          <w:p>
            <w:r>
              <w:rPr>
                <w:b w:val="false"/>
                <w:bCs w:val="false"/>
              </w:rPr>
              <w:t xml:space="preserve">Not assessable — no canonical target</w:t>
            </w:r>
          </w:p>
        </w:tc>
      </w:tr>
      <w:tr>
        <w:tc>
          <w:tcPr>
            <w:tcW w:type="dxa" w:w="4800"/>
          </w:tcPr>
          <w:p>
            <w:r>
              <w:rPr>
                <w:b w:val="false"/>
                <w:bCs w:val="false"/>
              </w:rPr>
              <w:t xml:space="preserve">Triggers</w:t>
            </w:r>
          </w:p>
        </w:tc>
        <w:tc>
          <w:tcPr>
            <w:tcW w:type="dxa" w:w="4800"/>
          </w:tcPr>
          <w:p>
            <w:r>
              <w:rPr>
                <w:b w:val="false"/>
                <w:bCs w:val="false"/>
              </w:rPr>
              <w:t xml:space="preserve">Not assessable — no canonical target</w:t>
            </w:r>
          </w:p>
        </w:tc>
      </w:tr>
      <w:tr>
        <w:tc>
          <w:tcPr>
            <w:tcW w:type="dxa" w:w="4800"/>
          </w:tcPr>
          <w:p>
            <w:r>
              <w:rPr>
                <w:b w:val="false"/>
                <w:bCs w:val="false"/>
              </w:rPr>
              <w:t xml:space="preserve">Policies (RLS)</w:t>
            </w:r>
          </w:p>
        </w:tc>
        <w:tc>
          <w:tcPr>
            <w:tcW w:type="dxa" w:w="4800"/>
          </w:tcPr>
          <w:p>
            <w:r>
              <w:rPr>
                <w:b w:val="false"/>
                <w:bCs w:val="false"/>
              </w:rPr>
              <w:t xml:space="preserve">Not assessable — no canonical target</w:t>
            </w:r>
          </w:p>
        </w:tc>
      </w:tr>
      <w:tr>
        <w:tc>
          <w:tcPr>
            <w:tcW w:type="dxa" w:w="4800"/>
          </w:tcPr>
          <w:p>
            <w:r>
              <w:rPr>
                <w:b w:val="false"/>
                <w:bCs w:val="false"/>
              </w:rPr>
              <w:t xml:space="preserve">Views / Materialized Views</w:t>
            </w:r>
          </w:p>
        </w:tc>
        <w:tc>
          <w:tcPr>
            <w:tcW w:type="dxa" w:w="4800"/>
          </w:tcPr>
          <w:p>
            <w:r>
              <w:rPr>
                <w:b w:val="false"/>
                <w:bCs w:val="false"/>
              </w:rPr>
              <w:t xml:space="preserve">Not assessable — no canonical target</w:t>
            </w:r>
          </w:p>
        </w:tc>
      </w:tr>
      <w:tr>
        <w:tc>
          <w:tcPr>
            <w:tcW w:type="dxa" w:w="4800"/>
          </w:tcPr>
          <w:p>
            <w:r>
              <w:rPr>
                <w:b w:val="false"/>
                <w:bCs w:val="false"/>
              </w:rPr>
              <w:t xml:space="preserve">Permissions / Ownership / Comments</w:t>
            </w:r>
          </w:p>
        </w:tc>
        <w:tc>
          <w:tcPr>
            <w:tcW w:type="dxa" w:w="4800"/>
          </w:tcPr>
          <w:p>
            <w:r>
              <w:rPr>
                <w:b w:val="false"/>
                <w:bCs w:val="false"/>
              </w:rPr>
              <w:t xml:space="preserve">Not assessable — no canonical target</w:t>
            </w:r>
          </w:p>
        </w:tc>
      </w:tr>
      <w:tr>
        <w:tc>
          <w:tcPr>
            <w:tcW w:type="dxa" w:w="4800"/>
          </w:tcPr>
          <w:p>
            <w:r>
              <w:rPr>
                <w:b w:val="false"/>
                <w:bCs w:val="false"/>
              </w:rPr>
              <w:t xml:space="preserve">Realtime publications / Storage objects</w:t>
            </w:r>
          </w:p>
        </w:tc>
        <w:tc>
          <w:tcPr>
            <w:tcW w:type="dxa" w:w="4800"/>
          </w:tcPr>
          <w:p>
            <w:r>
              <w:rPr>
                <w:b w:val="false"/>
                <w:bCs w:val="false"/>
              </w:rPr>
              <w:t xml:space="preserve">Not assessable — no canonical target</w:t>
            </w:r>
          </w:p>
        </w:tc>
      </w:tr>
    </w:tbl>
    <w:p>
      <w:pPr>
        <w:pStyle w:val="Heading1"/>
        <w:spacing w:after="120" w:before="300"/>
      </w:pPr>
      <w:r>
        <w:t xml:space="preserve">6. Reconciliation Candidate Classification</w:t>
      </w:r>
    </w:p>
    <w:p>
      <w:pPr>
        <w:spacing w:after="140"/>
      </w:pPr>
      <w:r>
        <w:t xml:space="preserve">Per the work package's own categories, every object in the migration chain currently falls into a single bucket, for a single reason:</w:t>
      </w:r>
    </w:p>
    <w:p>
      <w:pPr>
        <w:spacing w:after="140"/>
      </w:pPr>
      <w:r>
        <w:rPr>
          <w:b/>
          <w:bCs/>
        </w:rPr>
        <w:t xml:space="preserve">Future Reconciliation Candidate — blocked on artifact acquisition.</w:t>
      </w:r>
    </w:p>
    <w:p>
      <w:pPr>
        <w:spacing w:after="140"/>
      </w:pPr>
      <w:r>
        <w:t xml:space="preserve">This applies uniformly because the blocking condition (no canonical artifact) is upstream of any object-level judgment. No object can be individually routed to “No Action”, “Definition Review”, etc. until a real comparison is possible. The one exception is the internal duplication set in Section 4.1, which can be pre-flagged as Definition Review candidates once a canonical target exists, since those are the pairs most likely to contain the actual drift.</w:t>
      </w:r>
    </w:p>
    <w:p>
      <w:pPr>
        <w:pStyle w:val="Heading1"/>
        <w:spacing w:after="120" w:before="300"/>
      </w:pPr>
      <w:r>
        <w:t xml:space="preserve">7. Evidence Assessment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c>
          <w:tcPr>
            <w:tcW w:type="dxa" w:w="4200"/>
            <w:shd w:fill="2F3B52" w:val="clear"/>
          </w:tcPr>
          <w:p>
            <w:r>
              <w:rPr>
                <w:b/>
                <w:bCs/>
                <w:color w:val="FFFFFF"/>
              </w:rPr>
              <w:t xml:space="preserve">Finding</w:t>
            </w:r>
          </w:p>
        </w:tc>
        <w:tc>
          <w:tcPr>
            <w:tcW w:type="dxa" w:w="5400"/>
            <w:shd w:fill="2F3B52" w:val="clear"/>
          </w:tcPr>
          <w:p>
            <w:r>
              <w:rPr>
                <w:b/>
                <w:bCs/>
                <w:color w:val="FFFFFF"/>
              </w:rPr>
              <w:t xml:space="preserve">Evidence Class</w:t>
            </w:r>
          </w:p>
        </w:tc>
      </w:tr>
      <w:tr>
        <w:tc>
          <w:tcPr>
            <w:tcW w:type="dxa" w:w="4200"/>
          </w:tcPr>
          <w:p>
            <w:r>
              <w:rPr>
                <w:b w:val="false"/>
                <w:bCs w:val="false"/>
              </w:rPr>
              <w:t xml:space="preserve">No canonical schema artifact exists in this repository</w:t>
            </w:r>
          </w:p>
        </w:tc>
        <w:tc>
          <w:tcPr>
            <w:tcW w:type="dxa" w:w="5400"/>
          </w:tcPr>
          <w:p>
            <w:r>
              <w:rPr>
                <w:b w:val="false"/>
                <w:bCs w:val="false"/>
              </w:rPr>
              <w:t xml:space="preserve">Confirmed by direct repository search (this report) and by migration analysis (three prior reports, independently)</w:t>
            </w:r>
          </w:p>
        </w:tc>
      </w:tr>
      <w:tr>
        <w:tc>
          <w:tcPr>
            <w:tcW w:type="dxa" w:w="4200"/>
          </w:tcPr>
          <w:p>
            <w:r>
              <w:rPr>
                <w:b w:val="false"/>
                <w:bCs w:val="false"/>
              </w:rPr>
              <w:t xml:space="preserve">Canonical Entity Model (WP-EXEC-01) is a distinct, non-overlapping subsystem</w:t>
            </w:r>
          </w:p>
        </w:tc>
        <w:tc>
          <w:tcPr>
            <w:tcW w:type="dxa" w:w="5400"/>
          </w:tcPr>
          <w:p>
            <w:r>
              <w:rPr>
                <w:b w:val="false"/>
                <w:bCs w:val="false"/>
              </w:rPr>
              <w:t xml:space="preserve">Confirmed by direct file inspection (migration header, table names, file location)</w:t>
            </w:r>
          </w:p>
        </w:tc>
      </w:tr>
      <w:tr>
        <w:tc>
          <w:tcPr>
            <w:tcW w:type="dxa" w:w="4200"/>
          </w:tcPr>
          <w:p>
            <w:r>
              <w:rPr>
                <w:b w:val="false"/>
                <w:bCs w:val="false"/>
              </w:rPr>
              <w:t xml:space="preserve">7 tables have multiple definitions within the migration chain</w:t>
            </w:r>
          </w:p>
        </w:tc>
        <w:tc>
          <w:tcPr>
            <w:tcW w:type="dxa" w:w="5400"/>
          </w:tcPr>
          <w:p>
            <w:r>
              <w:rPr>
                <w:b w:val="false"/>
                <w:bCs w:val="false"/>
              </w:rPr>
              <w:t xml:space="preserve">Confirmed by migration analysis (static inventory) — column-level differences between the two definitions not yet verified</w:t>
            </w:r>
          </w:p>
        </w:tc>
      </w:tr>
      <w:tr>
        <w:tc>
          <w:tcPr>
            <w:tcW w:type="dxa" w:w="4200"/>
          </w:tcPr>
          <w:p>
            <w:r>
              <w:rPr>
                <w:b w:val="false"/>
                <w:bCs w:val="false"/>
              </w:rPr>
              <w:t xml:space="preserve">core/backups/*_wp_db_005_schema.sql may be a usable canonical snapshot</w:t>
            </w:r>
          </w:p>
        </w:tc>
        <w:tc>
          <w:tcPr>
            <w:tcW w:type="dxa" w:w="5400"/>
          </w:tcPr>
          <w:p>
            <w:r>
              <w:rPr>
                <w:b w:val="false"/>
                <w:bCs w:val="false"/>
              </w:rPr>
              <w:t xml:space="preserve">Predicted from repository analysis — requires provenance verification, not yet performed (out of scope per this work package's instruction)</w:t>
            </w:r>
          </w:p>
        </w:tc>
      </w:tr>
    </w:tbl>
    <w:p>
      <w:pPr>
        <w:pStyle w:val="Heading1"/>
        <w:spacing w:after="120" w:before="300"/>
      </w:pPr>
      <w:r>
        <w:t xml:space="preserve">8. Canonical Alignment Assessment</w:t>
      </w:r>
    </w:p>
    <w:p>
      <w:pPr>
        <w:spacing w:after="140"/>
      </w:pPr>
      <w:r>
        <w:rPr>
          <w:b/>
          <w:bCs/>
        </w:rPr>
        <w:t xml:space="preserve">Determination: cannot be made.</w:t>
      </w:r>
    </w:p>
    <w:p>
      <w:pPr>
        <w:spacing w:after="140"/>
      </w:pPr>
      <w:r>
        <w:t xml:space="preserve">None of the five possible outcomes the work package asks this report to choose between — complete match, partial match, historically divergent, incomplete, or superseded schema — can be selected, because all five presuppose a canonical schema to measure against. Selecting any of them here would mean quietly substituting an internal reconstruction for the canonical schema, which is precisely what the Drift Analysis report already did once and flagged as a scope-limited reconstruction rather than a real answer. This report does not repeat that substitution as a fresh conclusion.</w:t>
      </w:r>
    </w:p>
    <w:p>
      <w:pPr>
        <w:pStyle w:val="Heading1"/>
        <w:spacing w:after="120" w:before="300"/>
      </w:pPr>
      <w:r>
        <w:t xml:space="preserve">9. Enterprise Conclusions</w:t>
      </w:r>
    </w:p>
    <w:p>
      <w:pPr>
        <w:pStyle w:val="ListParagraph"/>
        <w:numPr>
          <w:ilvl w:val="0"/>
          <w:numId w:val="1"/>
        </w:numPr>
        <w:spacing w:after="80"/>
      </w:pPr>
      <w:r>
        <w:t xml:space="preserve">The migration chain cannot currently be compared to a canonical schema because no canonical schema artifact exists in this repository, for the audited subsystem, in any form (pg_dump, declarative schema, ERD).</w:t>
      </w:r>
    </w:p>
    <w:p>
      <w:pPr>
        <w:pStyle w:val="ListParagraph"/>
        <w:numPr>
          <w:ilvl w:val="0"/>
          <w:numId w:val="1"/>
        </w:numPr>
        <w:spacing w:after="80"/>
      </w:pPr>
      <w:r>
        <w:t xml:space="preserve">This is a repeat finding across four consecutive WP-DB-01 stages (Audit, Drift, Ordering, and now Canonical Comparison), not a new gap introduced by this report.</w:t>
      </w:r>
    </w:p>
    <w:p>
      <w:pPr>
        <w:pStyle w:val="ListParagraph"/>
        <w:numPr>
          <w:ilvl w:val="0"/>
          <w:numId w:val="1"/>
        </w:numPr>
        <w:spacing w:after="80"/>
      </w:pPr>
      <w:r>
        <w:t xml:space="preserve">A real “canonical entity model” does exist in the repository, but for a different data domain; it cannot substitute for the target schema without conflating two unrelated systems.</w:t>
      </w:r>
    </w:p>
    <w:p>
      <w:pPr>
        <w:pStyle w:val="ListParagraph"/>
        <w:numPr>
          <w:ilvl w:val="0"/>
          <w:numId w:val="1"/>
        </w:numPr>
        <w:spacing w:after="80"/>
      </w:pPr>
      <w:r>
        <w:t xml:space="preserve">The migration chain does contain 7 internally-duplicated table definitions, independent of any canonical question — these are the most concrete, evidence-backed candidates for the next stage to examine first once a real canonical artifact is obtained.</w:t>
      </w:r>
    </w:p>
    <w:p>
      <w:pPr>
        <w:pStyle w:val="ListParagraph"/>
        <w:numPr>
          <w:ilvl w:val="0"/>
          <w:numId w:val="1"/>
        </w:numPr>
        <w:spacing w:after="80"/>
      </w:pPr>
      <w:r>
        <w:t xml:space="preserve">core/backups/pre_wp_db_005_schema.sql and post_wp_db_005_schema.sql are flagged, unverified, as the nearest thing to a schema snapshot in the repository — their provenance and currency were not evaluated here, consistent with this work package's instruction not to expand scope.</w:t>
      </w:r>
    </w:p>
    <w:p>
      <w:pPr>
        <w:spacing w:after="140"/>
      </w:pPr>
      <w:r>
        <w:rPr>
          <w:b/>
          <w:bCs/>
        </w:rPr>
        <w:t xml:space="preserve">Recommendation carried forward unchanged from the Migration Audit report: </w:t>
      </w:r>
      <w:r>
        <w:rPr>
          <w:i/>
          <w:iCs/>
        </w:rPr>
        <w:t xml:space="preserve">obtain a pg_dump --schema-only (or equivalent declarative schema export) of the actual canonical database. Without it, no future WP-DB-01 stage can produce a genuine canonical comparison — each will only be able to restate this same blocking finding.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2026-07-07T02:05:41.955Z</dcterms:created>
  <dcterms:modified xsi:type="dcterms:W3CDTF">2026-07-07T02:05:41.955Z</dcterms:modified>
</cp:coreProperties>
</file>

<file path=docProps/custom.xml><?xml version="1.0" encoding="utf-8"?>
<Properties xmlns="http://schemas.openxmlformats.org/officeDocument/2006/custom-properties" xmlns:vt="http://schemas.openxmlformats.org/officeDocument/2006/docPropsVTypes"/>
</file>