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WP-DB-01 — Enterprise Reconciliation Planning</w:t>
      </w:r>
    </w:p>
    <w:p>
      <w:pPr>
        <w:spacing w:after="140"/>
      </w:pPr>
      <w:r>
        <w:rPr>
          <w:i/>
          <w:iCs/>
        </w:rPr>
        <w:t xml:space="preserve">HireRise Platform · Supabase Migration Chain — Implementation Roadmap</w:t>
      </w:r>
    </w:p>
    <w:p>
      <w:pPr>
        <w:spacing w:after="140"/>
      </w:pPr>
      <w:r>
        <w:rPr>
          <w:i/>
          <w:iCs/>
        </w:rPr>
        <w:t xml:space="preserve">Status: Planning only. No migrations modified, renamed, or reordered. No SQL generated. No reconciliation performed.</w:t>
      </w:r>
    </w:p>
    <w:p>
      <w:pPr>
        <w:spacing w:after="140"/>
      </w:pPr>
      <w:r>
        <w:rPr>
          <w:i/>
          <w:iCs/>
        </w:rPr>
        <w:t xml:space="preserve">Inputs treated as authoritative and not re-audited: Migration Audit, Drift Analysis, Dependency Analysis, Migration Ordering Review, Canonical Schema Comparison.</w:t>
      </w:r>
    </w:p>
    <w:p>
      <w:pPr>
        <w:pStyle w:val="Heading1"/>
        <w:spacing w:after="120" w:before="300"/>
      </w:pPr>
      <w:r>
        <w:t xml:space="preserve">1. Executive Summary</w:t>
      </w:r>
    </w:p>
    <w:p>
      <w:pPr>
        <w:spacing w:after="140"/>
      </w:pPr>
      <w:r>
        <w:t xml:space="preserve">This report converts five prior analytical findings into a sequenced implementation roadmap. It does not reconcile anything; it decides in what order reconciliation should happen, what evidence gates each step, and what stays out of scope.</w:t>
      </w:r>
    </w:p>
    <w:p>
      <w:pPr>
        <w:spacing w:after="140"/>
      </w:pPr>
      <w:r>
        <w:t xml:space="preserve">Two facts from the prior reports govern the entire plan and are treated here as fixed, not re-derived:</w:t>
      </w:r>
    </w:p>
    <w:p>
      <w:pPr>
        <w:pStyle w:val="ListParagraph"/>
        <w:numPr>
          <w:ilvl w:val="0"/>
          <w:numId w:val="1"/>
        </w:numPr>
        <w:spacing w:after="70"/>
      </w:pPr>
      <w:r/>
    </w:p>
    <w:p>
      <w:pPr>
        <w:pStyle w:val="ListParagraph"/>
        <w:numPr>
          <w:ilvl w:val="0"/>
          <w:numId w:val="1"/>
        </w:numPr>
        <w:spacing w:after="70"/>
      </w:pPr>
      <w:r/>
    </w:p>
    <w:p>
      <w:pPr>
        <w:spacing w:after="140"/>
      </w:pPr>
      <w:r>
        <w:t xml:space="preserve">Because one root cause explains the highest-severity finding, this plan is built around fixing that root cause first (Group A/B), then addressing the object-level consequences that ordering exposed (Groups C–F), then the artifacts that sit outside the ordering question entirely (Groups G–H). The canonical-schema gap identified in the previous work package is carried forward unresolved: it does not block ordering reconciliation, but it does block final closure, and this plan says so explicitly rather than assuming it will resolve itself.</w:t>
      </w:r>
    </w:p>
    <w:p>
      <w:pPr>
        <w:pStyle w:val="Heading1"/>
        <w:spacing w:after="120" w:before="300"/>
      </w:pPr>
      <w:r>
        <w:t xml:space="preserve">2. Consolidated Findings</w:t>
      </w:r>
    </w:p>
    <w:p>
      <w:pPr>
        <w:spacing w:after="140"/>
      </w:pPr>
      <w:r>
        <w:t xml:space="preserve">Findings from all five prior reports, consolidated without re-analysis: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2700"/>
        <w:gridCol w:w="1800"/>
      </w:tblGrid>
      <w:tr>
        <w:tc>
          <w:tcPr>
            <w:tcW w:type="dxa" w:w="500"/>
            <w:shd w:fill="2F3B52" w:val="clear"/>
          </w:tcPr>
          <w:p>
            <w:r>
              <w:rPr>
                <w:b/>
                <w:bCs/>
                <w:color w:val="FFFFFF"/>
              </w:rPr>
              <w:t xml:space="preserve">#</w:t>
            </w:r>
          </w:p>
        </w:tc>
        <w:tc>
          <w:tcPr>
            <w:tcW w:type="dxa" w:w="4600"/>
            <w:shd w:fill="2F3B52" w:val="clear"/>
          </w:tcPr>
          <w:p>
            <w:r>
              <w:rPr>
                <w:b/>
                <w:bCs/>
                <w:color w:val="FFFFFF"/>
              </w:rPr>
              <w:t xml:space="preserve">Finding</w:t>
            </w:r>
          </w:p>
        </w:tc>
        <w:tc>
          <w:tcPr>
            <w:tcW w:type="dxa" w:w="2700"/>
            <w:shd w:fill="2F3B52" w:val="clear"/>
          </w:tcPr>
          <w:p>
            <w:r>
              <w:rPr>
                <w:b/>
                <w:bCs/>
                <w:color w:val="FFFFFF"/>
              </w:rPr>
              <w:t xml:space="preserve">Source</w:t>
            </w:r>
          </w:p>
        </w:tc>
        <w:tc>
          <w:tcPr>
            <w:tcW w:type="dxa" w:w="1800"/>
            <w:shd w:fill="2F3B52" w:val="clear"/>
          </w:tcPr>
          <w:p>
            <w:r>
              <w:rPr>
                <w:b/>
                <w:bCs/>
                <w:color w:val="FFFFFF"/>
              </w:rPr>
              <w:t xml:space="preserve">Severity</w:t>
            </w:r>
          </w:p>
        </w:tc>
      </w:tr>
      <w:tr>
        <w:tc>
          <w:tcPr>
            <w:tcW w:type="dxa" w:w="500"/>
          </w:tcPr>
          <w:p>
            <w:r>
              <w:rPr>
                <w:b w:val="false"/>
                <w:bCs w:val="false"/>
              </w:rPr>
              <w:t xml:space="preserve">F1</w:t>
            </w:r>
          </w:p>
        </w:tc>
        <w:tc>
          <w:tcPr>
            <w:tcW w:type="dxa" w:w="4600"/>
          </w:tcPr>
          <w:p>
            <w:r>
              <w:rPr>
                <w:b w:val="false"/>
                <w:bCs w:val="false"/>
              </w:rPr>
              <w:t xml:space="preserve">supabase db reset halts at position 59/70 — confirmed exception, not predicted</w:t>
            </w:r>
          </w:p>
        </w:tc>
        <w:tc>
          <w:tcPr>
            <w:tcW w:type="dxa" w:w="2700"/>
          </w:tcPr>
          <w:p>
            <w:r>
              <w:rPr>
                <w:b w:val="false"/>
                <w:bCs w:val="false"/>
              </w:rPr>
              <w:t xml:space="preserve">Ordering Review §9, §19</w:t>
            </w:r>
          </w:p>
        </w:tc>
        <w:tc>
          <w:tcPr>
            <w:tcW w:type="dxa" w:w="1800"/>
          </w:tcPr>
          <w:p>
            <w:r>
              <w:rPr>
                <w:b w:val="false"/>
                <w:bCs w:val="false"/>
              </w:rPr>
              <w:t xml:space="preserve">Critical</w:t>
            </w:r>
          </w:p>
        </w:tc>
      </w:tr>
      <w:tr>
        <w:tc>
          <w:tcPr>
            <w:tcW w:type="dxa" w:w="500"/>
          </w:tcPr>
          <w:p>
            <w:r>
              <w:rPr>
                <w:b w:val="false"/>
                <w:bCs w:val="false"/>
              </w:rPr>
              <w:t xml:space="preserve">F2</w:t>
            </w:r>
          </w:p>
        </w:tc>
        <w:tc>
          <w:tcPr>
            <w:tcW w:type="dxa" w:w="4600"/>
          </w:tcPr>
          <w:p>
            <w:r>
              <w:rPr>
                <w:b w:val="false"/>
                <w:bCs w:val="false"/>
              </w:rPr>
              <w:t xml:space="preserve">9 non-timestamped files sort after all 61 timestamped files (root mechanical cause of F1)</w:t>
            </w:r>
          </w:p>
        </w:tc>
        <w:tc>
          <w:tcPr>
            <w:tcW w:type="dxa" w:w="2700"/>
          </w:tcPr>
          <w:p>
            <w:r>
              <w:rPr>
                <w:b w:val="false"/>
                <w:bCs w:val="false"/>
              </w:rPr>
              <w:t xml:space="preserve">Dependency Analysis §1; Ordering Review §12</w:t>
            </w:r>
          </w:p>
        </w:tc>
        <w:tc>
          <w:tcPr>
            <w:tcW w:type="dxa" w:w="1800"/>
          </w:tcPr>
          <w:p>
            <w:r>
              <w:rPr>
                <w:b w:val="false"/>
                <w:bCs w:val="false"/>
              </w:rPr>
              <w:t xml:space="preserve">Critical</w:t>
            </w:r>
          </w:p>
        </w:tc>
      </w:tr>
      <w:tr>
        <w:tc>
          <w:tcPr>
            <w:tcW w:type="dxa" w:w="500"/>
          </w:tcPr>
          <w:p>
            <w:r>
              <w:rPr>
                <w:b w:val="false"/>
                <w:bCs w:val="false"/>
              </w:rPr>
              <w:t xml:space="preserve">F3</w:t>
            </w:r>
          </w:p>
        </w:tc>
        <w:tc>
          <w:tcPr>
            <w:tcW w:type="dxa" w:w="4600"/>
          </w:tcPr>
          <w:p>
            <w:r>
              <w:rPr>
                <w:b w:val="false"/>
                <w:bCs w:val="false"/>
              </w:rPr>
              <w:t xml:space="preserve">signal_category_hierarchy / signal_ontology_edges each defined twice with incompatible columns; IF NOT EXISTS silently picks whichever executes first</w:t>
            </w:r>
          </w:p>
        </w:tc>
        <w:tc>
          <w:tcPr>
            <w:tcW w:type="dxa" w:w="2700"/>
          </w:tcPr>
          <w:p>
            <w:r>
              <w:rPr>
                <w:b w:val="false"/>
                <w:bCs w:val="false"/>
              </w:rPr>
              <w:t xml:space="preserve">Dependency Analysis §20; Ordering Review §9</w:t>
            </w:r>
          </w:p>
        </w:tc>
        <w:tc>
          <w:tcPr>
            <w:tcW w:type="dxa" w:w="1800"/>
          </w:tcPr>
          <w:p>
            <w:r>
              <w:rPr>
                <w:b w:val="false"/>
                <w:bCs w:val="false"/>
              </w:rPr>
              <w:t xml:space="preserve">Critical</w:t>
            </w:r>
          </w:p>
        </w:tc>
      </w:tr>
      <w:tr>
        <w:tc>
          <w:tcPr>
            <w:tcW w:type="dxa" w:w="500"/>
          </w:tcPr>
          <w:p>
            <w:r>
              <w:rPr>
                <w:b w:val="false"/>
                <w:bCs w:val="false"/>
              </w:rPr>
              <w:t xml:space="preserve">F4</w:t>
            </w:r>
          </w:p>
        </w:tc>
        <w:tc>
          <w:tcPr>
            <w:tcW w:type="dxa" w:w="4600"/>
          </w:tcPr>
          <w:p>
            <w:r>
              <w:rPr>
                <w:b w:val="false"/>
                <w:bCs w:val="false"/>
              </w:rPr>
              <w:t xml:space="preserve">5 additional tables (chi_scores, consent_versions, health_check, profiles, skills) defined more than once, idempotent/compatible</w:t>
            </w:r>
          </w:p>
        </w:tc>
        <w:tc>
          <w:tcPr>
            <w:tcW w:type="dxa" w:w="2700"/>
          </w:tcPr>
          <w:p>
            <w:r>
              <w:rPr>
                <w:b w:val="false"/>
                <w:bCs w:val="false"/>
              </w:rPr>
              <w:t xml:space="preserve">Canonical Schema Comparison §4.1</w:t>
            </w:r>
          </w:p>
        </w:tc>
        <w:tc>
          <w:tcPr>
            <w:tcW w:type="dxa" w:w="1800"/>
          </w:tcPr>
          <w:p>
            <w:r>
              <w:rPr>
                <w:b w:val="false"/>
                <w:bCs w:val="false"/>
              </w:rPr>
              <w:t xml:space="preserve">Medium</w:t>
            </w:r>
          </w:p>
        </w:tc>
      </w:tr>
      <w:tr>
        <w:tc>
          <w:tcPr>
            <w:tcW w:type="dxa" w:w="500"/>
          </w:tcPr>
          <w:p>
            <w:r>
              <w:rPr>
                <w:b w:val="false"/>
                <w:bCs w:val="false"/>
              </w:rPr>
              <w:t xml:space="preserve">F5</w:t>
            </w:r>
          </w:p>
        </w:tc>
        <w:tc>
          <w:tcPr>
            <w:tcW w:type="dxa" w:w="4600"/>
          </w:tcPr>
          <w:p>
            <w:r>
              <w:rPr>
                <w:b w:val="false"/>
                <w:bCs w:val="false"/>
              </w:rPr>
              <w:t xml:space="preserve">3 migrations self-labelled RECONSTRUCTED — phantom-dependency pattern, header comments assumed prerequisites that did not exist until retrofitted</w:t>
            </w:r>
          </w:p>
        </w:tc>
        <w:tc>
          <w:tcPr>
            <w:tcW w:type="dxa" w:w="2700"/>
          </w:tcPr>
          <w:p>
            <w:r>
              <w:rPr>
                <w:b w:val="false"/>
                <w:bCs w:val="false"/>
              </w:rPr>
              <w:t xml:space="preserve">Dependency Analysis §20</w:t>
            </w:r>
          </w:p>
        </w:tc>
        <w:tc>
          <w:tcPr>
            <w:tcW w:type="dxa" w:w="1800"/>
          </w:tcPr>
          <w:p>
            <w:r>
              <w:rPr>
                <w:b w:val="false"/>
                <w:bCs w:val="false"/>
              </w:rPr>
              <w:t xml:space="preserve">High</w:t>
            </w:r>
          </w:p>
        </w:tc>
      </w:tr>
      <w:tr>
        <w:tc>
          <w:tcPr>
            <w:tcW w:type="dxa" w:w="500"/>
          </w:tcPr>
          <w:p>
            <w:r>
              <w:rPr>
                <w:b w:val="false"/>
                <w:bCs w:val="false"/>
              </w:rPr>
              <w:t xml:space="preserve">F6</w:t>
            </w:r>
          </w:p>
        </w:tc>
        <w:tc>
          <w:tcPr>
            <w:tcW w:type="dxa" w:w="4600"/>
          </w:tcPr>
          <w:p>
            <w:r>
              <w:rPr>
                <w:b w:val="false"/>
                <w:bCs w:val="false"/>
              </w:rPr>
              <w:t xml:space="preserve">fn_approve_lineage_transition(): CREATE OR REPLACE can silently no-op under role-ownership mismatch; runtime-only, not visible in SQL text</w:t>
            </w:r>
          </w:p>
        </w:tc>
        <w:tc>
          <w:tcPr>
            <w:tcW w:type="dxa" w:w="2700"/>
          </w:tcPr>
          <w:p>
            <w:r>
              <w:rPr>
                <w:b w:val="false"/>
                <w:bCs w:val="false"/>
              </w:rPr>
              <w:t xml:space="preserve">Dependency Analysis §13, §20</w:t>
            </w:r>
          </w:p>
        </w:tc>
        <w:tc>
          <w:tcPr>
            <w:tcW w:type="dxa" w:w="1800"/>
          </w:tcPr>
          <w:p>
            <w:r>
              <w:rPr>
                <w:b w:val="false"/>
                <w:bCs w:val="false"/>
              </w:rPr>
              <w:t xml:space="preserve">High</w:t>
            </w:r>
          </w:p>
        </w:tc>
      </w:tr>
      <w:tr>
        <w:tc>
          <w:tcPr>
            <w:tcW w:type="dxa" w:w="500"/>
          </w:tcPr>
          <w:p>
            <w:r>
              <w:rPr>
                <w:b w:val="false"/>
                <w:bCs w:val="false"/>
              </w:rPr>
              <w:t xml:space="preserve">F7</w:t>
            </w:r>
          </w:p>
        </w:tc>
        <w:tc>
          <w:tcPr>
            <w:tcW w:type="dxa" w:w="4600"/>
          </w:tcPr>
          <w:p>
            <w:r>
              <w:rPr>
                <w:b w:val="false"/>
                <w:bCs w:val="false"/>
              </w:rPr>
              <w:t xml:space="preserve">handle_new_user() and profiles RLS policy defined in two places with an ambiguous execution path (supabase_bootstrap_fix.sql vs. 20260519000001)</w:t>
            </w:r>
          </w:p>
        </w:tc>
        <w:tc>
          <w:tcPr>
            <w:tcW w:type="dxa" w:w="2700"/>
          </w:tcPr>
          <w:p>
            <w:r>
              <w:rPr>
                <w:b w:val="false"/>
                <w:bCs w:val="false"/>
              </w:rPr>
              <w:t xml:space="preserve">Dependency Analysis §20</w:t>
            </w:r>
          </w:p>
        </w:tc>
        <w:tc>
          <w:tcPr>
            <w:tcW w:type="dxa" w:w="1800"/>
          </w:tcPr>
          <w:p>
            <w:r>
              <w:rPr>
                <w:b w:val="false"/>
                <w:bCs w:val="false"/>
              </w:rPr>
              <w:t xml:space="preserve">High</w:t>
            </w:r>
          </w:p>
        </w:tc>
      </w:tr>
      <w:tr>
        <w:tc>
          <w:tcPr>
            <w:tcW w:type="dxa" w:w="500"/>
          </w:tcPr>
          <w:p>
            <w:r>
              <w:rPr>
                <w:b w:val="false"/>
                <w:bCs w:val="false"/>
              </w:rPr>
              <w:t xml:space="preserve">F8</w:t>
            </w:r>
          </w:p>
        </w:tc>
        <w:tc>
          <w:tcPr>
            <w:tcW w:type="dxa" w:w="4600"/>
          </w:tcPr>
          <w:p>
            <w:r>
              <w:rPr>
                <w:b w:val="false"/>
                <w:bCs w:val="false"/>
              </w:rPr>
              <w:t xml:space="preserve">Extensionless file "Forward Migration SQL" likely excluded from the CLI's migration loader entirely; header identifies it as a governance lineage correction</w:t>
            </w:r>
          </w:p>
        </w:tc>
        <w:tc>
          <w:tcPr>
            <w:tcW w:type="dxa" w:w="2700"/>
          </w:tcPr>
          <w:p>
            <w:r>
              <w:rPr>
                <w:b w:val="false"/>
                <w:bCs w:val="false"/>
              </w:rPr>
              <w:t xml:space="preserve">Migration Audit §4; Dependency Analysis §20</w:t>
            </w:r>
          </w:p>
        </w:tc>
        <w:tc>
          <w:tcPr>
            <w:tcW w:type="dxa" w:w="1800"/>
          </w:tcPr>
          <w:p>
            <w:r>
              <w:rPr>
                <w:b w:val="false"/>
                <w:bCs w:val="false"/>
              </w:rPr>
              <w:t xml:space="preserve">High</w:t>
            </w:r>
          </w:p>
        </w:tc>
      </w:tr>
      <w:tr>
        <w:tc>
          <w:tcPr>
            <w:tcW w:type="dxa" w:w="500"/>
          </w:tcPr>
          <w:p>
            <w:r>
              <w:rPr>
                <w:b w:val="false"/>
                <w:bCs w:val="false"/>
              </w:rPr>
              <w:t xml:space="preserve">F9</w:t>
            </w:r>
          </w:p>
        </w:tc>
        <w:tc>
          <w:tcPr>
            <w:tcW w:type="dxa" w:w="4600"/>
          </w:tcPr>
          <w:p>
            <w:r>
              <w:rPr>
                <w:b w:val="false"/>
                <w:bCs w:val="false"/>
              </w:rPr>
              <w:t xml:space="preserve">Sprint_1C_Migration_1C_01.sql depends on a "governance_audit" role and a "Sprint 1B security migration" — neither resolvable to a repository artifact</w:t>
            </w:r>
          </w:p>
        </w:tc>
        <w:tc>
          <w:tcPr>
            <w:tcW w:type="dxa" w:w="2700"/>
          </w:tcPr>
          <w:p>
            <w:r>
              <w:rPr>
                <w:b w:val="false"/>
                <w:bCs w:val="false"/>
              </w:rPr>
              <w:t xml:space="preserve">Ordering Review §10</w:t>
            </w:r>
          </w:p>
        </w:tc>
        <w:tc>
          <w:tcPr>
            <w:tcW w:type="dxa" w:w="1800"/>
          </w:tcPr>
          <w:p>
            <w:r>
              <w:rPr>
                <w:b w:val="false"/>
                <w:bCs w:val="false"/>
              </w:rPr>
              <w:t xml:space="preserve">Medium (Requires Runtime Verification)</w:t>
            </w:r>
          </w:p>
        </w:tc>
      </w:tr>
      <w:tr>
        <w:tc>
          <w:tcPr>
            <w:tcW w:type="dxa" w:w="500"/>
          </w:tcPr>
          <w:p>
            <w:r>
              <w:rPr>
                <w:b w:val="false"/>
                <w:bCs w:val="false"/>
              </w:rPr>
              <w:t xml:space="preserve">F10</w:t>
            </w:r>
          </w:p>
        </w:tc>
        <w:tc>
          <w:tcPr>
            <w:tcW w:type="dxa" w:w="4600"/>
          </w:tcPr>
          <w:p>
            <w:r>
              <w:rPr>
                <w:b w:val="false"/>
                <w:bCs w:val="false"/>
              </w:rPr>
              <w:t xml:space="preserve">migration_H1_01 seed's success depends on which of two competing table schemas won execution order; column match not yet re-verified</w:t>
            </w:r>
          </w:p>
        </w:tc>
        <w:tc>
          <w:tcPr>
            <w:tcW w:type="dxa" w:w="2700"/>
          </w:tcPr>
          <w:p>
            <w:r>
              <w:rPr>
                <w:b w:val="false"/>
                <w:bCs w:val="false"/>
              </w:rPr>
              <w:t xml:space="preserve">Ordering Review §17</w:t>
            </w:r>
          </w:p>
        </w:tc>
        <w:tc>
          <w:tcPr>
            <w:tcW w:type="dxa" w:w="1800"/>
          </w:tcPr>
          <w:p>
            <w:r>
              <w:rPr>
                <w:b w:val="false"/>
                <w:bCs w:val="false"/>
              </w:rPr>
              <w:t xml:space="preserve">Medium</w:t>
            </w:r>
          </w:p>
        </w:tc>
      </w:tr>
      <w:tr>
        <w:tc>
          <w:tcPr>
            <w:tcW w:type="dxa" w:w="500"/>
          </w:tcPr>
          <w:p>
            <w:r>
              <w:rPr>
                <w:b w:val="false"/>
                <w:bCs w:val="false"/>
              </w:rPr>
              <w:t xml:space="preserve">F11</w:t>
            </w:r>
          </w:p>
        </w:tc>
        <w:tc>
          <w:tcPr>
            <w:tcW w:type="dxa" w:w="4600"/>
          </w:tcPr>
          <w:p>
            <w:r>
              <w:rPr>
                <w:b w:val="false"/>
                <w:bCs w:val="false"/>
              </w:rPr>
              <w:t xml:space="preserve">No canonical schema artifact (pg_dump / declarative schema / ERD) exists anywhere in the repository for the audited schema</w:t>
            </w:r>
          </w:p>
        </w:tc>
        <w:tc>
          <w:tcPr>
            <w:tcW w:type="dxa" w:w="2700"/>
          </w:tcPr>
          <w:p>
            <w:r>
              <w:rPr>
                <w:b w:val="false"/>
                <w:bCs w:val="false"/>
              </w:rPr>
              <w:t xml:space="preserve">Canonical Schema Comparison §1, §9</w:t>
            </w:r>
          </w:p>
        </w:tc>
        <w:tc>
          <w:tcPr>
            <w:tcW w:type="dxa" w:w="1800"/>
          </w:tcPr>
          <w:p>
            <w:r>
              <w:rPr>
                <w:b w:val="false"/>
                <w:bCs w:val="false"/>
              </w:rPr>
              <w:t xml:space="preserve">Critical (blocks closure, not ordering)</w:t>
            </w:r>
          </w:p>
        </w:tc>
      </w:tr>
      <w:tr>
        <w:tc>
          <w:tcPr>
            <w:tcW w:type="dxa" w:w="500"/>
          </w:tcPr>
          <w:p>
            <w:r>
              <w:rPr>
                <w:b w:val="false"/>
                <w:bCs w:val="false"/>
              </w:rPr>
              <w:t xml:space="preserve">F12</w:t>
            </w:r>
          </w:p>
        </w:tc>
        <w:tc>
          <w:tcPr>
            <w:tcW w:type="dxa" w:w="4600"/>
          </w:tcPr>
          <w:p>
            <w:r>
              <w:rPr>
                <w:b w:val="false"/>
                <w:bCs w:val="false"/>
              </w:rPr>
              <w:t xml:space="preserve">Redundant but idempotent extension/enum declarations (vector, pg_trgm, unaccent, pgcrypto)</w:t>
            </w:r>
          </w:p>
        </w:tc>
        <w:tc>
          <w:tcPr>
            <w:tcW w:type="dxa" w:w="2700"/>
          </w:tcPr>
          <w:p>
            <w:r>
              <w:rPr>
                <w:b w:val="false"/>
                <w:bCs w:val="false"/>
              </w:rPr>
              <w:t xml:space="preserve">Dependency Analysis §7</w:t>
            </w:r>
          </w:p>
        </w:tc>
        <w:tc>
          <w:tcPr>
            <w:tcW w:type="dxa" w:w="1800"/>
          </w:tcPr>
          <w:p>
            <w:r>
              <w:rPr>
                <w:b w:val="false"/>
                <w:bCs w:val="false"/>
              </w:rPr>
              <w:t xml:space="preserve">Low / Informational</w:t>
            </w:r>
          </w:p>
        </w:tc>
      </w:tr>
    </w:tbl>
    <w:p>
      <w:pPr>
        <w:pStyle w:val="Heading1"/>
        <w:spacing w:after="120" w:before="300"/>
      </w:pPr>
      <w:r>
        <w:t xml:space="preserve">3. Reconciliation Objectives</w:t>
      </w:r>
    </w:p>
    <w:p>
      <w:pPr>
        <w:pStyle w:val="ListParagraph"/>
        <w:numPr>
          <w:ilvl w:val="0"/>
          <w:numId w:val="1"/>
        </w:numPr>
        <w:spacing w:after="70"/>
      </w:pPr>
      <w:r>
        <w:t xml:space="preserve">Restore deterministic, successful completion of a clean supabase db reset (resolve F1/F2).</w:t>
      </w:r>
    </w:p>
    <w:p>
      <w:pPr>
        <w:pStyle w:val="ListParagraph"/>
        <w:numPr>
          <w:ilvl w:val="0"/>
          <w:numId w:val="1"/>
        </w:numPr>
        <w:spacing w:after="70"/>
      </w:pPr>
      <w:r>
        <w:t xml:space="preserve">Resolve the two incompatible-schema duplicate tables to a single, intentional definition (F3).</w:t>
      </w:r>
    </w:p>
    <w:p>
      <w:pPr>
        <w:pStyle w:val="ListParagraph"/>
        <w:numPr>
          <w:ilvl w:val="0"/>
          <w:numId w:val="1"/>
        </w:numPr>
        <w:spacing w:after="70"/>
      </w:pPr>
      <w:r>
        <w:t xml:space="preserve">Confirm or clear the remaining duplicate, phantom-dependency, and ownership findings (F4–F7, F9–F10).</w:t>
      </w:r>
    </w:p>
    <w:p>
      <w:pPr>
        <w:pStyle w:val="ListParagraph"/>
        <w:numPr>
          <w:ilvl w:val="0"/>
          <w:numId w:val="1"/>
        </w:numPr>
        <w:spacing w:after="70"/>
      </w:pPr>
      <w:r>
        <w:t xml:space="preserve">Recover the extensionless corrective migration into the applied chain, or formally document why it should not be (F8).</w:t>
      </w:r>
    </w:p>
    <w:p>
      <w:pPr>
        <w:pStyle w:val="ListParagraph"/>
        <w:numPr>
          <w:ilvl w:val="0"/>
          <w:numId w:val="1"/>
        </w:numPr>
        <w:spacing w:after="70"/>
      </w:pPr>
      <w:r>
        <w:t xml:space="preserve">Obtain a real canonical schema artifact so a genuine canonical comparison — not a reconstruction — becomes possible (F11).</w:t>
      </w:r>
    </w:p>
    <w:p>
      <w:pPr>
        <w:pStyle w:val="ListParagraph"/>
        <w:numPr>
          <w:ilvl w:val="0"/>
          <w:numId w:val="1"/>
        </w:numPr>
        <w:spacing w:after="70"/>
      </w:pPr>
      <w:r>
        <w:t xml:space="preserve">Do all of the above without altering business logic, Runtime, SIM, COM, HKP, or any behavior outside the migration chain itself.</w:t>
      </w:r>
    </w:p>
    <w:p>
      <w:pPr>
        <w:pStyle w:val="Heading1"/>
        <w:spacing w:after="120" w:before="300"/>
      </w:pPr>
      <w:r>
        <w:t xml:space="preserve">4. Reconciliation Scope</w:t>
      </w:r>
    </w:p>
    <w:p>
      <w:pPr>
        <w:spacing w:after="140"/>
      </w:pPr>
      <w:r>
        <w:t xml:space="preserve">In scope: the 70 files in core/supabase/migrations/, their filenames and execution order, the objects they define, and the single extensionless artifact currently outside the loader's reach. Also in scope: acquiring (not designing) a canonical schema artifact.</w:t>
      </w:r>
    </w:p>
    <w:p>
      <w:pPr>
        <w:pStyle w:val="Heading1"/>
        <w:spacing w:after="120" w:before="300"/>
      </w:pPr>
      <w:r>
        <w:t xml:space="preserve">5. Out-of-Scope Items</w:t>
      </w:r>
    </w:p>
    <w:p>
      <w:pPr>
        <w:pStyle w:val="ListParagraph"/>
        <w:numPr>
          <w:ilvl w:val="0"/>
          <w:numId w:val="1"/>
        </w:numPr>
        <w:spacing w:after="70"/>
      </w:pPr>
      <w:r>
        <w:t xml:space="preserve">Any change to Knowledge Runtime, SIM, COM, or HKP code or schemas (per governing principles).</w:t>
      </w:r>
    </w:p>
    <w:p>
      <w:pPr>
        <w:pStyle w:val="ListParagraph"/>
        <w:numPr>
          <w:ilvl w:val="0"/>
          <w:numId w:val="1"/>
        </w:numPr>
        <w:spacing w:after="70"/>
      </w:pPr>
      <w:r>
        <w:t xml:space="preserve">The unrelated "Canonical Entity Model" subsystem (documents/WP-EXEC-01) — confirmed in the prior report to be a different data domain, not a stand-in for this schema.</w:t>
      </w:r>
    </w:p>
    <w:p>
      <w:pPr>
        <w:pStyle w:val="ListParagraph"/>
        <w:numPr>
          <w:ilvl w:val="0"/>
          <w:numId w:val="1"/>
        </w:numPr>
        <w:spacing w:after="70"/>
      </w:pPr>
      <w:r>
        <w:t xml:space="preserve">Provenance evaluation of core/backups/pre_wp_db_005_schema.sql / post_wp_db_005_schema.sql — flagged as a lead in the prior report but explicitly deferred, not re-opened here.</w:t>
      </w:r>
    </w:p>
    <w:p>
      <w:pPr>
        <w:pStyle w:val="ListParagraph"/>
        <w:numPr>
          <w:ilvl w:val="0"/>
          <w:numId w:val="1"/>
        </w:numPr>
        <w:spacing w:after="70"/>
      </w:pPr>
      <w:r>
        <w:t xml:space="preserve">archive/ folder (8 superseded M3-family files) — outside the applied chain; no reconciliation action implied unless a future finding connects it back in.</w:t>
      </w:r>
    </w:p>
    <w:p>
      <w:pPr>
        <w:pStyle w:val="ListParagraph"/>
        <w:numPr>
          <w:ilvl w:val="0"/>
          <w:numId w:val="1"/>
        </w:numPr>
        <w:spacing w:after="70"/>
      </w:pPr>
      <w:r>
        <w:t xml:space="preserve">Any SQL authoring, migration renaming, or schema redesign — this report is a plan, not an implementation.</w:t>
      </w:r>
    </w:p>
    <w:p>
      <w:pPr>
        <w:pStyle w:val="Heading1"/>
        <w:spacing w:after="120" w:before="300"/>
      </w:pPr>
      <w:r>
        <w:t xml:space="preserve">6. Reconciliation Grouping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800"/>
        <w:gridCol w:w="3800"/>
      </w:tblGrid>
      <w:tr>
        <w:tc>
          <w:tcPr>
            <w:tcW w:type="dxa" w:w="700"/>
            <w:shd w:fill="2F3B52" w:val="clear"/>
          </w:tcPr>
          <w:p>
            <w:r>
              <w:rPr>
                <w:b/>
                <w:bCs/>
                <w:color w:val="FFFFFF"/>
              </w:rPr>
              <w:t xml:space="preserve">Group</w:t>
            </w:r>
          </w:p>
        </w:tc>
        <w:tc>
          <w:tcPr>
            <w:tcW w:type="dxa" w:w="2700"/>
            <w:shd w:fill="2F3B52" w:val="clear"/>
          </w:tcPr>
          <w:p>
            <w:r>
              <w:rPr>
                <w:b/>
                <w:bCs/>
                <w:color w:val="FFFFFF"/>
              </w:rPr>
              <w:t xml:space="preserve">Name</w:t>
            </w:r>
          </w:p>
        </w:tc>
        <w:tc>
          <w:tcPr>
            <w:tcW w:type="dxa" w:w="1800"/>
            <w:shd w:fill="2F3B52" w:val="clear"/>
          </w:tcPr>
          <w:p>
            <w:r>
              <w:rPr>
                <w:b/>
                <w:bCs/>
                <w:color w:val="FFFFFF"/>
              </w:rPr>
              <w:t xml:space="preserve">Findings Covered</w:t>
            </w:r>
          </w:p>
        </w:tc>
        <w:tc>
          <w:tcPr>
            <w:tcW w:type="dxa" w:w="3800"/>
            <w:shd w:fill="2F3B52" w:val="clear"/>
          </w:tcPr>
          <w:p>
            <w:r>
              <w:rPr>
                <w:b/>
                <w:bCs/>
                <w:color w:val="FFFFFF"/>
              </w:rPr>
              <w:t xml:space="preserve">Nature</w:t>
            </w:r>
          </w:p>
        </w:tc>
      </w:tr>
      <w:tr>
        <w:tc>
          <w:tcPr>
            <w:tcW w:type="dxa" w:w="700"/>
          </w:tcPr>
          <w:p>
            <w:r>
              <w:rPr>
                <w:b w:val="false"/>
                <w:bCs w:val="false"/>
              </w:rPr>
              <w:t xml:space="preserve">A</w:t>
            </w:r>
          </w:p>
        </w:tc>
        <w:tc>
          <w:tcPr>
            <w:tcW w:type="dxa" w:w="2700"/>
          </w:tcPr>
          <w:p>
            <w:r>
              <w:rPr>
                <w:b w:val="false"/>
                <w:bCs w:val="false"/>
              </w:rPr>
              <w:t xml:space="preserve">Migration Filename Normalization</w:t>
            </w:r>
          </w:p>
        </w:tc>
        <w:tc>
          <w:tcPr>
            <w:tcW w:type="dxa" w:w="1800"/>
          </w:tcPr>
          <w:p>
            <w:r>
              <w:rPr>
                <w:b w:val="false"/>
                <w:bCs w:val="false"/>
              </w:rPr>
              <w:t xml:space="preserve">F2</w:t>
            </w:r>
          </w:p>
        </w:tc>
        <w:tc>
          <w:tcPr>
            <w:tcW w:type="dxa" w:w="3800"/>
          </w:tcPr>
          <w:p>
            <w:r>
              <w:rPr>
                <w:b w:val="false"/>
                <w:bCs w:val="false"/>
              </w:rPr>
              <w:t xml:space="preserve">Mechanical — assign correct chronological timestamp prefixes to the 9 non-standard files</w:t>
            </w:r>
          </w:p>
        </w:tc>
      </w:tr>
      <w:tr>
        <w:tc>
          <w:tcPr>
            <w:tcW w:type="dxa" w:w="700"/>
          </w:tcPr>
          <w:p>
            <w:r>
              <w:rPr>
                <w:b w:val="false"/>
                <w:bCs w:val="false"/>
              </w:rPr>
              <w:t xml:space="preserve">B</w:t>
            </w:r>
          </w:p>
        </w:tc>
        <w:tc>
          <w:tcPr>
            <w:tcW w:type="dxa" w:w="2700"/>
          </w:tcPr>
          <w:p>
            <w:r>
              <w:rPr>
                <w:b w:val="false"/>
                <w:bCs w:val="false"/>
              </w:rPr>
              <w:t xml:space="preserve">Execution-Order Reconciliation</w:t>
            </w:r>
          </w:p>
        </w:tc>
        <w:tc>
          <w:tcPr>
            <w:tcW w:type="dxa" w:w="1800"/>
          </w:tcPr>
          <w:p>
            <w:r>
              <w:rPr>
                <w:b w:val="false"/>
                <w:bCs w:val="false"/>
              </w:rPr>
              <w:t xml:space="preserve">F1</w:t>
            </w:r>
          </w:p>
        </w:tc>
        <w:tc>
          <w:tcPr>
            <w:tcW w:type="dxa" w:w="3800"/>
          </w:tcPr>
          <w:p>
            <w:r>
              <w:rPr>
                <w:b w:val="false"/>
                <w:bCs w:val="false"/>
              </w:rPr>
              <w:t xml:space="preserve">Verification — confirm Group A's reordering actually resolves both confirmed guard-clause halts</w:t>
            </w:r>
          </w:p>
        </w:tc>
      </w:tr>
      <w:tr>
        <w:tc>
          <w:tcPr>
            <w:tcW w:type="dxa" w:w="700"/>
          </w:tcPr>
          <w:p>
            <w:r>
              <w:rPr>
                <w:b w:val="false"/>
                <w:bCs w:val="false"/>
              </w:rPr>
              <w:t xml:space="preserve">C</w:t>
            </w:r>
          </w:p>
        </w:tc>
        <w:tc>
          <w:tcPr>
            <w:tcW w:type="dxa" w:w="2700"/>
          </w:tcPr>
          <w:p>
            <w:r>
              <w:rPr>
                <w:b w:val="false"/>
                <w:bCs w:val="false"/>
              </w:rPr>
              <w:t xml:space="preserve">Duplicate Object Reconciliation</w:t>
            </w:r>
          </w:p>
        </w:tc>
        <w:tc>
          <w:tcPr>
            <w:tcW w:type="dxa" w:w="1800"/>
          </w:tcPr>
          <w:p>
            <w:r>
              <w:rPr>
                <w:b w:val="false"/>
                <w:bCs w:val="false"/>
              </w:rPr>
              <w:t xml:space="preserve">F3, F4</w:t>
            </w:r>
          </w:p>
        </w:tc>
        <w:tc>
          <w:tcPr>
            <w:tcW w:type="dxa" w:w="3800"/>
          </w:tcPr>
          <w:p>
            <w:r>
              <w:rPr>
                <w:b w:val="false"/>
                <w:bCs w:val="false"/>
              </w:rPr>
              <w:t xml:space="preserve">Decision + verification — establish which definition is authoritative for each duplicated table</w:t>
            </w:r>
          </w:p>
        </w:tc>
      </w:tr>
      <w:tr>
        <w:tc>
          <w:tcPr>
            <w:tcW w:type="dxa" w:w="700"/>
          </w:tcPr>
          <w:p>
            <w:r>
              <w:rPr>
                <w:b w:val="false"/>
                <w:bCs w:val="false"/>
              </w:rPr>
              <w:t xml:space="preserve">D</w:t>
            </w:r>
          </w:p>
        </w:tc>
        <w:tc>
          <w:tcPr>
            <w:tcW w:type="dxa" w:w="2700"/>
          </w:tcPr>
          <w:p>
            <w:r>
              <w:rPr>
                <w:b w:val="false"/>
                <w:bCs w:val="false"/>
              </w:rPr>
              <w:t xml:space="preserve">Dependency Reconciliation</w:t>
            </w:r>
          </w:p>
        </w:tc>
        <w:tc>
          <w:tcPr>
            <w:tcW w:type="dxa" w:w="1800"/>
          </w:tcPr>
          <w:p>
            <w:r>
              <w:rPr>
                <w:b w:val="false"/>
                <w:bCs w:val="false"/>
              </w:rPr>
              <w:t xml:space="preserve">F5, F9</w:t>
            </w:r>
          </w:p>
        </w:tc>
        <w:tc>
          <w:tcPr>
            <w:tcW w:type="dxa" w:w="3800"/>
          </w:tcPr>
          <w:p>
            <w:r>
              <w:rPr>
                <w:b w:val="false"/>
                <w:bCs w:val="false"/>
              </w:rPr>
              <w:t xml:space="preserve">Investigation — resolve phantom/RECONSTRUCTED dependencies and unresolved role/migration references</w:t>
            </w:r>
          </w:p>
        </w:tc>
      </w:tr>
      <w:tr>
        <w:tc>
          <w:tcPr>
            <w:tcW w:type="dxa" w:w="700"/>
          </w:tcPr>
          <w:p>
            <w:r>
              <w:rPr>
                <w:b w:val="false"/>
                <w:bCs w:val="false"/>
              </w:rPr>
              <w:t xml:space="preserve">E</w:t>
            </w:r>
          </w:p>
        </w:tc>
        <w:tc>
          <w:tcPr>
            <w:tcW w:type="dxa" w:w="2700"/>
          </w:tcPr>
          <w:p>
            <w:r>
              <w:rPr>
                <w:b w:val="false"/>
                <w:bCs w:val="false"/>
              </w:rPr>
              <w:t xml:space="preserve">Trigger and Function Reconciliation</w:t>
            </w:r>
          </w:p>
        </w:tc>
        <w:tc>
          <w:tcPr>
            <w:tcW w:type="dxa" w:w="1800"/>
          </w:tcPr>
          <w:p>
            <w:r>
              <w:rPr>
                <w:b w:val="false"/>
                <w:bCs w:val="false"/>
              </w:rPr>
              <w:t xml:space="preserve">F6, F7</w:t>
            </w:r>
          </w:p>
        </w:tc>
        <w:tc>
          <w:tcPr>
            <w:tcW w:type="dxa" w:w="3800"/>
          </w:tcPr>
          <w:p>
            <w:r>
              <w:rPr>
                <w:b w:val="false"/>
                <w:bCs w:val="false"/>
              </w:rPr>
              <w:t xml:space="preserve">Runtime verification — ownership and dual-definition conflicts not resolvable from static SQL alone</w:t>
            </w:r>
          </w:p>
        </w:tc>
      </w:tr>
      <w:tr>
        <w:tc>
          <w:tcPr>
            <w:tcW w:type="dxa" w:w="700"/>
          </w:tcPr>
          <w:p>
            <w:r>
              <w:rPr>
                <w:b w:val="false"/>
                <w:bCs w:val="false"/>
              </w:rPr>
              <w:t xml:space="preserve">F</w:t>
            </w:r>
          </w:p>
        </w:tc>
        <w:tc>
          <w:tcPr>
            <w:tcW w:type="dxa" w:w="2700"/>
          </w:tcPr>
          <w:p>
            <w:r>
              <w:rPr>
                <w:b w:val="false"/>
                <w:bCs w:val="false"/>
              </w:rPr>
              <w:t xml:space="preserve">Seed Reconciliation</w:t>
            </w:r>
          </w:p>
        </w:tc>
        <w:tc>
          <w:tcPr>
            <w:tcW w:type="dxa" w:w="1800"/>
          </w:tcPr>
          <w:p>
            <w:r>
              <w:rPr>
                <w:b w:val="false"/>
                <w:bCs w:val="false"/>
              </w:rPr>
              <w:t xml:space="preserve">F10</w:t>
            </w:r>
          </w:p>
        </w:tc>
        <w:tc>
          <w:tcPr>
            <w:tcW w:type="dxa" w:w="3800"/>
          </w:tcPr>
          <w:p>
            <w:r>
              <w:rPr>
                <w:b w:val="false"/>
                <w:bCs w:val="false"/>
              </w:rPr>
              <w:t xml:space="preserve">Verification — confirm seed column sets match the table definition that wins under corrected order</w:t>
            </w:r>
          </w:p>
        </w:tc>
      </w:tr>
      <w:tr>
        <w:tc>
          <w:tcPr>
            <w:tcW w:type="dxa" w:w="700"/>
          </w:tcPr>
          <w:p>
            <w:r>
              <w:rPr>
                <w:b w:val="false"/>
                <w:bCs w:val="false"/>
              </w:rPr>
              <w:t xml:space="preserve">G</w:t>
            </w:r>
          </w:p>
        </w:tc>
        <w:tc>
          <w:tcPr>
            <w:tcW w:type="dxa" w:w="2700"/>
          </w:tcPr>
          <w:p>
            <w:r>
              <w:rPr>
                <w:b w:val="false"/>
                <w:bCs w:val="false"/>
              </w:rPr>
              <w:t xml:space="preserve">Repository Artifact Reconciliation</w:t>
            </w:r>
          </w:p>
        </w:tc>
        <w:tc>
          <w:tcPr>
            <w:tcW w:type="dxa" w:w="1800"/>
          </w:tcPr>
          <w:p>
            <w:r>
              <w:rPr>
                <w:b w:val="false"/>
                <w:bCs w:val="false"/>
              </w:rPr>
              <w:t xml:space="preserve">F8, F12</w:t>
            </w:r>
          </w:p>
        </w:tc>
        <w:tc>
          <w:tcPr>
            <w:tcW w:type="dxa" w:w="3800"/>
          </w:tcPr>
          <w:p>
            <w:r>
              <w:rPr>
                <w:b w:val="false"/>
                <w:bCs w:val="false"/>
              </w:rPr>
              <w:t xml:space="preserve">Mechanical + decision — recover or formally retire the extensionless file; log redundant declarations as informational</w:t>
            </w:r>
          </w:p>
        </w:tc>
      </w:tr>
      <w:tr>
        <w:tc>
          <w:tcPr>
            <w:tcW w:type="dxa" w:w="700"/>
          </w:tcPr>
          <w:p>
            <w:r>
              <w:rPr>
                <w:b w:val="false"/>
                <w:bCs w:val="false"/>
              </w:rPr>
              <w:t xml:space="preserve">H</w:t>
            </w:r>
          </w:p>
        </w:tc>
        <w:tc>
          <w:tcPr>
            <w:tcW w:type="dxa" w:w="2700"/>
          </w:tcPr>
          <w:p>
            <w:r>
              <w:rPr>
                <w:b w:val="false"/>
                <w:bCs w:val="false"/>
              </w:rPr>
              <w:t xml:space="preserve">Canonical Confirmation</w:t>
            </w:r>
          </w:p>
        </w:tc>
        <w:tc>
          <w:tcPr>
            <w:tcW w:type="dxa" w:w="1800"/>
          </w:tcPr>
          <w:p>
            <w:r>
              <w:rPr>
                <w:b w:val="false"/>
                <w:bCs w:val="false"/>
              </w:rPr>
              <w:t xml:space="preserve">F11</w:t>
            </w:r>
          </w:p>
        </w:tc>
        <w:tc>
          <w:tcPr>
            <w:tcW w:type="dxa" w:w="3800"/>
          </w:tcPr>
          <w:p>
            <w:r>
              <w:rPr>
                <w:b w:val="false"/>
                <w:bCs w:val="false"/>
              </w:rPr>
              <w:t xml:space="preserve">External — acquire a real canonical schema artifact; the only group this plan cannot complete internally</w:t>
            </w:r>
          </w:p>
        </w:tc>
      </w:tr>
    </w:tbl>
    <w:p>
      <w:pPr>
        <w:pStyle w:val="Heading1"/>
        <w:spacing w:after="120" w:before="300"/>
      </w:pPr>
      <w:r>
        <w:t xml:space="preserve">7. Priority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300"/>
        <w:gridCol w:w="1900"/>
        <w:gridCol w:w="1600"/>
        <w:gridCol w:w="2700"/>
      </w:tblGrid>
      <w:tr>
        <w:tc>
          <w:tcPr>
            <w:tcW w:type="dxa" w:w="500"/>
            <w:shd w:fill="2F3B52" w:val="clear"/>
          </w:tcPr>
          <w:p>
            <w:r>
              <w:rPr>
                <w:b/>
                <w:bCs/>
                <w:color w:val="FFFFFF"/>
              </w:rPr>
              <w:t xml:space="preserve">Group</w:t>
            </w:r>
          </w:p>
        </w:tc>
        <w:tc>
          <w:tcPr>
            <w:tcW w:type="dxa" w:w="1600"/>
            <w:shd w:fill="2F3B52" w:val="clear"/>
          </w:tcPr>
          <w:p>
            <w:r>
              <w:rPr>
                <w:b/>
                <w:bCs/>
                <w:color w:val="FFFFFF"/>
              </w:rPr>
              <w:t xml:space="preserve">Priority</w:t>
            </w:r>
          </w:p>
        </w:tc>
        <w:tc>
          <w:tcPr>
            <w:tcW w:type="dxa" w:w="1300"/>
            <w:shd w:fill="2F3B52" w:val="clear"/>
          </w:tcPr>
          <w:p>
            <w:r>
              <w:rPr>
                <w:b/>
                <w:bCs/>
                <w:color w:val="FFFFFF"/>
              </w:rPr>
              <w:t xml:space="preserve">Complexity</w:t>
            </w:r>
          </w:p>
        </w:tc>
        <w:tc>
          <w:tcPr>
            <w:tcW w:type="dxa" w:w="1900"/>
            <w:shd w:fill="2F3B52" w:val="clear"/>
          </w:tcPr>
          <w:p>
            <w:r>
              <w:rPr>
                <w:b/>
                <w:bCs/>
                <w:color w:val="FFFFFF"/>
              </w:rPr>
              <w:t xml:space="preserve">Risk</w:t>
            </w:r>
          </w:p>
        </w:tc>
        <w:tc>
          <w:tcPr>
            <w:tcW w:type="dxa" w:w="1600"/>
            <w:shd w:fill="2F3B52" w:val="clear"/>
          </w:tcPr>
          <w:p>
            <w:r>
              <w:rPr>
                <w:b/>
                <w:bCs/>
                <w:color w:val="FFFFFF"/>
              </w:rPr>
              <w:t xml:space="preserve">Depends On</w:t>
            </w:r>
          </w:p>
        </w:tc>
        <w:tc>
          <w:tcPr>
            <w:tcW w:type="dxa" w:w="2700"/>
            <w:shd w:fill="2F3B52" w:val="clear"/>
          </w:tcPr>
          <w:p>
            <w:r>
              <w:rPr>
                <w:b/>
                <w:bCs/>
                <w:color w:val="FFFFFF"/>
              </w:rPr>
              <w:t xml:space="preserve">Expected Impact</w:t>
            </w:r>
          </w:p>
        </w:tc>
      </w:tr>
      <w:tr>
        <w:tc>
          <w:tcPr>
            <w:tcW w:type="dxa" w:w="500"/>
          </w:tcPr>
          <w:p>
            <w:r>
              <w:rPr>
                <w:b w:val="false"/>
                <w:bCs w:val="false"/>
              </w:rPr>
              <w:t xml:space="preserve">A</w:t>
            </w:r>
          </w:p>
        </w:tc>
        <w:tc>
          <w:tcPr>
            <w:tcW w:type="dxa" w:w="1600"/>
          </w:tcPr>
          <w:p>
            <w:r>
              <w:rPr>
                <w:b w:val="false"/>
                <w:bCs w:val="false"/>
              </w:rPr>
              <w:t xml:space="preserve">P0 — Immediate</w:t>
            </w:r>
          </w:p>
        </w:tc>
        <w:tc>
          <w:tcPr>
            <w:tcW w:type="dxa" w:w="1300"/>
          </w:tcPr>
          <w:p>
            <w:r>
              <w:rPr>
                <w:b w:val="false"/>
                <w:bCs w:val="false"/>
              </w:rPr>
              <w:t xml:space="preserve">Low</w:t>
            </w:r>
          </w:p>
        </w:tc>
        <w:tc>
          <w:tcPr>
            <w:tcW w:type="dxa" w:w="1900"/>
          </w:tcPr>
          <w:p>
            <w:r>
              <w:rPr>
                <w:b w:val="false"/>
                <w:bCs w:val="false"/>
              </w:rPr>
              <w:t xml:space="preserve">Low (rename only)</w:t>
            </w:r>
          </w:p>
        </w:tc>
        <w:tc>
          <w:tcPr>
            <w:tcW w:type="dxa" w:w="1600"/>
          </w:tcPr>
          <w:p>
            <w:r>
              <w:rPr>
                <w:b w:val="false"/>
                <w:bCs w:val="false"/>
              </w:rPr>
              <w:t xml:space="preserve">None</w:t>
            </w:r>
          </w:p>
        </w:tc>
        <w:tc>
          <w:tcPr>
            <w:tcW w:type="dxa" w:w="2700"/>
          </w:tcPr>
          <w:p>
            <w:r>
              <w:rPr>
                <w:b w:val="false"/>
                <w:bCs w:val="false"/>
              </w:rPr>
              <w:t xml:space="preserve">Unblocks B, and indirectly C/D/F which all depend on a completed clean reset to verify</w:t>
            </w:r>
          </w:p>
        </w:tc>
      </w:tr>
      <w:tr>
        <w:tc>
          <w:tcPr>
            <w:tcW w:type="dxa" w:w="500"/>
          </w:tcPr>
          <w:p>
            <w:r>
              <w:rPr>
                <w:b w:val="false"/>
                <w:bCs w:val="false"/>
              </w:rPr>
              <w:t xml:space="preserve">B</w:t>
            </w:r>
          </w:p>
        </w:tc>
        <w:tc>
          <w:tcPr>
            <w:tcW w:type="dxa" w:w="1600"/>
          </w:tcPr>
          <w:p>
            <w:r>
              <w:rPr>
                <w:b w:val="false"/>
                <w:bCs w:val="false"/>
              </w:rPr>
              <w:t xml:space="preserve">P0 — Immediate</w:t>
            </w:r>
          </w:p>
        </w:tc>
        <w:tc>
          <w:tcPr>
            <w:tcW w:type="dxa" w:w="1300"/>
          </w:tcPr>
          <w:p>
            <w:r>
              <w:rPr>
                <w:b w:val="false"/>
                <w:bCs w:val="false"/>
              </w:rPr>
              <w:t xml:space="preserve">Low</w:t>
            </w:r>
          </w:p>
        </w:tc>
        <w:tc>
          <w:tcPr>
            <w:tcW w:type="dxa" w:w="1900"/>
          </w:tcPr>
          <w:p>
            <w:r>
              <w:rPr>
                <w:b w:val="false"/>
                <w:bCs w:val="false"/>
              </w:rPr>
              <w:t xml:space="preserve">Medium (verification only, no code change)</w:t>
            </w:r>
          </w:p>
        </w:tc>
        <w:tc>
          <w:tcPr>
            <w:tcW w:type="dxa" w:w="1600"/>
          </w:tcPr>
          <w:p>
            <w:r>
              <w:rPr>
                <w:b w:val="false"/>
                <w:bCs w:val="false"/>
              </w:rPr>
              <w:t xml:space="preserve">A</w:t>
            </w:r>
          </w:p>
        </w:tc>
        <w:tc>
          <w:tcPr>
            <w:tcW w:type="dxa" w:w="2700"/>
          </w:tcPr>
          <w:p>
            <w:r>
              <w:rPr>
                <w:b w:val="false"/>
                <w:bCs w:val="false"/>
              </w:rPr>
              <w:t xml:space="preserve">Confirms whether F1 is actually resolved by A, or whether further guard issues remain</w:t>
            </w:r>
          </w:p>
        </w:tc>
      </w:tr>
      <w:tr>
        <w:tc>
          <w:tcPr>
            <w:tcW w:type="dxa" w:w="500"/>
          </w:tcPr>
          <w:p>
            <w:r>
              <w:rPr>
                <w:b w:val="false"/>
                <w:bCs w:val="false"/>
              </w:rPr>
              <w:t xml:space="preserve">C</w:t>
            </w:r>
          </w:p>
        </w:tc>
        <w:tc>
          <w:tcPr>
            <w:tcW w:type="dxa" w:w="1600"/>
          </w:tcPr>
          <w:p>
            <w:r>
              <w:rPr>
                <w:b w:val="false"/>
                <w:bCs w:val="false"/>
              </w:rPr>
              <w:t xml:space="preserve">P1 — High</w:t>
            </w:r>
          </w:p>
        </w:tc>
        <w:tc>
          <w:tcPr>
            <w:tcW w:type="dxa" w:w="1300"/>
          </w:tcPr>
          <w:p>
            <w:r>
              <w:rPr>
                <w:b w:val="false"/>
                <w:bCs w:val="false"/>
              </w:rPr>
              <w:t xml:space="preserve">Medium</w:t>
            </w:r>
          </w:p>
        </w:tc>
        <w:tc>
          <w:tcPr>
            <w:tcW w:type="dxa" w:w="1900"/>
          </w:tcPr>
          <w:p>
            <w:r>
              <w:rPr>
                <w:b w:val="false"/>
                <w:bCs w:val="false"/>
              </w:rPr>
              <w:t xml:space="preserve">High (schema-shape decision affects application code)</w:t>
            </w:r>
          </w:p>
        </w:tc>
        <w:tc>
          <w:tcPr>
            <w:tcW w:type="dxa" w:w="1600"/>
          </w:tcPr>
          <w:p>
            <w:r>
              <w:rPr>
                <w:b w:val="false"/>
                <w:bCs w:val="false"/>
              </w:rPr>
              <w:t xml:space="preserve">B</w:t>
            </w:r>
          </w:p>
        </w:tc>
        <w:tc>
          <w:tcPr>
            <w:tcW w:type="dxa" w:w="2700"/>
          </w:tcPr>
          <w:p>
            <w:r>
              <w:rPr>
                <w:b w:val="false"/>
                <w:bCs w:val="false"/>
              </w:rPr>
              <w:t xml:space="preserve">Determines final shape of 2 contested + 5 duplicate tables</w:t>
            </w:r>
          </w:p>
        </w:tc>
      </w:tr>
      <w:tr>
        <w:tc>
          <w:tcPr>
            <w:tcW w:type="dxa" w:w="500"/>
          </w:tcPr>
          <w:p>
            <w:r>
              <w:rPr>
                <w:b w:val="false"/>
                <w:bCs w:val="false"/>
              </w:rPr>
              <w:t xml:space="preserve">D</w:t>
            </w:r>
          </w:p>
        </w:tc>
        <w:tc>
          <w:tcPr>
            <w:tcW w:type="dxa" w:w="1600"/>
          </w:tcPr>
          <w:p>
            <w:r>
              <w:rPr>
                <w:b w:val="false"/>
                <w:bCs w:val="false"/>
              </w:rPr>
              <w:t xml:space="preserve">P1 — High</w:t>
            </w:r>
          </w:p>
        </w:tc>
        <w:tc>
          <w:tcPr>
            <w:tcW w:type="dxa" w:w="1300"/>
          </w:tcPr>
          <w:p>
            <w:r>
              <w:rPr>
                <w:b w:val="false"/>
                <w:bCs w:val="false"/>
              </w:rPr>
              <w:t xml:space="preserve">Medium</w:t>
            </w:r>
          </w:p>
        </w:tc>
        <w:tc>
          <w:tcPr>
            <w:tcW w:type="dxa" w:w="1900"/>
          </w:tcPr>
          <w:p>
            <w:r>
              <w:rPr>
                <w:b w:val="false"/>
                <w:bCs w:val="false"/>
              </w:rPr>
              <w:t xml:space="preserve">Medium</w:t>
            </w:r>
          </w:p>
        </w:tc>
        <w:tc>
          <w:tcPr>
            <w:tcW w:type="dxa" w:w="1600"/>
          </w:tcPr>
          <w:p>
            <w:r>
              <w:rPr>
                <w:b w:val="false"/>
                <w:bCs w:val="false"/>
              </w:rPr>
              <w:t xml:space="preserve">B</w:t>
            </w:r>
          </w:p>
        </w:tc>
        <w:tc>
          <w:tcPr>
            <w:tcW w:type="dxa" w:w="2700"/>
          </w:tcPr>
          <w:p>
            <w:r>
              <w:rPr>
                <w:b w:val="false"/>
                <w:bCs w:val="false"/>
              </w:rPr>
              <w:t xml:space="preserve">Clears phantom-dependency pattern; resolves 2 unresolved external references</w:t>
            </w:r>
          </w:p>
        </w:tc>
      </w:tr>
      <w:tr>
        <w:tc>
          <w:tcPr>
            <w:tcW w:type="dxa" w:w="500"/>
          </w:tcPr>
          <w:p>
            <w:r>
              <w:rPr>
                <w:b w:val="false"/>
                <w:bCs w:val="false"/>
              </w:rPr>
              <w:t xml:space="preserve">E</w:t>
            </w:r>
          </w:p>
        </w:tc>
        <w:tc>
          <w:tcPr>
            <w:tcW w:type="dxa" w:w="1600"/>
          </w:tcPr>
          <w:p>
            <w:r>
              <w:rPr>
                <w:b w:val="false"/>
                <w:bCs w:val="false"/>
              </w:rPr>
              <w:t xml:space="preserve">P2 — Medium</w:t>
            </w:r>
          </w:p>
        </w:tc>
        <w:tc>
          <w:tcPr>
            <w:tcW w:type="dxa" w:w="1300"/>
          </w:tcPr>
          <w:p>
            <w:r>
              <w:rPr>
                <w:b w:val="false"/>
                <w:bCs w:val="false"/>
              </w:rPr>
              <w:t xml:space="preserve">Low (investigation) / Unknown (fix)</w:t>
            </w:r>
          </w:p>
        </w:tc>
        <w:tc>
          <w:tcPr>
            <w:tcW w:type="dxa" w:w="1900"/>
          </w:tcPr>
          <w:p>
            <w:r>
              <w:rPr>
                <w:b w:val="false"/>
                <w:bCs w:val="false"/>
              </w:rPr>
              <w:t xml:space="preserve">Medium — requires live DB access</w:t>
            </w:r>
          </w:p>
        </w:tc>
        <w:tc>
          <w:tcPr>
            <w:tcW w:type="dxa" w:w="1600"/>
          </w:tcPr>
          <w:p>
            <w:r>
              <w:rPr>
                <w:b w:val="false"/>
                <w:bCs w:val="false"/>
              </w:rPr>
              <w:t xml:space="preserve">None (independent)</w:t>
            </w:r>
          </w:p>
        </w:tc>
        <w:tc>
          <w:tcPr>
            <w:tcW w:type="dxa" w:w="2700"/>
          </w:tcPr>
          <w:p>
            <w:r>
              <w:rPr>
                <w:b w:val="false"/>
                <w:bCs w:val="false"/>
              </w:rPr>
              <w:t xml:space="preserve">Confirms whether 2 functions are actually live with intended bodies</w:t>
            </w:r>
          </w:p>
        </w:tc>
      </w:tr>
      <w:tr>
        <w:tc>
          <w:tcPr>
            <w:tcW w:type="dxa" w:w="500"/>
          </w:tcPr>
          <w:p>
            <w:r>
              <w:rPr>
                <w:b w:val="false"/>
                <w:bCs w:val="false"/>
              </w:rPr>
              <w:t xml:space="preserve">F</w:t>
            </w:r>
          </w:p>
        </w:tc>
        <w:tc>
          <w:tcPr>
            <w:tcW w:type="dxa" w:w="1600"/>
          </w:tcPr>
          <w:p>
            <w:r>
              <w:rPr>
                <w:b w:val="false"/>
                <w:bCs w:val="false"/>
              </w:rPr>
              <w:t xml:space="preserve">P2 — Medium</w:t>
            </w:r>
          </w:p>
        </w:tc>
        <w:tc>
          <w:tcPr>
            <w:tcW w:type="dxa" w:w="1300"/>
          </w:tcPr>
          <w:p>
            <w:r>
              <w:rPr>
                <w:b w:val="false"/>
                <w:bCs w:val="false"/>
              </w:rPr>
              <w:t xml:space="preserve">Low</w:t>
            </w:r>
          </w:p>
        </w:tc>
        <w:tc>
          <w:tcPr>
            <w:tcW w:type="dxa" w:w="1900"/>
          </w:tcPr>
          <w:p>
            <w:r>
              <w:rPr>
                <w:b w:val="false"/>
                <w:bCs w:val="false"/>
              </w:rPr>
              <w:t xml:space="preserve">Low</w:t>
            </w:r>
          </w:p>
        </w:tc>
        <w:tc>
          <w:tcPr>
            <w:tcW w:type="dxa" w:w="1600"/>
          </w:tcPr>
          <w:p>
            <w:r>
              <w:rPr>
                <w:b w:val="false"/>
                <w:bCs w:val="false"/>
              </w:rPr>
              <w:t xml:space="preserve">C</w:t>
            </w:r>
          </w:p>
        </w:tc>
        <w:tc>
          <w:tcPr>
            <w:tcW w:type="dxa" w:w="2700"/>
          </w:tcPr>
          <w:p>
            <w:r>
              <w:rPr>
                <w:b w:val="false"/>
                <w:bCs w:val="false"/>
              </w:rPr>
              <w:t xml:space="preserve">Confirms one seed migration will not silently fail post-reconciliation</w:t>
            </w:r>
          </w:p>
        </w:tc>
      </w:tr>
      <w:tr>
        <w:tc>
          <w:tcPr>
            <w:tcW w:type="dxa" w:w="500"/>
          </w:tcPr>
          <w:p>
            <w:r>
              <w:rPr>
                <w:b w:val="false"/>
                <w:bCs w:val="false"/>
              </w:rPr>
              <w:t xml:space="preserve">G</w:t>
            </w:r>
          </w:p>
        </w:tc>
        <w:tc>
          <w:tcPr>
            <w:tcW w:type="dxa" w:w="1600"/>
          </w:tcPr>
          <w:p>
            <w:r>
              <w:rPr>
                <w:b w:val="false"/>
                <w:bCs w:val="false"/>
              </w:rPr>
              <w:t xml:space="preserve">P2 — Medium</w:t>
            </w:r>
          </w:p>
        </w:tc>
        <w:tc>
          <w:tcPr>
            <w:tcW w:type="dxa" w:w="1300"/>
          </w:tcPr>
          <w:p>
            <w:r>
              <w:rPr>
                <w:b w:val="false"/>
                <w:bCs w:val="false"/>
              </w:rPr>
              <w:t xml:space="preserve">Low</w:t>
            </w:r>
          </w:p>
        </w:tc>
        <w:tc>
          <w:tcPr>
            <w:tcW w:type="dxa" w:w="1900"/>
          </w:tcPr>
          <w:p>
            <w:r>
              <w:rPr>
                <w:b w:val="false"/>
                <w:bCs w:val="false"/>
              </w:rPr>
              <w:t xml:space="preserve">Medium (F8 may be load-bearing)</w:t>
            </w:r>
          </w:p>
        </w:tc>
        <w:tc>
          <w:tcPr>
            <w:tcW w:type="dxa" w:w="1600"/>
          </w:tcPr>
          <w:p>
            <w:r>
              <w:rPr>
                <w:b w:val="false"/>
                <w:bCs w:val="false"/>
              </w:rPr>
              <w:t xml:space="preserve">None (independent)</w:t>
            </w:r>
          </w:p>
        </w:tc>
        <w:tc>
          <w:tcPr>
            <w:tcW w:type="dxa" w:w="2700"/>
          </w:tcPr>
          <w:p>
            <w:r>
              <w:rPr>
                <w:b w:val="false"/>
                <w:bCs w:val="false"/>
              </w:rPr>
              <w:t xml:space="preserve">Determines whether a governance lineage correction is silently missing from every environment today</w:t>
            </w:r>
          </w:p>
        </w:tc>
      </w:tr>
      <w:tr>
        <w:tc>
          <w:tcPr>
            <w:tcW w:type="dxa" w:w="500"/>
          </w:tcPr>
          <w:p>
            <w:r>
              <w:rPr>
                <w:b w:val="false"/>
                <w:bCs w:val="false"/>
              </w:rPr>
              <w:t xml:space="preserve">H</w:t>
            </w:r>
          </w:p>
        </w:tc>
        <w:tc>
          <w:tcPr>
            <w:tcW w:type="dxa" w:w="1600"/>
          </w:tcPr>
          <w:p>
            <w:r>
              <w:rPr>
                <w:b w:val="false"/>
                <w:bCs w:val="false"/>
              </w:rPr>
              <w:t xml:space="preserve">P1 — High (long lead time)</w:t>
            </w:r>
          </w:p>
        </w:tc>
        <w:tc>
          <w:tcPr>
            <w:tcW w:type="dxa" w:w="1300"/>
          </w:tcPr>
          <w:p>
            <w:r>
              <w:rPr>
                <w:b w:val="false"/>
                <w:bCs w:val="false"/>
              </w:rPr>
              <w:t xml:space="preserve">Unknown — external process</w:t>
            </w:r>
          </w:p>
        </w:tc>
        <w:tc>
          <w:tcPr>
            <w:tcW w:type="dxa" w:w="1900"/>
          </w:tcPr>
          <w:p>
            <w:r>
              <w:rPr>
                <w:b w:val="false"/>
                <w:bCs w:val="false"/>
              </w:rPr>
              <w:t xml:space="preserve">N/A (not a code risk, a process risk)</w:t>
            </w:r>
          </w:p>
        </w:tc>
        <w:tc>
          <w:tcPr>
            <w:tcW w:type="dxa" w:w="1600"/>
          </w:tcPr>
          <w:p>
            <w:r>
              <w:rPr>
                <w:b w:val="false"/>
                <w:bCs w:val="false"/>
              </w:rPr>
              <w:t xml:space="preserve">None (start in parallel immediately)</w:t>
            </w:r>
          </w:p>
        </w:tc>
        <w:tc>
          <w:tcPr>
            <w:tcW w:type="dxa" w:w="2700"/>
          </w:tcPr>
          <w:p>
            <w:r>
              <w:rPr>
                <w:b w:val="false"/>
                <w:bCs w:val="false"/>
              </w:rPr>
              <w:t xml:space="preserve">Only path to a genuine canonical closure; blocks Section 15 criterion 6 regardless of A–G outcome</w:t>
            </w:r>
          </w:p>
        </w:tc>
      </w:tr>
    </w:tbl>
    <w:p>
      <w:pPr>
        <w:pStyle w:val="Heading1"/>
        <w:spacing w:after="120" w:before="300"/>
      </w:pPr>
      <w:r>
        <w:t xml:space="preserve">8. Implementation Phases</w:t>
      </w:r>
    </w:p>
    <w:p>
      <w:pPr>
        <w:pStyle w:val="Heading2"/>
        <w:spacing w:after="100" w:before="220"/>
      </w:pPr>
      <w:r>
        <w:t xml:space="preserve">Phase 0 — Canonical Artifact Acquisition (Group H, runs in parallel throughout)</w:t>
      </w:r>
    </w:p>
    <w:p>
      <w:pPr>
        <w:spacing w:after="140"/>
      </w:pPr>
      <w:r>
        <w:t xml:space="preserve">Objectives: obtain a pg_dump --schema-only (or equivalent) of the actual canonical database. Included: Group H only. Prerequisites: none — this can and should start immediately, independent of Phases 1–4, since it has the longest and least predictable lead time (it depends on access to a system outside this repository). Success criteria: a canonical artifact exists and is checked into a known location. Verification gate: the artifact is schema-level (types, constraints, columns), not prose. Rollback: not applicable — this phase only acquires a read-only reference document.</w:t>
      </w:r>
    </w:p>
    <w:p>
      <w:pPr>
        <w:pStyle w:val="Heading2"/>
        <w:spacing w:after="100" w:before="220"/>
      </w:pPr>
      <w:r>
        <w:t xml:space="preserve">Phase 1 — Filename Normalization and Order Verification (Groups A + B)</w:t>
      </w:r>
    </w:p>
    <w:p>
      <w:pPr>
        <w:spacing w:after="140"/>
      </w:pPr>
      <w:r>
        <w:t xml:space="preserve">Objectives: give each of the 9 non-timestamped files a timestamp reflecting its true intended position (per the Dependency Analysis's reconstructed intended order), then verify against the two confirmed guard clauses that the halt no longer occurs. Included migrations: the 9 files named in F2, plus the two guard-bearing files that currently fail (20260616000005_a10_governance_event_store.sql, Sprint_1C_Migration_1C_01.sql) as verification targets, not modification targets. Included objects: none modified — this phase touches filenames only. Prerequisites: none. Success criteria: a clean supabase db reset against a disposable database proceeds past position 59 (current halt point) without the WP-DB-005 or 1C-01 guard exceptions firing. Verification gate: full db reset dry run in a disposable/staging project. Rollback checkpoint: filename changes are trivially reversible (git revert); no schema state is touched until the dry run. Expected deliverable: a confirmed, reproducible successful `supabase db reset`, or a precise list of any further guard failures the reordering surfaces.</w:t>
      </w:r>
    </w:p>
    <w:p>
      <w:pPr>
        <w:pStyle w:val="Heading2"/>
        <w:spacing w:after="100" w:before="220"/>
      </w:pPr>
      <w:r>
        <w:t xml:space="preserve">Phase 2 — Duplicate Object Reconciliation (Group C)</w:t>
      </w:r>
    </w:p>
    <w:p>
      <w:pPr>
        <w:spacing w:after="140"/>
      </w:pPr>
      <w:r>
        <w:t xml:space="preserve">Objectives: for signal_category_hierarchy and signal_ontology_edges, determine which of the two incompatible definitions is intended to be authoritative (the Ordering Review notes the current lexicographic winner is 20260608000001's variant, not necessarily the one either author intended) and document the decision. For the 5 idempotent duplicates (F4), confirm each pair is genuinely additive/compatible rather than silently masking drift. Prerequisites: Phase 1 complete and verified (duplicate resolution depends on knowing the corrected execution order). Success criteria: one documented authoritative definition per contested table; no undocumented duplicate survives. Verification gate: schema-level column comparison of both definitions against whichever is chosen, plus a check of any application code path referencing the non-chosen columns (flagged as Requires Human Decision — see Section 13). Rollback checkpoint: decision is documentation-only at this planning stage; no rollback needed until an actual migration is authored in a later work package.</w:t>
      </w:r>
    </w:p>
    <w:p>
      <w:pPr>
        <w:pStyle w:val="Heading2"/>
        <w:spacing w:after="100" w:before="220"/>
      </w:pPr>
      <w:r>
        <w:t xml:space="preserve">Phase 3 — Dependency and Runtime Reconciliation (Groups D + E)</w:t>
      </w:r>
    </w:p>
    <w:p>
      <w:pPr>
        <w:spacing w:after="140"/>
      </w:pPr>
      <w:r>
        <w:t xml:space="preserve">Objectives: resolve the phantom-dependency pattern in the three RECONSTRUCTED migrations (confirm whether the retrofitted objects are now genuinely sufficient, or whether the original intended prerequisite still needs to be located); resolve the two unmatched references ("governance_audit" role, "Sprint 1B security migration"); confirm live function ownership for fn_approve_lineage_transition() and handle_new_user() against a real database connection. Prerequisites: Phase 1 complete (a working clean reset is required before live-ownership checks are meaningful). Success criteria: every reference in F5/F9 is either matched to a concrete artifact or formally documented as intentionally external (e.g., a platform-level role). F6/F7 ownership confirmed via pg_proc.proowner query against a live instance. Verification gate: runtime inspection query results, reviewed against the exact hazard text already documented in the Dependency Analysis. Rollback: not applicable — this phase is read/verify only.</w:t>
      </w:r>
    </w:p>
    <w:p>
      <w:pPr>
        <w:pStyle w:val="Heading2"/>
        <w:spacing w:after="100" w:before="220"/>
      </w:pPr>
      <w:r>
        <w:t xml:space="preserve">Phase 4 — Seed Verification (Group F)</w:t>
      </w:r>
    </w:p>
    <w:p>
      <w:pPr>
        <w:spacing w:after="140"/>
      </w:pPr>
      <w:r>
        <w:t xml:space="preserve">Objectives: confirm migration_H1_01_signal_category_hierarchy_seed.sql's INSERT column list matches whichever signal_category_hierarchy definition Phase 2 confirms as authoritative. Prerequisites: Phase 2 complete. Success criteria: seed migration's columns are confirmed compatible, or confirmed incompatible with a specific remediation need logged for the next work package (not designed here). Verification gate: direct column-by-column comparison, plus a dry-run seed execution against the reconciled schema in a disposable environment.</w:t>
      </w:r>
    </w:p>
    <w:p>
      <w:pPr>
        <w:pStyle w:val="Heading2"/>
        <w:spacing w:after="100" w:before="220"/>
      </w:pPr>
      <w:r>
        <w:t xml:space="preserve">Phase 5 — Repository Artifact Disposition (Group G)</w:t>
      </w:r>
    </w:p>
    <w:p>
      <w:pPr>
        <w:spacing w:after="140"/>
      </w:pPr>
      <w:r>
        <w:t xml:space="preserve">Objectives: determine whether "Forward Migration SQL" (the extensionless file identifying itself as 20260616000008_a10_lineage_baseline_correction.sql) is load-bearing in any current environment; if so, plan its recovery into the normal migration path under Phase 1's naming convention; if not, formally document it as superseded. Confirm whether add-phase4b-governance-observability.migration.sql's double-extension is treated identically to a standard file by the project's actual Supabase CLI version. Log the 4 redundant idempotent extension declarations (F12) as informational, no action required. Prerequisites: none — independent of other phases, can run in parallel with Phase 1–4. Success criteria: no artifact of unknown execution status remains in the repository. Verification gate: CLI-version-specific test of file recognition in a disposable project.</w:t>
      </w:r>
    </w:p>
    <w:p>
      <w:pPr>
        <w:pStyle w:val="Heading2"/>
        <w:spacing w:after="100" w:before="220"/>
      </w:pPr>
      <w:r>
        <w:t xml:space="preserve">Phase 6 — Verification and Closure Gate</w:t>
      </w:r>
    </w:p>
    <w:p>
      <w:pPr>
        <w:spacing w:after="140"/>
      </w:pPr>
      <w:r>
        <w:t xml:space="preserve">Objectives: confirm all of Phases 1–5 together produce a deterministic, successful, repeatable clean supabase db reset, and reconcile the result against the canonical artifact obtained in Phase 0 (if available by this point). Prerequisites: Phases 1–5 complete; Phase 0 ideally complete, but see Section 15 for the criterion that remains open if it is not. Success criteria: see Section 15 in full. This phase is the Enterprise Closure Approval gate (Section 14).</w:t>
      </w:r>
    </w:p>
    <w:p>
      <w:pPr>
        <w:pStyle w:val="Heading1"/>
        <w:spacing w:after="120" w:before="300"/>
      </w:pPr>
      <w:r>
        <w:t xml:space="preserve">9. Phase Dependency 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500"/>
      </w:tblGrid>
      <w:tr>
        <w:tc>
          <w:tcPr>
            <w:tcW w:type="dxa" w:w="3200"/>
            <w:shd w:fill="2F3B52" w:val="clear"/>
          </w:tcPr>
          <w:p>
            <w:r>
              <w:rPr>
                <w:b/>
                <w:bCs/>
                <w:color w:val="FFFFFF"/>
              </w:rPr>
              <w:t xml:space="preserve">Phase</w:t>
            </w:r>
          </w:p>
        </w:tc>
        <w:tc>
          <w:tcPr>
            <w:tcW w:type="dxa" w:w="2900"/>
            <w:shd w:fill="2F3B52" w:val="clear"/>
          </w:tcPr>
          <w:p>
            <w:r>
              <w:rPr>
                <w:b/>
                <w:bCs/>
                <w:color w:val="FFFFFF"/>
              </w:rPr>
              <w:t xml:space="preserve">Depends On</w:t>
            </w:r>
          </w:p>
        </w:tc>
        <w:tc>
          <w:tcPr>
            <w:tcW w:type="dxa" w:w="3500"/>
            <w:shd w:fill="2F3B52" w:val="clear"/>
          </w:tcPr>
          <w:p>
            <w:r>
              <w:rPr>
                <w:b/>
                <w:bCs/>
                <w:color w:val="FFFFFF"/>
              </w:rPr>
              <w:t xml:space="preserve">Can Run In Parallel With</w:t>
            </w:r>
          </w:p>
        </w:tc>
      </w:tr>
      <w:tr>
        <w:tc>
          <w:tcPr>
            <w:tcW w:type="dxa" w:w="3200"/>
          </w:tcPr>
          <w:p>
            <w:r>
              <w:rPr>
                <w:b w:val="false"/>
                <w:bCs w:val="false"/>
              </w:rPr>
              <w:t xml:space="preserve">Phase 0 — Canonical Acquisition</w:t>
            </w:r>
          </w:p>
        </w:tc>
        <w:tc>
          <w:tcPr>
            <w:tcW w:type="dxa" w:w="2900"/>
          </w:tcPr>
          <w:p>
            <w:r>
              <w:rPr>
                <w:b w:val="false"/>
                <w:bCs w:val="false"/>
              </w:rPr>
              <w:t xml:space="preserve">None</w:t>
            </w:r>
          </w:p>
        </w:tc>
        <w:tc>
          <w:tcPr>
            <w:tcW w:type="dxa" w:w="3500"/>
          </w:tcPr>
          <w:p>
            <w:r>
              <w:rPr>
                <w:b w:val="false"/>
                <w:bCs w:val="false"/>
              </w:rPr>
              <w:t xml:space="preserve">All other phases — start immediately</w:t>
            </w:r>
          </w:p>
        </w:tc>
      </w:tr>
      <w:tr>
        <w:tc>
          <w:tcPr>
            <w:tcW w:type="dxa" w:w="3200"/>
          </w:tcPr>
          <w:p>
            <w:r>
              <w:rPr>
                <w:b w:val="false"/>
                <w:bCs w:val="false"/>
              </w:rPr>
              <w:t xml:space="preserve">Phase 1 — Filename Normalization + Order Verification</w:t>
            </w:r>
          </w:p>
        </w:tc>
        <w:tc>
          <w:tcPr>
            <w:tcW w:type="dxa" w:w="2900"/>
          </w:tcPr>
          <w:p>
            <w:r>
              <w:rPr>
                <w:b w:val="false"/>
                <w:bCs w:val="false"/>
              </w:rPr>
              <w:t xml:space="preserve">None</w:t>
            </w:r>
          </w:p>
        </w:tc>
        <w:tc>
          <w:tcPr>
            <w:tcW w:type="dxa" w:w="3500"/>
          </w:tcPr>
          <w:p>
            <w:r>
              <w:rPr>
                <w:b w:val="false"/>
                <w:bCs w:val="false"/>
              </w:rPr>
              <w:t xml:space="preserve">Phase 0, Phase 5</w:t>
            </w:r>
          </w:p>
        </w:tc>
      </w:tr>
      <w:tr>
        <w:tc>
          <w:tcPr>
            <w:tcW w:type="dxa" w:w="3200"/>
          </w:tcPr>
          <w:p>
            <w:r>
              <w:rPr>
                <w:b w:val="false"/>
                <w:bCs w:val="false"/>
              </w:rPr>
              <w:t xml:space="preserve">Phase 2 — Duplicate Object Reconciliation</w:t>
            </w:r>
          </w:p>
        </w:tc>
        <w:tc>
          <w:tcPr>
            <w:tcW w:type="dxa" w:w="2900"/>
          </w:tcPr>
          <w:p>
            <w:r>
              <w:rPr>
                <w:b w:val="false"/>
                <w:bCs w:val="false"/>
              </w:rPr>
              <w:t xml:space="preserve">Phase 1</w:t>
            </w:r>
          </w:p>
        </w:tc>
        <w:tc>
          <w:tcPr>
            <w:tcW w:type="dxa" w:w="3500"/>
          </w:tcPr>
          <w:p>
            <w:r>
              <w:rPr>
                <w:b w:val="false"/>
                <w:bCs w:val="false"/>
              </w:rPr>
              <w:t xml:space="preserve">Phase 0, Phase 5</w:t>
            </w:r>
          </w:p>
        </w:tc>
      </w:tr>
      <w:tr>
        <w:tc>
          <w:tcPr>
            <w:tcW w:type="dxa" w:w="3200"/>
          </w:tcPr>
          <w:p>
            <w:r>
              <w:rPr>
                <w:b w:val="false"/>
                <w:bCs w:val="false"/>
              </w:rPr>
              <w:t xml:space="preserve">Phase 3 — Dependency + Runtime Reconciliation</w:t>
            </w:r>
          </w:p>
        </w:tc>
        <w:tc>
          <w:tcPr>
            <w:tcW w:type="dxa" w:w="2900"/>
          </w:tcPr>
          <w:p>
            <w:r>
              <w:rPr>
                <w:b w:val="false"/>
                <w:bCs w:val="false"/>
              </w:rPr>
              <w:t xml:space="preserve">Phase 1</w:t>
            </w:r>
          </w:p>
        </w:tc>
        <w:tc>
          <w:tcPr>
            <w:tcW w:type="dxa" w:w="3500"/>
          </w:tcPr>
          <w:p>
            <w:r>
              <w:rPr>
                <w:b w:val="false"/>
                <w:bCs w:val="false"/>
              </w:rPr>
              <w:t xml:space="preserve">Phase 0, Phase 5</w:t>
            </w:r>
          </w:p>
        </w:tc>
      </w:tr>
      <w:tr>
        <w:tc>
          <w:tcPr>
            <w:tcW w:type="dxa" w:w="3200"/>
          </w:tcPr>
          <w:p>
            <w:r>
              <w:rPr>
                <w:b w:val="false"/>
                <w:bCs w:val="false"/>
              </w:rPr>
              <w:t xml:space="preserve">Phase 4 — Seed Verification</w:t>
            </w:r>
          </w:p>
        </w:tc>
        <w:tc>
          <w:tcPr>
            <w:tcW w:type="dxa" w:w="2900"/>
          </w:tcPr>
          <w:p>
            <w:r>
              <w:rPr>
                <w:b w:val="false"/>
                <w:bCs w:val="false"/>
              </w:rPr>
              <w:t xml:space="preserve">Phase 2</w:t>
            </w:r>
          </w:p>
        </w:tc>
        <w:tc>
          <w:tcPr>
            <w:tcW w:type="dxa" w:w="3500"/>
          </w:tcPr>
          <w:p>
            <w:r>
              <w:rPr>
                <w:b w:val="false"/>
                <w:bCs w:val="false"/>
              </w:rPr>
              <w:t xml:space="preserve">Phase 0, Phase 3, Phase 5</w:t>
            </w:r>
          </w:p>
        </w:tc>
      </w:tr>
      <w:tr>
        <w:tc>
          <w:tcPr>
            <w:tcW w:type="dxa" w:w="3200"/>
          </w:tcPr>
          <w:p>
            <w:r>
              <w:rPr>
                <w:b w:val="false"/>
                <w:bCs w:val="false"/>
              </w:rPr>
              <w:t xml:space="preserve">Phase 5 — Repository Artifact Disposition</w:t>
            </w:r>
          </w:p>
        </w:tc>
        <w:tc>
          <w:tcPr>
            <w:tcW w:type="dxa" w:w="2900"/>
          </w:tcPr>
          <w:p>
            <w:r>
              <w:rPr>
                <w:b w:val="false"/>
                <w:bCs w:val="false"/>
              </w:rPr>
              <w:t xml:space="preserve">None</w:t>
            </w:r>
          </w:p>
        </w:tc>
        <w:tc>
          <w:tcPr>
            <w:tcW w:type="dxa" w:w="3500"/>
          </w:tcPr>
          <w:p>
            <w:r>
              <w:rPr>
                <w:b w:val="false"/>
                <w:bCs w:val="false"/>
              </w:rPr>
              <w:t xml:space="preserve">All phases</w:t>
            </w:r>
          </w:p>
        </w:tc>
      </w:tr>
      <w:tr>
        <w:tc>
          <w:tcPr>
            <w:tcW w:type="dxa" w:w="3200"/>
          </w:tcPr>
          <w:p>
            <w:r>
              <w:rPr>
                <w:b w:val="false"/>
                <w:bCs w:val="false"/>
              </w:rPr>
              <w:t xml:space="preserve">Phase 6 — Verification and Closure</w:t>
            </w:r>
          </w:p>
        </w:tc>
        <w:tc>
          <w:tcPr>
            <w:tcW w:type="dxa" w:w="2900"/>
          </w:tcPr>
          <w:p>
            <w:r>
              <w:rPr>
                <w:b w:val="false"/>
                <w:bCs w:val="false"/>
              </w:rPr>
              <w:t xml:space="preserve">Phases 1–5 (Phase 0 ideally, not strictly)</w:t>
            </w:r>
          </w:p>
        </w:tc>
        <w:tc>
          <w:tcPr>
            <w:tcW w:type="dxa" w:w="3500"/>
          </w:tcPr>
          <w:p>
            <w:r>
              <w:rPr>
                <w:b w:val="false"/>
                <w:bCs w:val="false"/>
              </w:rPr>
              <w:t xml:space="preserve">N/A — final gate</w:t>
            </w:r>
          </w:p>
        </w:tc>
      </w:tr>
    </w:tbl>
    <w:p>
      <w:pPr>
        <w:pStyle w:val="Heading1"/>
        <w:spacing w:after="120" w:before="300"/>
      </w:pPr>
      <w:r>
        <w:t xml:space="preserve">10. Verification Gate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00"/>
      </w:tblGrid>
      <w:tr>
        <w:tc>
          <w:tcPr>
            <w:tcW w:type="dxa" w:w="3000"/>
            <w:shd w:fill="2F3B52" w:val="clear"/>
          </w:tcPr>
          <w:p>
            <w:r>
              <w:rPr>
                <w:b/>
                <w:bCs/>
                <w:color w:val="FFFFFF"/>
              </w:rPr>
              <w:t xml:space="preserve">Gate</w:t>
            </w:r>
          </w:p>
        </w:tc>
        <w:tc>
          <w:tcPr>
            <w:tcW w:type="dxa" w:w="1800"/>
            <w:shd w:fill="2F3B52" w:val="clear"/>
          </w:tcPr>
          <w:p>
            <w:r>
              <w:rPr>
                <w:b/>
                <w:bCs/>
                <w:color w:val="FFFFFF"/>
              </w:rPr>
              <w:t xml:space="preserve">Applied At</w:t>
            </w:r>
          </w:p>
        </w:tc>
        <w:tc>
          <w:tcPr>
            <w:tcW w:type="dxa" w:w="4800"/>
            <w:shd w:fill="2F3B52" w:val="clear"/>
          </w:tcPr>
          <w:p>
            <w:r>
              <w:rPr>
                <w:b/>
                <w:bCs/>
                <w:color w:val="FFFFFF"/>
              </w:rPr>
              <w:t xml:space="preserve">Method</w:t>
            </w:r>
          </w:p>
        </w:tc>
      </w:tr>
      <w:tr>
        <w:tc>
          <w:tcPr>
            <w:tcW w:type="dxa" w:w="3000"/>
          </w:tcPr>
          <w:p>
            <w:r>
              <w:rPr>
                <w:b w:val="false"/>
                <w:bCs w:val="false"/>
              </w:rPr>
              <w:t xml:space="preserve">Migration validation</w:t>
            </w:r>
          </w:p>
        </w:tc>
        <w:tc>
          <w:tcPr>
            <w:tcW w:type="dxa" w:w="1800"/>
          </w:tcPr>
          <w:p>
            <w:r>
              <w:rPr>
                <w:b w:val="false"/>
                <w:bCs w:val="false"/>
              </w:rPr>
              <w:t xml:space="preserve">Phase 1</w:t>
            </w:r>
          </w:p>
        </w:tc>
        <w:tc>
          <w:tcPr>
            <w:tcW w:type="dxa" w:w="4800"/>
          </w:tcPr>
          <w:p>
            <w:r>
              <w:rPr>
                <w:b w:val="false"/>
                <w:bCs w:val="false"/>
              </w:rPr>
              <w:t xml:space="preserve">Dry-run supabase db reset against a disposable database</w:t>
            </w:r>
          </w:p>
        </w:tc>
      </w:tr>
      <w:tr>
        <w:tc>
          <w:tcPr>
            <w:tcW w:type="dxa" w:w="3000"/>
          </w:tcPr>
          <w:p>
            <w:r>
              <w:rPr>
                <w:b w:val="false"/>
                <w:bCs w:val="false"/>
              </w:rPr>
              <w:t xml:space="preserve">Execution validation</w:t>
            </w:r>
          </w:p>
        </w:tc>
        <w:tc>
          <w:tcPr>
            <w:tcW w:type="dxa" w:w="1800"/>
          </w:tcPr>
          <w:p>
            <w:r>
              <w:rPr>
                <w:b w:val="false"/>
                <w:bCs w:val="false"/>
              </w:rPr>
              <w:t xml:space="preserve">Phase 1, Phase 6</w:t>
            </w:r>
          </w:p>
        </w:tc>
        <w:tc>
          <w:tcPr>
            <w:tcW w:type="dxa" w:w="4800"/>
          </w:tcPr>
          <w:p>
            <w:r>
              <w:rPr>
                <w:b w:val="false"/>
                <w:bCs w:val="false"/>
              </w:rPr>
              <w:t xml:space="preserve">Observe full run-to-completion with no unhandled exceptions</w:t>
            </w:r>
          </w:p>
        </w:tc>
      </w:tr>
      <w:tr>
        <w:tc>
          <w:tcPr>
            <w:tcW w:type="dxa" w:w="3000"/>
          </w:tcPr>
          <w:p>
            <w:r>
              <w:rPr>
                <w:b w:val="false"/>
                <w:bCs w:val="false"/>
              </w:rPr>
              <w:t xml:space="preserve">Schema validation</w:t>
            </w:r>
          </w:p>
        </w:tc>
        <w:tc>
          <w:tcPr>
            <w:tcW w:type="dxa" w:w="1800"/>
          </w:tcPr>
          <w:p>
            <w:r>
              <w:rPr>
                <w:b w:val="false"/>
                <w:bCs w:val="false"/>
              </w:rPr>
              <w:t xml:space="preserve">Phase 2, Phase 6</w:t>
            </w:r>
          </w:p>
        </w:tc>
        <w:tc>
          <w:tcPr>
            <w:tcW w:type="dxa" w:w="4800"/>
          </w:tcPr>
          <w:p>
            <w:r>
              <w:rPr>
                <w:b w:val="false"/>
                <w:bCs w:val="false"/>
              </w:rPr>
              <w:t xml:space="preserve">Column-level comparison of resolved definitions vs. canonical artifact once available</w:t>
            </w:r>
          </w:p>
        </w:tc>
      </w:tr>
      <w:tr>
        <w:tc>
          <w:tcPr>
            <w:tcW w:type="dxa" w:w="3000"/>
          </w:tcPr>
          <w:p>
            <w:r>
              <w:rPr>
                <w:b w:val="false"/>
                <w:bCs w:val="false"/>
              </w:rPr>
              <w:t xml:space="preserve">Object validation</w:t>
            </w:r>
          </w:p>
        </w:tc>
        <w:tc>
          <w:tcPr>
            <w:tcW w:type="dxa" w:w="1800"/>
          </w:tcPr>
          <w:p>
            <w:r>
              <w:rPr>
                <w:b w:val="false"/>
                <w:bCs w:val="false"/>
              </w:rPr>
              <w:t xml:space="preserve">Phase 2</w:t>
            </w:r>
          </w:p>
        </w:tc>
        <w:tc>
          <w:tcPr>
            <w:tcW w:type="dxa" w:w="4800"/>
          </w:tcPr>
          <w:p>
            <w:r>
              <w:rPr>
                <w:b w:val="false"/>
                <w:bCs w:val="false"/>
              </w:rPr>
              <w:t xml:space="preserve">Confirm no undocumented duplicate object survives after resolution</w:t>
            </w:r>
          </w:p>
        </w:tc>
      </w:tr>
      <w:tr>
        <w:tc>
          <w:tcPr>
            <w:tcW w:type="dxa" w:w="3000"/>
          </w:tcPr>
          <w:p>
            <w:r>
              <w:rPr>
                <w:b w:val="false"/>
                <w:bCs w:val="false"/>
              </w:rPr>
              <w:t xml:space="preserve">Dependency validation</w:t>
            </w:r>
          </w:p>
        </w:tc>
        <w:tc>
          <w:tcPr>
            <w:tcW w:type="dxa" w:w="1800"/>
          </w:tcPr>
          <w:p>
            <w:r>
              <w:rPr>
                <w:b w:val="false"/>
                <w:bCs w:val="false"/>
              </w:rPr>
              <w:t xml:space="preserve">Phase 3</w:t>
            </w:r>
          </w:p>
        </w:tc>
        <w:tc>
          <w:tcPr>
            <w:tcW w:type="dxa" w:w="4800"/>
          </w:tcPr>
          <w:p>
            <w:r>
              <w:rPr>
                <w:b w:val="false"/>
                <w:bCs w:val="false"/>
              </w:rPr>
              <w:t xml:space="preserve">Confirm every F5/F9 reference resolves to a concrete artifact or documented exception</w:t>
            </w:r>
          </w:p>
        </w:tc>
      </w:tr>
      <w:tr>
        <w:tc>
          <w:tcPr>
            <w:tcW w:type="dxa" w:w="3000"/>
          </w:tcPr>
          <w:p>
            <w:r>
              <w:rPr>
                <w:b w:val="false"/>
                <w:bCs w:val="false"/>
              </w:rPr>
              <w:t xml:space="preserve">Trigger / function validation</w:t>
            </w:r>
          </w:p>
        </w:tc>
        <w:tc>
          <w:tcPr>
            <w:tcW w:type="dxa" w:w="1800"/>
          </w:tcPr>
          <w:p>
            <w:r>
              <w:rPr>
                <w:b w:val="false"/>
                <w:bCs w:val="false"/>
              </w:rPr>
              <w:t xml:space="preserve">Phase 3</w:t>
            </w:r>
          </w:p>
        </w:tc>
        <w:tc>
          <w:tcPr>
            <w:tcW w:type="dxa" w:w="4800"/>
          </w:tcPr>
          <w:p>
            <w:r>
              <w:rPr>
                <w:b w:val="false"/>
                <w:bCs w:val="false"/>
              </w:rPr>
              <w:t xml:space="preserve">Live pg_proc.proowner and pg_trigger inspection</w:t>
            </w:r>
          </w:p>
        </w:tc>
      </w:tr>
      <w:tr>
        <w:tc>
          <w:tcPr>
            <w:tcW w:type="dxa" w:w="3000"/>
          </w:tcPr>
          <w:p>
            <w:r>
              <w:rPr>
                <w:b w:val="false"/>
                <w:bCs w:val="false"/>
              </w:rPr>
              <w:t xml:space="preserve">Seed / idempotency validation</w:t>
            </w:r>
          </w:p>
        </w:tc>
        <w:tc>
          <w:tcPr>
            <w:tcW w:type="dxa" w:w="1800"/>
          </w:tcPr>
          <w:p>
            <w:r>
              <w:rPr>
                <w:b w:val="false"/>
                <w:bCs w:val="false"/>
              </w:rPr>
              <w:t xml:space="preserve">Phase 4</w:t>
            </w:r>
          </w:p>
        </w:tc>
        <w:tc>
          <w:tcPr>
            <w:tcW w:type="dxa" w:w="4800"/>
          </w:tcPr>
          <w:p>
            <w:r>
              <w:rPr>
                <w:b w:val="false"/>
                <w:bCs w:val="false"/>
              </w:rPr>
              <w:t xml:space="preserve">Dry-run seed execution; re-run same migration twice to confirm idempotency</w:t>
            </w:r>
          </w:p>
        </w:tc>
      </w:tr>
      <w:tr>
        <w:tc>
          <w:tcPr>
            <w:tcW w:type="dxa" w:w="3000"/>
          </w:tcPr>
          <w:p>
            <w:r>
              <w:rPr>
                <w:b w:val="false"/>
                <w:bCs w:val="false"/>
              </w:rPr>
              <w:t xml:space="preserve">Transaction validation</w:t>
            </w:r>
          </w:p>
        </w:tc>
        <w:tc>
          <w:tcPr>
            <w:tcW w:type="dxa" w:w="1800"/>
          </w:tcPr>
          <w:p>
            <w:r>
              <w:rPr>
                <w:b w:val="false"/>
                <w:bCs w:val="false"/>
              </w:rPr>
              <w:t xml:space="preserve">Phase 1, Phase 6</w:t>
            </w:r>
          </w:p>
        </w:tc>
        <w:tc>
          <w:tcPr>
            <w:tcW w:type="dxa" w:w="4800"/>
          </w:tcPr>
          <w:p>
            <w:r>
              <w:rPr>
                <w:b w:val="false"/>
                <w:bCs w:val="false"/>
              </w:rPr>
              <w:t xml:space="preserve">Confirm each migration file is atomic (wrapped in BEGIN/COMMIT) and fails cleanly if interrupted</w:t>
            </w:r>
          </w:p>
        </w:tc>
      </w:tr>
      <w:tr>
        <w:tc>
          <w:tcPr>
            <w:tcW w:type="dxa" w:w="3000"/>
          </w:tcPr>
          <w:p>
            <w:r>
              <w:rPr>
                <w:b w:val="false"/>
                <w:bCs w:val="false"/>
              </w:rPr>
              <w:t xml:space="preserve">Supabase compatibility validation</w:t>
            </w:r>
          </w:p>
        </w:tc>
        <w:tc>
          <w:tcPr>
            <w:tcW w:type="dxa" w:w="1800"/>
          </w:tcPr>
          <w:p>
            <w:r>
              <w:rPr>
                <w:b w:val="false"/>
                <w:bCs w:val="false"/>
              </w:rPr>
              <w:t xml:space="preserve">Phase 5</w:t>
            </w:r>
          </w:p>
        </w:tc>
        <w:tc>
          <w:tcPr>
            <w:tcW w:type="dxa" w:w="4800"/>
          </w:tcPr>
          <w:p>
            <w:r>
              <w:rPr>
                <w:b w:val="false"/>
                <w:bCs w:val="false"/>
              </w:rPr>
              <w:t xml:space="preserve">Confirm CLI recognizes double-extension and (if recovered) renamed extensionless files</w:t>
            </w:r>
          </w:p>
        </w:tc>
      </w:tr>
      <w:tr>
        <w:tc>
          <w:tcPr>
            <w:tcW w:type="dxa" w:w="3000"/>
          </w:tcPr>
          <w:p>
            <w:r>
              <w:rPr>
                <w:b w:val="false"/>
                <w:bCs w:val="false"/>
              </w:rPr>
              <w:t xml:space="preserve">Repository integrity validation</w:t>
            </w:r>
          </w:p>
        </w:tc>
        <w:tc>
          <w:tcPr>
            <w:tcW w:type="dxa" w:w="1800"/>
          </w:tcPr>
          <w:p>
            <w:r>
              <w:rPr>
                <w:b w:val="false"/>
                <w:bCs w:val="false"/>
              </w:rPr>
              <w:t xml:space="preserve">Phase 6</w:t>
            </w:r>
          </w:p>
        </w:tc>
        <w:tc>
          <w:tcPr>
            <w:tcW w:type="dxa" w:w="4800"/>
          </w:tcPr>
          <w:p>
            <w:r>
              <w:rPr>
                <w:b w:val="false"/>
                <w:bCs w:val="false"/>
              </w:rPr>
              <w:t xml:space="preserve">Final full-chain dry run plus diff against canonical artifact</w:t>
            </w:r>
          </w:p>
        </w:tc>
      </w:tr>
    </w:tbl>
    <w:p>
      <w:pPr>
        <w:pStyle w:val="Heading1"/>
        <w:spacing w:after="120" w:before="300"/>
      </w:pPr>
      <w:r>
        <w:t xml:space="preserve">11. Rollback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1300"/>
        <w:gridCol w:w="1300"/>
        <w:gridCol w:w="1600"/>
      </w:tblGrid>
      <w:tr>
        <w:tc>
          <w:tcPr>
            <w:tcW w:type="dxa" w:w="1000"/>
            <w:shd w:fill="2F3B52" w:val="clear"/>
          </w:tcPr>
          <w:p>
            <w:r>
              <w:rPr>
                <w:b/>
                <w:bCs/>
                <w:color w:val="FFFFFF"/>
              </w:rPr>
              <w:t xml:space="preserve">Phase</w:t>
            </w:r>
          </w:p>
        </w:tc>
        <w:tc>
          <w:tcPr>
            <w:tcW w:type="dxa" w:w="2600"/>
            <w:shd w:fill="2F3B52" w:val="clear"/>
          </w:tcPr>
          <w:p>
            <w:r>
              <w:rPr>
                <w:b/>
                <w:bCs/>
                <w:color w:val="FFFFFF"/>
              </w:rPr>
              <w:t xml:space="preserve">Rollback Boundary</w:t>
            </w:r>
          </w:p>
        </w:tc>
        <w:tc>
          <w:tcPr>
            <w:tcW w:type="dxa" w:w="1800"/>
            <w:shd w:fill="2F3B52" w:val="clear"/>
          </w:tcPr>
          <w:p>
            <w:r>
              <w:rPr>
                <w:b/>
                <w:bCs/>
                <w:color w:val="FFFFFF"/>
              </w:rPr>
              <w:t xml:space="preserve">Prerequisites</w:t>
            </w:r>
          </w:p>
        </w:tc>
        <w:tc>
          <w:tcPr>
            <w:tcW w:type="dxa" w:w="1300"/>
            <w:shd w:fill="2F3B52" w:val="clear"/>
          </w:tcPr>
          <w:p>
            <w:r>
              <w:rPr>
                <w:b/>
                <w:bCs/>
                <w:color w:val="FFFFFF"/>
              </w:rPr>
              <w:t xml:space="preserve">Complexity</w:t>
            </w:r>
          </w:p>
        </w:tc>
        <w:tc>
          <w:tcPr>
            <w:tcW w:type="dxa" w:w="1300"/>
            <w:shd w:fill="2F3B52" w:val="clear"/>
          </w:tcPr>
          <w:p>
            <w:r>
              <w:rPr>
                <w:b/>
                <w:bCs/>
                <w:color w:val="FFFFFF"/>
              </w:rPr>
              <w:t xml:space="preserve">Risk</w:t>
            </w:r>
          </w:p>
        </w:tc>
        <w:tc>
          <w:tcPr>
            <w:tcW w:type="dxa" w:w="1600"/>
            <w:shd w:fill="2F3B52" w:val="clear"/>
          </w:tcPr>
          <w:p>
            <w:r>
              <w:rPr>
                <w:b/>
                <w:bCs/>
                <w:color w:val="FFFFFF"/>
              </w:rPr>
              <w:t xml:space="preserve">Confidence</w:t>
            </w:r>
          </w:p>
        </w:tc>
      </w:tr>
      <w:tr>
        <w:tc>
          <w:tcPr>
            <w:tcW w:type="dxa" w:w="1000"/>
          </w:tcPr>
          <w:p>
            <w:r>
              <w:rPr>
                <w:b w:val="false"/>
                <w:bCs w:val="false"/>
              </w:rPr>
              <w:t xml:space="preserve">Phase 1</w:t>
            </w:r>
          </w:p>
        </w:tc>
        <w:tc>
          <w:tcPr>
            <w:tcW w:type="dxa" w:w="2600"/>
          </w:tcPr>
          <w:p>
            <w:r>
              <w:rPr>
                <w:b w:val="false"/>
                <w:bCs w:val="false"/>
              </w:rPr>
              <w:t xml:space="preserve">Filename changes only — no schema state changed until dry run</w:t>
            </w:r>
          </w:p>
        </w:tc>
        <w:tc>
          <w:tcPr>
            <w:tcW w:type="dxa" w:w="1800"/>
          </w:tcPr>
          <w:p>
            <w:r>
              <w:rPr>
                <w:b w:val="false"/>
                <w:bCs w:val="false"/>
              </w:rPr>
              <w:t xml:space="preserve">git history intact</w:t>
            </w:r>
          </w:p>
        </w:tc>
        <w:tc>
          <w:tcPr>
            <w:tcW w:type="dxa" w:w="1300"/>
          </w:tcPr>
          <w:p>
            <w:r>
              <w:rPr>
                <w:b w:val="false"/>
                <w:bCs w:val="false"/>
              </w:rPr>
              <w:t xml:space="preserve">Trivial</w:t>
            </w:r>
          </w:p>
        </w:tc>
        <w:tc>
          <w:tcPr>
            <w:tcW w:type="dxa" w:w="1300"/>
          </w:tcPr>
          <w:p>
            <w:r>
              <w:rPr>
                <w:b w:val="false"/>
                <w:bCs w:val="false"/>
              </w:rPr>
              <w:t xml:space="preserve">Low</w:t>
            </w:r>
          </w:p>
        </w:tc>
        <w:tc>
          <w:tcPr>
            <w:tcW w:type="dxa" w:w="1600"/>
          </w:tcPr>
          <w:p>
            <w:r>
              <w:rPr>
                <w:b w:val="false"/>
                <w:bCs w:val="false"/>
              </w:rPr>
              <w:t xml:space="preserve">High</w:t>
            </w:r>
          </w:p>
        </w:tc>
      </w:tr>
      <w:tr>
        <w:tc>
          <w:tcPr>
            <w:tcW w:type="dxa" w:w="1000"/>
          </w:tcPr>
          <w:p>
            <w:r>
              <w:rPr>
                <w:b w:val="false"/>
                <w:bCs w:val="false"/>
              </w:rPr>
              <w:t xml:space="preserve">Phase 2</w:t>
            </w:r>
          </w:p>
        </w:tc>
        <w:tc>
          <w:tcPr>
            <w:tcW w:type="dxa" w:w="2600"/>
          </w:tcPr>
          <w:p>
            <w:r>
              <w:rPr>
                <w:b w:val="false"/>
                <w:bCs w:val="false"/>
              </w:rPr>
              <w:t xml:space="preserve">Documentation of authoritative definition only at this planning stage</w:t>
            </w:r>
          </w:p>
        </w:tc>
        <w:tc>
          <w:tcPr>
            <w:tcW w:type="dxa" w:w="1800"/>
          </w:tcPr>
          <w:p>
            <w:r>
              <w:rPr>
                <w:b w:val="false"/>
                <w:bCs w:val="false"/>
              </w:rPr>
              <w:t xml:space="preserve">None (no migration authored yet)</w:t>
            </w:r>
          </w:p>
        </w:tc>
        <w:tc>
          <w:tcPr>
            <w:tcW w:type="dxa" w:w="1300"/>
          </w:tcPr>
          <w:p>
            <w:r>
              <w:rPr>
                <w:b w:val="false"/>
                <w:bCs w:val="false"/>
              </w:rPr>
              <w:t xml:space="preserve">Trivial</w:t>
            </w:r>
          </w:p>
        </w:tc>
        <w:tc>
          <w:tcPr>
            <w:tcW w:type="dxa" w:w="1300"/>
          </w:tcPr>
          <w:p>
            <w:r>
              <w:rPr>
                <w:b w:val="false"/>
                <w:bCs w:val="false"/>
              </w:rPr>
              <w:t xml:space="preserve">Low</w:t>
            </w:r>
          </w:p>
        </w:tc>
        <w:tc>
          <w:tcPr>
            <w:tcW w:type="dxa" w:w="1600"/>
          </w:tcPr>
          <w:p>
            <w:r>
              <w:rPr>
                <w:b w:val="false"/>
                <w:bCs w:val="false"/>
              </w:rPr>
              <w:t xml:space="preserve">High</w:t>
            </w:r>
          </w:p>
        </w:tc>
      </w:tr>
      <w:tr>
        <w:tc>
          <w:tcPr>
            <w:tcW w:type="dxa" w:w="1000"/>
          </w:tcPr>
          <w:p>
            <w:r>
              <w:rPr>
                <w:b w:val="false"/>
                <w:bCs w:val="false"/>
              </w:rPr>
              <w:t xml:space="preserve">Phase 3</w:t>
            </w:r>
          </w:p>
        </w:tc>
        <w:tc>
          <w:tcPr>
            <w:tcW w:type="dxa" w:w="2600"/>
          </w:tcPr>
          <w:p>
            <w:r>
              <w:rPr>
                <w:b w:val="false"/>
                <w:bCs w:val="false"/>
              </w:rPr>
              <w:t xml:space="preserve">Read-only runtime inspection — nothing to roll back</w:t>
            </w:r>
          </w:p>
        </w:tc>
        <w:tc>
          <w:tcPr>
            <w:tcW w:type="dxa" w:w="1800"/>
          </w:tcPr>
          <w:p>
            <w:r>
              <w:rPr>
                <w:b w:val="false"/>
                <w:bCs w:val="false"/>
              </w:rPr>
              <w:t xml:space="preserve">None</w:t>
            </w:r>
          </w:p>
        </w:tc>
        <w:tc>
          <w:tcPr>
            <w:tcW w:type="dxa" w:w="1300"/>
          </w:tcPr>
          <w:p>
            <w:r>
              <w:rPr>
                <w:b w:val="false"/>
                <w:bCs w:val="false"/>
              </w:rPr>
              <w:t xml:space="preserve">N/A</w:t>
            </w:r>
          </w:p>
        </w:tc>
        <w:tc>
          <w:tcPr>
            <w:tcW w:type="dxa" w:w="1300"/>
          </w:tcPr>
          <w:p>
            <w:r>
              <w:rPr>
                <w:b w:val="false"/>
                <w:bCs w:val="false"/>
              </w:rPr>
              <w:t xml:space="preserve">None</w:t>
            </w:r>
          </w:p>
        </w:tc>
        <w:tc>
          <w:tcPr>
            <w:tcW w:type="dxa" w:w="1600"/>
          </w:tcPr>
          <w:p>
            <w:r>
              <w:rPr>
                <w:b w:val="false"/>
                <w:bCs w:val="false"/>
              </w:rPr>
              <w:t xml:space="preserve">High</w:t>
            </w:r>
          </w:p>
        </w:tc>
      </w:tr>
      <w:tr>
        <w:tc>
          <w:tcPr>
            <w:tcW w:type="dxa" w:w="1000"/>
          </w:tcPr>
          <w:p>
            <w:r>
              <w:rPr>
                <w:b w:val="false"/>
                <w:bCs w:val="false"/>
              </w:rPr>
              <w:t xml:space="preserve">Phase 4</w:t>
            </w:r>
          </w:p>
        </w:tc>
        <w:tc>
          <w:tcPr>
            <w:tcW w:type="dxa" w:w="2600"/>
          </w:tcPr>
          <w:p>
            <w:r>
              <w:rPr>
                <w:b w:val="false"/>
                <w:bCs w:val="false"/>
              </w:rPr>
              <w:t xml:space="preserve">Dry-run in disposable environment only</w:t>
            </w:r>
          </w:p>
        </w:tc>
        <w:tc>
          <w:tcPr>
            <w:tcW w:type="dxa" w:w="1800"/>
          </w:tcPr>
          <w:p>
            <w:r>
              <w:rPr>
                <w:b w:val="false"/>
                <w:bCs w:val="false"/>
              </w:rPr>
              <w:t xml:space="preserve">Disposable environment discarded after test</w:t>
            </w:r>
          </w:p>
        </w:tc>
        <w:tc>
          <w:tcPr>
            <w:tcW w:type="dxa" w:w="1300"/>
          </w:tcPr>
          <w:p>
            <w:r>
              <w:rPr>
                <w:b w:val="false"/>
                <w:bCs w:val="false"/>
              </w:rPr>
              <w:t xml:space="preserve">Trivial</w:t>
            </w:r>
          </w:p>
        </w:tc>
        <w:tc>
          <w:tcPr>
            <w:tcW w:type="dxa" w:w="1300"/>
          </w:tcPr>
          <w:p>
            <w:r>
              <w:rPr>
                <w:b w:val="false"/>
                <w:bCs w:val="false"/>
              </w:rPr>
              <w:t xml:space="preserve">Low</w:t>
            </w:r>
          </w:p>
        </w:tc>
        <w:tc>
          <w:tcPr>
            <w:tcW w:type="dxa" w:w="1600"/>
          </w:tcPr>
          <w:p>
            <w:r>
              <w:rPr>
                <w:b w:val="false"/>
                <w:bCs w:val="false"/>
              </w:rPr>
              <w:t xml:space="preserve">High</w:t>
            </w:r>
          </w:p>
        </w:tc>
      </w:tr>
      <w:tr>
        <w:tc>
          <w:tcPr>
            <w:tcW w:type="dxa" w:w="1000"/>
          </w:tcPr>
          <w:p>
            <w:r>
              <w:rPr>
                <w:b w:val="false"/>
                <w:bCs w:val="false"/>
              </w:rPr>
              <w:t xml:space="preserve">Phase 5</w:t>
            </w:r>
          </w:p>
        </w:tc>
        <w:tc>
          <w:tcPr>
            <w:tcW w:type="dxa" w:w="2600"/>
          </w:tcPr>
          <w:p>
            <w:r>
              <w:rPr>
                <w:b w:val="false"/>
                <w:bCs w:val="false"/>
              </w:rPr>
              <w:t xml:space="preserve">Decision/documentation only unless file is actually recovered into the chain</w:t>
            </w:r>
          </w:p>
        </w:tc>
        <w:tc>
          <w:tcPr>
            <w:tcW w:type="dxa" w:w="1800"/>
          </w:tcPr>
          <w:p>
            <w:r>
              <w:rPr>
                <w:b w:val="false"/>
                <w:bCs w:val="false"/>
              </w:rPr>
              <w:t xml:space="preserve">If recovered: same as Phase 1</w:t>
            </w:r>
          </w:p>
        </w:tc>
        <w:tc>
          <w:tcPr>
            <w:tcW w:type="dxa" w:w="1300"/>
          </w:tcPr>
          <w:p>
            <w:r>
              <w:rPr>
                <w:b w:val="false"/>
                <w:bCs w:val="false"/>
              </w:rPr>
              <w:t xml:space="preserve">Trivial–Low</w:t>
            </w:r>
          </w:p>
        </w:tc>
        <w:tc>
          <w:tcPr>
            <w:tcW w:type="dxa" w:w="1300"/>
          </w:tcPr>
          <w:p>
            <w:r>
              <w:rPr>
                <w:b w:val="false"/>
                <w:bCs w:val="false"/>
              </w:rPr>
              <w:t xml:space="preserve">Low</w:t>
            </w:r>
          </w:p>
        </w:tc>
        <w:tc>
          <w:tcPr>
            <w:tcW w:type="dxa" w:w="1600"/>
          </w:tcPr>
          <w:p>
            <w:r>
              <w:rPr>
                <w:b w:val="false"/>
                <w:bCs w:val="false"/>
              </w:rPr>
              <w:t xml:space="preserve">High</w:t>
            </w:r>
          </w:p>
        </w:tc>
      </w:tr>
      <w:tr>
        <w:tc>
          <w:tcPr>
            <w:tcW w:type="dxa" w:w="1000"/>
          </w:tcPr>
          <w:p>
            <w:r>
              <w:rPr>
                <w:b w:val="false"/>
                <w:bCs w:val="false"/>
              </w:rPr>
              <w:t xml:space="preserve">Phase 6</w:t>
            </w:r>
          </w:p>
        </w:tc>
        <w:tc>
          <w:tcPr>
            <w:tcW w:type="dxa" w:w="2600"/>
          </w:tcPr>
          <w:p>
            <w:r>
              <w:rPr>
                <w:b w:val="false"/>
                <w:bCs w:val="false"/>
              </w:rPr>
              <w:t xml:space="preserve">Full-chain dry run in disposable environment; no production system touched by this plan</w:t>
            </w:r>
          </w:p>
        </w:tc>
        <w:tc>
          <w:tcPr>
            <w:tcW w:type="dxa" w:w="1800"/>
          </w:tcPr>
          <w:p>
            <w:r>
              <w:rPr>
                <w:b w:val="false"/>
                <w:bCs w:val="false"/>
              </w:rPr>
              <w:t xml:space="preserve">Disposable environment</w:t>
            </w:r>
          </w:p>
        </w:tc>
        <w:tc>
          <w:tcPr>
            <w:tcW w:type="dxa" w:w="1300"/>
          </w:tcPr>
          <w:p>
            <w:r>
              <w:rPr>
                <w:b w:val="false"/>
                <w:bCs w:val="false"/>
              </w:rPr>
              <w:t xml:space="preserve">Low</w:t>
            </w:r>
          </w:p>
        </w:tc>
        <w:tc>
          <w:tcPr>
            <w:tcW w:type="dxa" w:w="1300"/>
          </w:tcPr>
          <w:p>
            <w:r>
              <w:rPr>
                <w:b w:val="false"/>
                <w:bCs w:val="false"/>
              </w:rPr>
              <w:t xml:space="preserve">Low</w:t>
            </w:r>
          </w:p>
        </w:tc>
        <w:tc>
          <w:tcPr>
            <w:tcW w:type="dxa" w:w="1600"/>
          </w:tcPr>
          <w:p>
            <w:r>
              <w:rPr>
                <w:b w:val="false"/>
                <w:bCs w:val="false"/>
              </w:rPr>
              <w:t xml:space="preserve">Medium — depends on Phase 0 completion for full confidence</w:t>
            </w:r>
          </w:p>
        </w:tc>
      </w:tr>
    </w:tbl>
    <w:p>
      <w:pPr>
        <w:spacing w:after="140"/>
      </w:pPr>
      <w:r>
        <w:t xml:space="preserve">Note: because this work package and every phase it defines are verification/planning-only (no live migration authoring), rollback risk across the board is low. The real rollback complexity belongs to the future WP-DB-01A implementation batch, once actual SQL changes are authored — this plan defers that assessment to that stage, consistent with not proposing implementation here.</w:t>
      </w:r>
    </w:p>
    <w:p>
      <w:pPr>
        <w:pStyle w:val="Heading1"/>
        <w:spacing w:after="120" w:before="300"/>
      </w:pPr>
      <w:r>
        <w:t xml:space="preserve">12. Risk Assessment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00"/>
      </w:tblGrid>
      <w:tr>
        <w:tc>
          <w:tcPr>
            <w:tcW w:type="dxa" w:w="2400"/>
            <w:shd w:fill="2F3B52" w:val="clear"/>
          </w:tcPr>
          <w:p>
            <w:r>
              <w:rPr>
                <w:b/>
                <w:bCs/>
                <w:color w:val="FFFFFF"/>
              </w:rPr>
              <w:t xml:space="preserve">Risk Class</w:t>
            </w:r>
          </w:p>
        </w:tc>
        <w:tc>
          <w:tcPr>
            <w:tcW w:type="dxa" w:w="1400"/>
            <w:shd w:fill="2F3B52" w:val="clear"/>
          </w:tcPr>
          <w:p>
            <w:r>
              <w:rPr>
                <w:b/>
                <w:bCs/>
                <w:color w:val="FFFFFF"/>
              </w:rPr>
              <w:t xml:space="preserve">Rating</w:t>
            </w:r>
          </w:p>
        </w:tc>
        <w:tc>
          <w:tcPr>
            <w:tcW w:type="dxa" w:w="5800"/>
            <w:shd w:fill="2F3B52" w:val="clear"/>
          </w:tcPr>
          <w:p>
            <w:r>
              <w:rPr>
                <w:b/>
                <w:bCs/>
                <w:color w:val="FFFFFF"/>
              </w:rPr>
              <w:t xml:space="preserve">Reasoning</w:t>
            </w:r>
          </w:p>
        </w:tc>
      </w:tr>
      <w:tr>
        <w:tc>
          <w:tcPr>
            <w:tcW w:type="dxa" w:w="2400"/>
          </w:tcPr>
          <w:p>
            <w:r>
              <w:rPr>
                <w:b w:val="false"/>
                <w:bCs w:val="false"/>
              </w:rPr>
              <w:t xml:space="preserve">Migration Risk</w:t>
            </w:r>
          </w:p>
        </w:tc>
        <w:tc>
          <w:tcPr>
            <w:tcW w:type="dxa" w:w="1400"/>
          </w:tcPr>
          <w:p>
            <w:r>
              <w:rPr>
                <w:b w:val="false"/>
                <w:bCs w:val="false"/>
              </w:rPr>
              <w:t xml:space="preserve">High</w:t>
            </w:r>
          </w:p>
        </w:tc>
        <w:tc>
          <w:tcPr>
            <w:tcW w:type="dxa" w:w="5800"/>
          </w:tcPr>
          <w:p>
            <w:r>
              <w:rPr>
                <w:b w:val="false"/>
                <w:bCs w:val="false"/>
              </w:rPr>
              <w:t xml:space="preserve">F1/F2/F3 mean the chain does not currently reconstruct correctly at all — this is the platform's actual current state, not a hypothetical</w:t>
            </w:r>
          </w:p>
        </w:tc>
      </w:tr>
      <w:tr>
        <w:tc>
          <w:tcPr>
            <w:tcW w:type="dxa" w:w="2400"/>
          </w:tcPr>
          <w:p>
            <w:r>
              <w:rPr>
                <w:b w:val="false"/>
                <w:bCs w:val="false"/>
              </w:rPr>
              <w:t xml:space="preserve">Dependency Risk</w:t>
            </w:r>
          </w:p>
        </w:tc>
        <w:tc>
          <w:tcPr>
            <w:tcW w:type="dxa" w:w="1400"/>
          </w:tcPr>
          <w:p>
            <w:r>
              <w:rPr>
                <w:b w:val="false"/>
                <w:bCs w:val="false"/>
              </w:rPr>
              <w:t xml:space="preserve">High</w:t>
            </w:r>
          </w:p>
        </w:tc>
        <w:tc>
          <w:tcPr>
            <w:tcW w:type="dxa" w:w="5800"/>
          </w:tcPr>
          <w:p>
            <w:r>
              <w:rPr>
                <w:b w:val="false"/>
                <w:bCs w:val="false"/>
              </w:rPr>
              <w:t xml:space="preserve">Phantom-dependency pattern (F5) shows this has happened before and was worked around informally rather than resolved</w:t>
            </w:r>
          </w:p>
        </w:tc>
      </w:tr>
      <w:tr>
        <w:tc>
          <w:tcPr>
            <w:tcW w:type="dxa" w:w="2400"/>
          </w:tcPr>
          <w:p>
            <w:r>
              <w:rPr>
                <w:b w:val="false"/>
                <w:bCs w:val="false"/>
              </w:rPr>
              <w:t xml:space="preserve">Ordering Risk</w:t>
            </w:r>
          </w:p>
        </w:tc>
        <w:tc>
          <w:tcPr>
            <w:tcW w:type="dxa" w:w="1400"/>
          </w:tcPr>
          <w:p>
            <w:r>
              <w:rPr>
                <w:b w:val="false"/>
                <w:bCs w:val="false"/>
              </w:rPr>
              <w:t xml:space="preserve">Critical</w:t>
            </w:r>
          </w:p>
        </w:tc>
        <w:tc>
          <w:tcPr>
            <w:tcW w:type="dxa" w:w="5800"/>
          </w:tcPr>
          <w:p>
            <w:r>
              <w:rPr>
                <w:b w:val="false"/>
                <w:bCs w:val="false"/>
              </w:rPr>
              <w:t xml:space="preserve">Confirmed, reproducible halt (F1) — highest-confidence finding across all five prior reports</w:t>
            </w:r>
          </w:p>
        </w:tc>
      </w:tr>
      <w:tr>
        <w:tc>
          <w:tcPr>
            <w:tcW w:type="dxa" w:w="2400"/>
          </w:tcPr>
          <w:p>
            <w:r>
              <w:rPr>
                <w:b w:val="false"/>
                <w:bCs w:val="false"/>
              </w:rPr>
              <w:t xml:space="preserve">Schema Risk</w:t>
            </w:r>
          </w:p>
        </w:tc>
        <w:tc>
          <w:tcPr>
            <w:tcW w:type="dxa" w:w="1400"/>
          </w:tcPr>
          <w:p>
            <w:r>
              <w:rPr>
                <w:b w:val="false"/>
                <w:bCs w:val="false"/>
              </w:rPr>
              <w:t xml:space="preserve">Medium</w:t>
            </w:r>
          </w:p>
        </w:tc>
        <w:tc>
          <w:tcPr>
            <w:tcW w:type="dxa" w:w="5800"/>
          </w:tcPr>
          <w:p>
            <w:r>
              <w:rPr>
                <w:b w:val="false"/>
                <w:bCs w:val="false"/>
              </w:rPr>
              <w:t xml:space="preserve">Duplicate-but-compatible tables (F4) are currently low-impact; the two incompatible duplicates (F3) are the real exposure</w:t>
            </w:r>
          </w:p>
        </w:tc>
      </w:tr>
      <w:tr>
        <w:tc>
          <w:tcPr>
            <w:tcW w:type="dxa" w:w="2400"/>
          </w:tcPr>
          <w:p>
            <w:r>
              <w:rPr>
                <w:b w:val="false"/>
                <w:bCs w:val="false"/>
              </w:rPr>
              <w:t xml:space="preserve">Data Integrity Risk</w:t>
            </w:r>
          </w:p>
        </w:tc>
        <w:tc>
          <w:tcPr>
            <w:tcW w:type="dxa" w:w="1400"/>
          </w:tcPr>
          <w:p>
            <w:r>
              <w:rPr>
                <w:b w:val="false"/>
                <w:bCs w:val="false"/>
              </w:rPr>
              <w:t xml:space="preserve">Medium</w:t>
            </w:r>
          </w:p>
        </w:tc>
        <w:tc>
          <w:tcPr>
            <w:tcW w:type="dxa" w:w="5800"/>
          </w:tcPr>
          <w:p>
            <w:r>
              <w:rPr>
                <w:b w:val="false"/>
                <w:bCs w:val="false"/>
              </w:rPr>
              <w:t xml:space="preserve">F10's seed depends on which schema variant wins — a silent data-shape mismatch is possible if unresolved</w:t>
            </w:r>
          </w:p>
        </w:tc>
      </w:tr>
      <w:tr>
        <w:tc>
          <w:tcPr>
            <w:tcW w:type="dxa" w:w="2400"/>
          </w:tcPr>
          <w:p>
            <w:r>
              <w:rPr>
                <w:b w:val="false"/>
                <w:bCs w:val="false"/>
              </w:rPr>
              <w:t xml:space="preserve">Repository Risk</w:t>
            </w:r>
          </w:p>
        </w:tc>
        <w:tc>
          <w:tcPr>
            <w:tcW w:type="dxa" w:w="1400"/>
          </w:tcPr>
          <w:p>
            <w:r>
              <w:rPr>
                <w:b w:val="false"/>
                <w:bCs w:val="false"/>
              </w:rPr>
              <w:t xml:space="preserve">Medium</w:t>
            </w:r>
          </w:p>
        </w:tc>
        <w:tc>
          <w:tcPr>
            <w:tcW w:type="dxa" w:w="5800"/>
          </w:tcPr>
          <w:p>
            <w:r>
              <w:rPr>
                <w:b w:val="false"/>
                <w:bCs w:val="false"/>
              </w:rPr>
              <w:t xml:space="preserve">F8's extensionless file may mean a governance correction has never actually run in any environment</w:t>
            </w:r>
          </w:p>
        </w:tc>
      </w:tr>
      <w:tr>
        <w:tc>
          <w:tcPr>
            <w:tcW w:type="dxa" w:w="2400"/>
          </w:tcPr>
          <w:p>
            <w:r>
              <w:rPr>
                <w:b w:val="false"/>
                <w:bCs w:val="false"/>
              </w:rPr>
              <w:t xml:space="preserve">Verification Risk</w:t>
            </w:r>
          </w:p>
        </w:tc>
        <w:tc>
          <w:tcPr>
            <w:tcW w:type="dxa" w:w="1400"/>
          </w:tcPr>
          <w:p>
            <w:r>
              <w:rPr>
                <w:b w:val="false"/>
                <w:bCs w:val="false"/>
              </w:rPr>
              <w:t xml:space="preserve">Medium</w:t>
            </w:r>
          </w:p>
        </w:tc>
        <w:tc>
          <w:tcPr>
            <w:tcW w:type="dxa" w:w="5800"/>
          </w:tcPr>
          <w:p>
            <w:r>
              <w:rPr>
                <w:b w:val="false"/>
                <w:bCs w:val="false"/>
              </w:rPr>
              <w:t xml:space="preserve">F6/F9 require live database access this planning stage does not have — genuine unknowns, not just unaddressed</w:t>
            </w:r>
          </w:p>
        </w:tc>
      </w:tr>
      <w:tr>
        <w:tc>
          <w:tcPr>
            <w:tcW w:type="dxa" w:w="2400"/>
          </w:tcPr>
          <w:p>
            <w:r>
              <w:rPr>
                <w:b w:val="false"/>
                <w:bCs w:val="false"/>
              </w:rPr>
              <w:t xml:space="preserve">Rollback Risk</w:t>
            </w:r>
          </w:p>
        </w:tc>
        <w:tc>
          <w:tcPr>
            <w:tcW w:type="dxa" w:w="1400"/>
          </w:tcPr>
          <w:p>
            <w:r>
              <w:rPr>
                <w:b w:val="false"/>
                <w:bCs w:val="false"/>
              </w:rPr>
              <w:t xml:space="preserve">Low</w:t>
            </w:r>
          </w:p>
        </w:tc>
        <w:tc>
          <w:tcPr>
            <w:tcW w:type="dxa" w:w="5800"/>
          </w:tcPr>
          <w:p>
            <w:r>
              <w:rPr>
                <w:b w:val="false"/>
                <w:bCs w:val="false"/>
              </w:rPr>
              <w:t xml:space="preserve">All planned phases in this work package are verification/documentation only (Section 11)</w:t>
            </w:r>
          </w:p>
        </w:tc>
      </w:tr>
      <w:tr>
        <w:tc>
          <w:tcPr>
            <w:tcW w:type="dxa" w:w="2400"/>
          </w:tcPr>
          <w:p>
            <w:r>
              <w:rPr>
                <w:b w:val="false"/>
                <w:bCs w:val="false"/>
              </w:rPr>
              <w:t xml:space="preserve">Regression Risk</w:t>
            </w:r>
          </w:p>
        </w:tc>
        <w:tc>
          <w:tcPr>
            <w:tcW w:type="dxa" w:w="1400"/>
          </w:tcPr>
          <w:p>
            <w:r>
              <w:rPr>
                <w:b w:val="false"/>
                <w:bCs w:val="false"/>
              </w:rPr>
              <w:t xml:space="preserve">Low (for this WP) / Unknown (for WP-DB-01A)</w:t>
            </w:r>
          </w:p>
        </w:tc>
        <w:tc>
          <w:tcPr>
            <w:tcW w:type="dxa" w:w="5800"/>
          </w:tcPr>
          <w:p>
            <w:r>
              <w:rPr>
                <w:b w:val="false"/>
                <w:bCs w:val="false"/>
              </w:rPr>
              <w:t xml:space="preserve">This report authors no code; regression risk belongs to the implementation batch that follows</w:t>
            </w:r>
          </w:p>
        </w:tc>
      </w:tr>
      <w:tr>
        <w:tc>
          <w:tcPr>
            <w:tcW w:type="dxa" w:w="2400"/>
          </w:tcPr>
          <w:p>
            <w:r>
              <w:rPr>
                <w:b w:val="false"/>
                <w:bCs w:val="false"/>
              </w:rPr>
              <w:t xml:space="preserve">Operational Risk</w:t>
            </w:r>
          </w:p>
        </w:tc>
        <w:tc>
          <w:tcPr>
            <w:tcW w:type="dxa" w:w="1400"/>
          </w:tcPr>
          <w:p>
            <w:r>
              <w:rPr>
                <w:b w:val="false"/>
                <w:bCs w:val="false"/>
              </w:rPr>
              <w:t xml:space="preserve">Medium</w:t>
            </w:r>
          </w:p>
        </w:tc>
        <w:tc>
          <w:tcPr>
            <w:tcW w:type="dxa" w:w="5800"/>
          </w:tcPr>
          <w:p>
            <w:r>
              <w:rPr>
                <w:b w:val="false"/>
                <w:bCs w:val="false"/>
              </w:rPr>
              <w:t xml:space="preserve">F7's dual handle_new_user()/profiles RLS definition is a live, user-facing signup path — highest real-world exposure of any single finding</w:t>
            </w:r>
          </w:p>
        </w:tc>
      </w:tr>
      <w:tr>
        <w:tc>
          <w:tcPr>
            <w:tcW w:type="dxa" w:w="2400"/>
          </w:tcPr>
          <w:p>
            <w:r>
              <w:rPr>
                <w:b w:val="false"/>
                <w:bCs w:val="false"/>
              </w:rPr>
              <w:t xml:space="preserve">Future Maintenance Risk</w:t>
            </w:r>
          </w:p>
        </w:tc>
        <w:tc>
          <w:tcPr>
            <w:tcW w:type="dxa" w:w="1400"/>
          </w:tcPr>
          <w:p>
            <w:r>
              <w:rPr>
                <w:b w:val="false"/>
                <w:bCs w:val="false"/>
              </w:rPr>
              <w:t xml:space="preserve">Medium</w:t>
            </w:r>
          </w:p>
        </w:tc>
        <w:tc>
          <w:tcPr>
            <w:tcW w:type="dxa" w:w="5800"/>
          </w:tcPr>
          <w:p>
            <w:r>
              <w:rPr>
                <w:b w:val="false"/>
                <w:bCs w:val="false"/>
              </w:rPr>
              <w:t xml:space="preserve">The naming-convention root cause (F2) will recur unless a lint/CI check is added to prevent new non-timestamped migrations — noted as a recommendation, not designed here</w:t>
            </w:r>
          </w:p>
        </w:tc>
      </w:tr>
    </w:tbl>
    <w:p>
      <w:pPr>
        <w:pStyle w:val="Heading1"/>
        <w:spacing w:after="120" w:before="300"/>
      </w:pPr>
      <w:r>
        <w:t xml:space="preserve">13. Implementation Readiness Assessment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5100"/>
      </w:tblGrid>
      <w:tr>
        <w:tc>
          <w:tcPr>
            <w:tcW w:type="dxa" w:w="2100"/>
            <w:shd w:fill="2F3B52" w:val="clear"/>
          </w:tcPr>
          <w:p>
            <w:r>
              <w:rPr>
                <w:b/>
                <w:bCs/>
                <w:color w:val="FFFFFF"/>
              </w:rPr>
              <w:t xml:space="preserve">Group</w:t>
            </w:r>
          </w:p>
        </w:tc>
        <w:tc>
          <w:tcPr>
            <w:tcW w:type="dxa" w:w="2400"/>
            <w:shd w:fill="2F3B52" w:val="clear"/>
          </w:tcPr>
          <w:p>
            <w:r>
              <w:rPr>
                <w:b/>
                <w:bCs/>
                <w:color w:val="FFFFFF"/>
              </w:rPr>
              <w:t xml:space="preserve">Readiness</w:t>
            </w:r>
          </w:p>
        </w:tc>
        <w:tc>
          <w:tcPr>
            <w:tcW w:type="dxa" w:w="5100"/>
            <w:shd w:fill="2F3B52" w:val="clear"/>
          </w:tcPr>
          <w:p>
            <w:r>
              <w:rPr>
                <w:b/>
                <w:bCs/>
                <w:color w:val="FFFFFF"/>
              </w:rPr>
              <w:t xml:space="preserve">Why</w:t>
            </w:r>
          </w:p>
        </w:tc>
      </w:tr>
      <w:tr>
        <w:tc>
          <w:tcPr>
            <w:tcW w:type="dxa" w:w="2100"/>
          </w:tcPr>
          <w:p>
            <w:r>
              <w:rPr>
                <w:b w:val="false"/>
                <w:bCs w:val="false"/>
              </w:rPr>
              <w:t xml:space="preserve">A — Filename Normalization</w:t>
            </w:r>
          </w:p>
        </w:tc>
        <w:tc>
          <w:tcPr>
            <w:tcW w:type="dxa" w:w="2400"/>
          </w:tcPr>
          <w:p>
            <w:r>
              <w:rPr>
                <w:b w:val="false"/>
                <w:bCs w:val="false"/>
              </w:rPr>
              <w:t xml:space="preserve">Ready</w:t>
            </w:r>
          </w:p>
        </w:tc>
        <w:tc>
          <w:tcPr>
            <w:tcW w:type="dxa" w:w="5100"/>
          </w:tcPr>
          <w:p>
            <w:r>
              <w:rPr>
                <w:b w:val="false"/>
                <w:bCs w:val="false"/>
              </w:rPr>
              <w:t xml:space="preserve">Mechanical rename based on evidence already established; no open questions</w:t>
            </w:r>
          </w:p>
        </w:tc>
      </w:tr>
      <w:tr>
        <w:tc>
          <w:tcPr>
            <w:tcW w:type="dxa" w:w="2100"/>
          </w:tcPr>
          <w:p>
            <w:r>
              <w:rPr>
                <w:b w:val="false"/>
                <w:bCs w:val="false"/>
              </w:rPr>
              <w:t xml:space="preserve">B — Execution-Order Verification</w:t>
            </w:r>
          </w:p>
        </w:tc>
        <w:tc>
          <w:tcPr>
            <w:tcW w:type="dxa" w:w="2400"/>
          </w:tcPr>
          <w:p>
            <w:r>
              <w:rPr>
                <w:b w:val="false"/>
                <w:bCs w:val="false"/>
              </w:rPr>
              <w:t xml:space="preserve">Ready</w:t>
            </w:r>
          </w:p>
        </w:tc>
        <w:tc>
          <w:tcPr>
            <w:tcW w:type="dxa" w:w="5100"/>
          </w:tcPr>
          <w:p>
            <w:r>
              <w:rPr>
                <w:b w:val="false"/>
                <w:bCs w:val="false"/>
              </w:rPr>
              <w:t xml:space="preserve">Directly testable via disposable-environment dry run once Group A is done</w:t>
            </w:r>
          </w:p>
        </w:tc>
      </w:tr>
      <w:tr>
        <w:tc>
          <w:tcPr>
            <w:tcW w:type="dxa" w:w="2100"/>
          </w:tcPr>
          <w:p>
            <w:r>
              <w:rPr>
                <w:b w:val="false"/>
                <w:bCs w:val="false"/>
              </w:rPr>
              <w:t xml:space="preserve">C — Duplicate Object Reconciliation</w:t>
            </w:r>
          </w:p>
        </w:tc>
        <w:tc>
          <w:tcPr>
            <w:tcW w:type="dxa" w:w="2400"/>
          </w:tcPr>
          <w:p>
            <w:r>
              <w:rPr>
                <w:b w:val="false"/>
                <w:bCs w:val="false"/>
              </w:rPr>
              <w:t xml:space="preserve">Requires Human Decision</w:t>
            </w:r>
          </w:p>
        </w:tc>
        <w:tc>
          <w:tcPr>
            <w:tcW w:type="dxa" w:w="5100"/>
          </w:tcPr>
          <w:p>
            <w:r>
              <w:rPr>
                <w:b w:val="false"/>
                <w:bCs w:val="false"/>
              </w:rPr>
              <w:t xml:space="preserve">Choosing the authoritative schema for signal_category_hierarchy / signal_ontology_edges affects application code paths that this work package's scope excludes from evaluation</w:t>
            </w:r>
          </w:p>
        </w:tc>
      </w:tr>
      <w:tr>
        <w:tc>
          <w:tcPr>
            <w:tcW w:type="dxa" w:w="2100"/>
          </w:tcPr>
          <w:p>
            <w:r>
              <w:rPr>
                <w:b w:val="false"/>
                <w:bCs w:val="false"/>
              </w:rPr>
              <w:t xml:space="preserve">D — Dependency Reconciliation</w:t>
            </w:r>
          </w:p>
        </w:tc>
        <w:tc>
          <w:tcPr>
            <w:tcW w:type="dxa" w:w="2400"/>
          </w:tcPr>
          <w:p>
            <w:r>
              <w:rPr>
                <w:b w:val="false"/>
                <w:bCs w:val="false"/>
              </w:rPr>
              <w:t xml:space="preserve">Conditionally Ready</w:t>
            </w:r>
          </w:p>
        </w:tc>
        <w:tc>
          <w:tcPr>
            <w:tcW w:type="dxa" w:w="5100"/>
          </w:tcPr>
          <w:p>
            <w:r>
              <w:rPr>
                <w:b w:val="false"/>
                <w:bCs w:val="false"/>
              </w:rPr>
              <w:t xml:space="preserve">Investigation can start now; two references (governance_audit role, Sprint 1B) may resolve to "this is a platform-level object, not a migration" with no further action, or may be genuinely missing — outcome unknown until checked</w:t>
            </w:r>
          </w:p>
        </w:tc>
      </w:tr>
      <w:tr>
        <w:tc>
          <w:tcPr>
            <w:tcW w:type="dxa" w:w="2100"/>
          </w:tcPr>
          <w:p>
            <w:r>
              <w:rPr>
                <w:b w:val="false"/>
                <w:bCs w:val="false"/>
              </w:rPr>
              <w:t xml:space="preserve">E — Trigger/Function Reconciliation</w:t>
            </w:r>
          </w:p>
        </w:tc>
        <w:tc>
          <w:tcPr>
            <w:tcW w:type="dxa" w:w="2400"/>
          </w:tcPr>
          <w:p>
            <w:r>
              <w:rPr>
                <w:b w:val="false"/>
                <w:bCs w:val="false"/>
              </w:rPr>
              <w:t xml:space="preserve">Requires Runtime Validation</w:t>
            </w:r>
          </w:p>
        </w:tc>
        <w:tc>
          <w:tcPr>
            <w:tcW w:type="dxa" w:w="5100"/>
          </w:tcPr>
          <w:p>
            <w:r>
              <w:rPr>
                <w:b w:val="false"/>
                <w:bCs w:val="false"/>
              </w:rPr>
              <w:t xml:space="preserve">Function-ownership facts (F6) are not present in any file; a live database connection is required</w:t>
            </w:r>
          </w:p>
        </w:tc>
      </w:tr>
      <w:tr>
        <w:tc>
          <w:tcPr>
            <w:tcW w:type="dxa" w:w="2100"/>
          </w:tcPr>
          <w:p>
            <w:r>
              <w:rPr>
                <w:b w:val="false"/>
                <w:bCs w:val="false"/>
              </w:rPr>
              <w:t xml:space="preserve">F — Seed Reconciliation</w:t>
            </w:r>
          </w:p>
        </w:tc>
        <w:tc>
          <w:tcPr>
            <w:tcW w:type="dxa" w:w="2400"/>
          </w:tcPr>
          <w:p>
            <w:r>
              <w:rPr>
                <w:b w:val="false"/>
                <w:bCs w:val="false"/>
              </w:rPr>
              <w:t xml:space="preserve">Blocked</w:t>
            </w:r>
          </w:p>
        </w:tc>
        <w:tc>
          <w:tcPr>
            <w:tcW w:type="dxa" w:w="5100"/>
          </w:tcPr>
          <w:p>
            <w:r>
              <w:rPr>
                <w:b w:val="false"/>
                <w:bCs w:val="false"/>
              </w:rPr>
              <w:t xml:space="preserve">Depends on Group C's decision first</w:t>
            </w:r>
          </w:p>
        </w:tc>
      </w:tr>
      <w:tr>
        <w:tc>
          <w:tcPr>
            <w:tcW w:type="dxa" w:w="2100"/>
          </w:tcPr>
          <w:p>
            <w:r>
              <w:rPr>
                <w:b w:val="false"/>
                <w:bCs w:val="false"/>
              </w:rPr>
              <w:t xml:space="preserve">G — Repository Artifact Disposition</w:t>
            </w:r>
          </w:p>
        </w:tc>
        <w:tc>
          <w:tcPr>
            <w:tcW w:type="dxa" w:w="2400"/>
          </w:tcPr>
          <w:p>
            <w:r>
              <w:rPr>
                <w:b w:val="false"/>
                <w:bCs w:val="false"/>
              </w:rPr>
              <w:t xml:space="preserve">Requires Runtime Validation</w:t>
            </w:r>
          </w:p>
        </w:tc>
        <w:tc>
          <w:tcPr>
            <w:tcW w:type="dxa" w:w="5100"/>
          </w:tcPr>
          <w:p>
            <w:r>
              <w:rPr>
                <w:b w:val="false"/>
                <w:bCs w:val="false"/>
              </w:rPr>
              <w:t xml:space="preserve">F8's actual execution status is CLI-version-dependent and not confirmable from static analysis alone</w:t>
            </w:r>
          </w:p>
        </w:tc>
      </w:tr>
      <w:tr>
        <w:tc>
          <w:tcPr>
            <w:tcW w:type="dxa" w:w="2100"/>
          </w:tcPr>
          <w:p>
            <w:r>
              <w:rPr>
                <w:b w:val="false"/>
                <w:bCs w:val="false"/>
              </w:rPr>
              <w:t xml:space="preserve">H — Canonical Confirmation</w:t>
            </w:r>
          </w:p>
        </w:tc>
        <w:tc>
          <w:tcPr>
            <w:tcW w:type="dxa" w:w="2400"/>
          </w:tcPr>
          <w:p>
            <w:r>
              <w:rPr>
                <w:b w:val="false"/>
                <w:bCs w:val="false"/>
              </w:rPr>
              <w:t xml:space="preserve">Requires Canonical Confirmation</w:t>
            </w:r>
          </w:p>
        </w:tc>
        <w:tc>
          <w:tcPr>
            <w:tcW w:type="dxa" w:w="5100"/>
          </w:tcPr>
          <w:p>
            <w:r>
              <w:rPr>
                <w:b w:val="false"/>
                <w:bCs w:val="false"/>
              </w:rPr>
              <w:t xml:space="preserve">By definition — this group's entire purpose is obtaining the missing artifact</w:t>
            </w:r>
          </w:p>
        </w:tc>
      </w:tr>
    </w:tbl>
    <w:p>
      <w:pPr>
        <w:pStyle w:val="Heading1"/>
        <w:spacing w:after="120" w:before="300"/>
      </w:pPr>
      <w:r>
        <w:t xml:space="preserve">14. Governance Approval Gates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2F3B52" w:val="clear"/>
          </w:tcPr>
          <w:p>
            <w:r>
              <w:rPr>
                <w:b/>
                <w:bCs/>
                <w:color w:val="FFFFFF"/>
              </w:rPr>
              <w:t xml:space="preserve">Gate</w:t>
            </w:r>
          </w:p>
        </w:tc>
        <w:tc>
          <w:tcPr>
            <w:tcW w:type="dxa" w:w="7000"/>
            <w:shd w:fill="2F3B52" w:val="clear"/>
          </w:tcPr>
          <w:p>
            <w:r>
              <w:rPr>
                <w:b/>
                <w:bCs/>
                <w:color w:val="FFFFFF"/>
              </w:rPr>
              <w:t xml:space="preserve">Evidence Required</w:t>
            </w:r>
          </w:p>
        </w:tc>
      </w:tr>
      <w:tr>
        <w:tc>
          <w:tcPr>
            <w:tcW w:type="dxa" w:w="2600"/>
          </w:tcPr>
          <w:p>
            <w:r>
              <w:rPr>
                <w:b w:val="false"/>
                <w:bCs w:val="false"/>
              </w:rPr>
              <w:t xml:space="preserve">Planning Approval</w:t>
            </w:r>
          </w:p>
        </w:tc>
        <w:tc>
          <w:tcPr>
            <w:tcW w:type="dxa" w:w="7000"/>
          </w:tcPr>
          <w:p>
            <w:r>
              <w:rPr>
                <w:b w:val="false"/>
                <w:bCs w:val="false"/>
              </w:rPr>
              <w:t xml:space="preserve">This report, reviewed and accepted as the roadmap; no prior finding disputed without direct contradiction (per this work package's inputs rule)</w:t>
            </w:r>
          </w:p>
        </w:tc>
      </w:tr>
      <w:tr>
        <w:tc>
          <w:tcPr>
            <w:tcW w:type="dxa" w:w="2600"/>
          </w:tcPr>
          <w:p>
            <w:r>
              <w:rPr>
                <w:b w:val="false"/>
                <w:bCs w:val="false"/>
              </w:rPr>
              <w:t xml:space="preserve">Implementation Approval (per phase)</w:t>
            </w:r>
          </w:p>
        </w:tc>
        <w:tc>
          <w:tcPr>
            <w:tcW w:type="dxa" w:w="7000"/>
          </w:tcPr>
          <w:p>
            <w:r>
              <w:rPr>
                <w:b w:val="false"/>
                <w:bCs w:val="false"/>
              </w:rPr>
              <w:t xml:space="preserve">Confirmation that the specific phase's prerequisites (Section 9) are met before WP-DB-01A authors any change for that phase</w:t>
            </w:r>
          </w:p>
        </w:tc>
      </w:tr>
      <w:tr>
        <w:tc>
          <w:tcPr>
            <w:tcW w:type="dxa" w:w="2600"/>
          </w:tcPr>
          <w:p>
            <w:r>
              <w:rPr>
                <w:b w:val="false"/>
                <w:bCs w:val="false"/>
              </w:rPr>
              <w:t xml:space="preserve">Phase Approval</w:t>
            </w:r>
          </w:p>
        </w:tc>
        <w:tc>
          <w:tcPr>
            <w:tcW w:type="dxa" w:w="7000"/>
          </w:tcPr>
          <w:p>
            <w:r>
              <w:rPr>
                <w:b w:val="false"/>
                <w:bCs w:val="false"/>
              </w:rPr>
              <w:t xml:space="preserve">Each phase's success criteria (Section 8) and verification gate (Section 10) satisfied, evidenced by dry-run output, not narrative claim</w:t>
            </w:r>
          </w:p>
        </w:tc>
      </w:tr>
      <w:tr>
        <w:tc>
          <w:tcPr>
            <w:tcW w:type="dxa" w:w="2600"/>
          </w:tcPr>
          <w:p>
            <w:r>
              <w:rPr>
                <w:b w:val="false"/>
                <w:bCs w:val="false"/>
              </w:rPr>
              <w:t xml:space="preserve">Verification Approval</w:t>
            </w:r>
          </w:p>
        </w:tc>
        <w:tc>
          <w:tcPr>
            <w:tcW w:type="dxa" w:w="7000"/>
          </w:tcPr>
          <w:p>
            <w:r>
              <w:rPr>
                <w:b w:val="false"/>
                <w:bCs w:val="false"/>
              </w:rPr>
              <w:t xml:space="preserve">Independent review of dry-run / runtime-inspection results before proceeding to the next dependent phase (Section 9 map)</w:t>
            </w:r>
          </w:p>
        </w:tc>
      </w:tr>
      <w:tr>
        <w:tc>
          <w:tcPr>
            <w:tcW w:type="dxa" w:w="2600"/>
          </w:tcPr>
          <w:p>
            <w:r>
              <w:rPr>
                <w:b w:val="false"/>
                <w:bCs w:val="false"/>
              </w:rPr>
              <w:t xml:space="preserve">Repository Freeze Approval</w:t>
            </w:r>
          </w:p>
        </w:tc>
        <w:tc>
          <w:tcPr>
            <w:tcW w:type="dxa" w:w="7000"/>
          </w:tcPr>
          <w:p>
            <w:r>
              <w:rPr>
                <w:b w:val="false"/>
                <w:bCs w:val="false"/>
              </w:rPr>
              <w:t xml:space="preserve">No new non-timestamped migrations introduced during reconciliation — required before Phase 1's dry run, since a mid-reconciliation new file would invalidate the verified order</w:t>
            </w:r>
          </w:p>
        </w:tc>
      </w:tr>
      <w:tr>
        <w:tc>
          <w:tcPr>
            <w:tcW w:type="dxa" w:w="2600"/>
          </w:tcPr>
          <w:p>
            <w:r>
              <w:rPr>
                <w:b w:val="false"/>
                <w:bCs w:val="false"/>
              </w:rPr>
              <w:t xml:space="preserve">Enterprise Closure Approval</w:t>
            </w:r>
          </w:p>
        </w:tc>
        <w:tc>
          <w:tcPr>
            <w:tcW w:type="dxa" w:w="7000"/>
          </w:tcPr>
          <w:p>
            <w:r>
              <w:rPr>
                <w:b w:val="false"/>
                <w:bCs w:val="false"/>
              </w:rPr>
              <w:t xml:space="preserve">Phase 6 complete: clean db reset succeeds deterministically, and either the canonical artifact (Phase 0) is available and diffed, or its absence is formally accepted as a residual open item by whoever holds this approval</w:t>
            </w:r>
          </w:p>
        </w:tc>
      </w:tr>
    </w:tbl>
    <w:p>
      <w:pPr>
        <w:pStyle w:val="Heading1"/>
        <w:spacing w:after="120" w:before="300"/>
      </w:pPr>
      <w:r>
        <w:t xml:space="preserve">15. Enterprise Success Criteria</w:t>
      </w:r>
    </w:p>
    <w:p>
      <w:pPr>
        <w:spacing w:after="140"/>
      </w:pPr>
      <w:r>
        <w:t xml:space="preserve">The work package's requested criteria, each assessed for whether this plan, if fully executed, can actually satisfy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6300"/>
      </w:tblGrid>
      <w:tr>
        <w:tc>
          <w:tcPr>
            <w:tcW w:type="dxa" w:w="3300"/>
            <w:shd w:fill="2F3B52" w:val="clear"/>
          </w:tcPr>
          <w:p>
            <w:r>
              <w:rPr>
                <w:b/>
                <w:bCs/>
                <w:color w:val="FFFFFF"/>
              </w:rPr>
              <w:t xml:space="preserve">Criterion</w:t>
            </w:r>
          </w:p>
        </w:tc>
        <w:tc>
          <w:tcPr>
            <w:tcW w:type="dxa" w:w="6300"/>
            <w:shd w:fill="2F3B52" w:val="clear"/>
          </w:tcPr>
          <w:p>
            <w:r>
              <w:rPr>
                <w:b/>
                <w:bCs/>
                <w:color w:val="FFFFFF"/>
              </w:rPr>
              <w:t xml:space="preserve">Achievable by This Plan?</w:t>
            </w:r>
          </w:p>
        </w:tc>
      </w:tr>
      <w:tr>
        <w:tc>
          <w:tcPr>
            <w:tcW w:type="dxa" w:w="3300"/>
          </w:tcPr>
          <w:p>
            <w:r>
              <w:rPr>
                <w:b w:val="false"/>
                <w:bCs w:val="false"/>
              </w:rPr>
              <w:t xml:space="preserve">Successful supabase db reset</w:t>
            </w:r>
          </w:p>
        </w:tc>
        <w:tc>
          <w:tcPr>
            <w:tcW w:type="dxa" w:w="6300"/>
          </w:tcPr>
          <w:p>
            <w:r>
              <w:rPr>
                <w:b w:val="false"/>
                <w:bCs w:val="false"/>
              </w:rPr>
              <w:t xml:space="preserve">Yes — Phase 1/6 dry run is designed specifically to prove this</w:t>
            </w:r>
          </w:p>
        </w:tc>
      </w:tr>
      <w:tr>
        <w:tc>
          <w:tcPr>
            <w:tcW w:type="dxa" w:w="3300"/>
          </w:tcPr>
          <w:p>
            <w:r>
              <w:rPr>
                <w:b w:val="false"/>
                <w:bCs w:val="false"/>
              </w:rPr>
              <w:t xml:space="preserve">Deterministic migration execution</w:t>
            </w:r>
          </w:p>
        </w:tc>
        <w:tc>
          <w:tcPr>
            <w:tcW w:type="dxa" w:w="6300"/>
          </w:tcPr>
          <w:p>
            <w:r>
              <w:rPr>
                <w:b w:val="false"/>
                <w:bCs w:val="false"/>
              </w:rPr>
              <w:t xml:space="preserve">Yes — the chain is already deterministic (Ordering Review §19); this plan makes the deterministic outcome success instead of failure</w:t>
            </w:r>
          </w:p>
        </w:tc>
      </w:tr>
      <w:tr>
        <w:tc>
          <w:tcPr>
            <w:tcW w:type="dxa" w:w="3300"/>
          </w:tcPr>
          <w:p>
            <w:r>
              <w:rPr>
                <w:b w:val="false"/>
                <w:bCs w:val="false"/>
              </w:rPr>
              <w:t xml:space="preserve">No ordering violations</w:t>
            </w:r>
          </w:p>
        </w:tc>
        <w:tc>
          <w:tcPr>
            <w:tcW w:type="dxa" w:w="6300"/>
          </w:tcPr>
          <w:p>
            <w:r>
              <w:rPr>
                <w:b w:val="false"/>
                <w:bCs w:val="false"/>
              </w:rPr>
              <w:t xml:space="preserve">Yes, for the two confirmed violations (F1, and the Sprint_1C checks) — Phase 1</w:t>
            </w:r>
          </w:p>
        </w:tc>
      </w:tr>
      <w:tr>
        <w:tc>
          <w:tcPr>
            <w:tcW w:type="dxa" w:w="3300"/>
          </w:tcPr>
          <w:p>
            <w:r>
              <w:rPr>
                <w:b w:val="false"/>
                <w:bCs w:val="false"/>
              </w:rPr>
              <w:t xml:space="preserve">No dependency violations</w:t>
            </w:r>
          </w:p>
        </w:tc>
        <w:tc>
          <w:tcPr>
            <w:tcW w:type="dxa" w:w="6300"/>
          </w:tcPr>
          <w:p>
            <w:r>
              <w:rPr>
                <w:b w:val="false"/>
                <w:bCs w:val="false"/>
              </w:rPr>
              <w:t xml:space="preserve">Conditionally — F5/F9 resolvable by Phase 3, contingent on runtime findings not yet in hand</w:t>
            </w:r>
          </w:p>
        </w:tc>
      </w:tr>
      <w:tr>
        <w:tc>
          <w:tcPr>
            <w:tcW w:type="dxa" w:w="3300"/>
          </w:tcPr>
          <w:p>
            <w:r>
              <w:rPr>
                <w:b w:val="false"/>
                <w:bCs w:val="false"/>
              </w:rPr>
              <w:t xml:space="preserve">Migration history preserved</w:t>
            </w:r>
          </w:p>
        </w:tc>
        <w:tc>
          <w:tcPr>
            <w:tcW w:type="dxa" w:w="6300"/>
          </w:tcPr>
          <w:p>
            <w:r>
              <w:rPr>
                <w:b w:val="false"/>
                <w:bCs w:val="false"/>
              </w:rPr>
              <w:t xml:space="preserve">Yes — Phase 1 is a rename, not a rewrite; git history preserves authorship and intent</w:t>
            </w:r>
          </w:p>
        </w:tc>
      </w:tr>
      <w:tr>
        <w:tc>
          <w:tcPr>
            <w:tcW w:type="dxa" w:w="3300"/>
          </w:tcPr>
          <w:p>
            <w:r>
              <w:rPr>
                <w:b w:val="false"/>
                <w:bCs w:val="false"/>
              </w:rPr>
              <w:t xml:space="preserve">Canonical schema reproduced</w:t>
            </w:r>
          </w:p>
        </w:tc>
        <w:tc>
          <w:tcPr>
            <w:tcW w:type="dxa" w:w="6300"/>
          </w:tcPr>
          <w:p>
            <w:r>
              <w:rPr>
                <w:b w:val="false"/>
                <w:bCs w:val="false"/>
              </w:rPr>
              <w:t xml:space="preserve">NOT achievable by this plan alone — this criterion is gated entirely on Phase 0 (Group H), which is an external acquisition step, not a code-level fix. This plan can guarantee the chain reproduces itself deterministically; it cannot guarantee that reproduction matches a canonical schema that does not yet exist in any recoverable form.</w:t>
            </w:r>
          </w:p>
        </w:tc>
      </w:tr>
      <w:tr>
        <w:tc>
          <w:tcPr>
            <w:tcW w:type="dxa" w:w="3300"/>
          </w:tcPr>
          <w:p>
            <w:r>
              <w:rPr>
                <w:b w:val="false"/>
                <w:bCs w:val="false"/>
              </w:rPr>
              <w:t xml:space="preserve">Repository reproducibility</w:t>
            </w:r>
          </w:p>
        </w:tc>
        <w:tc>
          <w:tcPr>
            <w:tcW w:type="dxa" w:w="6300"/>
          </w:tcPr>
          <w:p>
            <w:r>
              <w:rPr>
                <w:b w:val="false"/>
                <w:bCs w:val="false"/>
              </w:rPr>
              <w:t xml:space="preserve">Yes — Phase 1/6</w:t>
            </w:r>
          </w:p>
        </w:tc>
      </w:tr>
      <w:tr>
        <w:tc>
          <w:tcPr>
            <w:tcW w:type="dxa" w:w="3300"/>
          </w:tcPr>
          <w:p>
            <w:r>
              <w:rPr>
                <w:b w:val="false"/>
                <w:bCs w:val="false"/>
              </w:rPr>
              <w:t xml:space="preserve">Verification completed</w:t>
            </w:r>
          </w:p>
        </w:tc>
        <w:tc>
          <w:tcPr>
            <w:tcW w:type="dxa" w:w="6300"/>
          </w:tcPr>
          <w:p>
            <w:r>
              <w:rPr>
                <w:b w:val="false"/>
                <w:bCs w:val="false"/>
              </w:rPr>
              <w:t xml:space="preserve">Yes, for Phases 1, 2, 4, 5; Phase 3's runtime items depend on database access not available to static planning</w:t>
            </w:r>
          </w:p>
        </w:tc>
      </w:tr>
      <w:tr>
        <w:tc>
          <w:tcPr>
            <w:tcW w:type="dxa" w:w="3300"/>
          </w:tcPr>
          <w:p>
            <w:r>
              <w:rPr>
                <w:b w:val="false"/>
                <w:bCs w:val="false"/>
              </w:rPr>
              <w:t xml:space="preserve">Enterprise approval obtained</w:t>
            </w:r>
          </w:p>
        </w:tc>
        <w:tc>
          <w:tcPr>
            <w:tcW w:type="dxa" w:w="6300"/>
          </w:tcPr>
          <w:p>
            <w:r>
              <w:rPr>
                <w:b w:val="false"/>
                <w:bCs w:val="false"/>
              </w:rPr>
              <w:t xml:space="preserve">Procedural — depends on Section 14 gates being exercised by whoever holds approval authority, not on this plan's content</w:t>
            </w:r>
          </w:p>
        </w:tc>
      </w:tr>
    </w:tbl>
    <w:p>
      <w:pPr>
        <w:spacing w:after="140"/>
      </w:pPr>
      <w:r>
        <w:rPr>
          <w:b/>
          <w:bCs/>
        </w:rPr>
        <w:t xml:space="preserve">This plan cannot promise full enterprise success as originally scoped.</w:t>
      </w:r>
      <w:r>
        <w:t xml:space="preserve"> Every criterion except “canonical schema reproduced” is achievable through Phases 0–6. That one criterion has been unresolved since the first WP-DB-01 report and remains unresolved here — carrying it forward honestly is preferable to declaring closure on a comparison that was never actually possible.</w:t>
      </w:r>
    </w:p>
    <w:p>
      <w:pPr>
        <w:pStyle w:val="Heading1"/>
        <w:spacing w:after="120" w:before="300"/>
      </w:pPr>
      <w:r>
        <w:t xml:space="preserve">16. Enterprise Recommendations</w:t>
      </w:r>
    </w:p>
    <w:p>
      <w:pPr>
        <w:pStyle w:val="ListParagraph"/>
        <w:numPr>
          <w:ilvl w:val="0"/>
          <w:numId w:val="1"/>
        </w:numPr>
        <w:spacing w:after="70"/>
      </w:pPr>
      <w:r>
        <w:t xml:space="preserve">Begin Phase 0 (canonical artifact acquisition) immediately and in parallel — it has the longest lead time and gates only one success criterion, so it should never be the reason later phases wait.</w:t>
      </w:r>
    </w:p>
    <w:p>
      <w:pPr>
        <w:pStyle w:val="ListParagraph"/>
        <w:numPr>
          <w:ilvl w:val="0"/>
          <w:numId w:val="1"/>
        </w:numPr>
        <w:spacing w:after="70"/>
      </w:pPr>
      <w:r>
        <w:t xml:space="preserve">Sequence Phases 1 → 2/3 → 4 → 5/6 as mapped in Section 9; do not attempt Group C or F work before Phase 1's dry run confirms the corrected order, since both depend on knowing which duplicate definition actually wins execution.</w:t>
      </w:r>
    </w:p>
    <w:p>
      <w:pPr>
        <w:pStyle w:val="ListParagraph"/>
        <w:numPr>
          <w:ilvl w:val="0"/>
          <w:numId w:val="1"/>
        </w:numPr>
        <w:spacing w:after="70"/>
      </w:pPr>
      <w:r>
        <w:t xml:space="preserve">Treat Group C (duplicate incompatible schemas) as a Human Decision gate, not an engineering one — resolving it correctly requires input from whoever owns the application code paths that read signal_category_hierarchy / signal_ontology_edges, which is outside this report's visibility.</w:t>
      </w:r>
    </w:p>
    <w:p>
      <w:pPr>
        <w:pStyle w:val="ListParagraph"/>
        <w:numPr>
          <w:ilvl w:val="0"/>
          <w:numId w:val="1"/>
        </w:numPr>
        <w:spacing w:after="70"/>
      </w:pPr>
      <w:r>
        <w:t xml:space="preserve">Add a repository-level convention check (e.g., a CI lint step rejecting new migration files without a valid timestamp prefix) as a standing recommendation for whichever team takes ownership after WP-DB-01A — this is the single change most likely to prevent this entire finding class from recurring, though designing it is out of scope here.</w:t>
      </w:r>
    </w:p>
    <w:p>
      <w:pPr>
        <w:pStyle w:val="ListParagraph"/>
        <w:numPr>
          <w:ilvl w:val="0"/>
          <w:numId w:val="1"/>
        </w:numPr>
        <w:spacing w:after="70"/>
      </w:pPr>
      <w:r>
        <w:t xml:space="preserve">Do not treat this report as authorizing any file change. WP-DB-01A remains a separate, explicitly-approved next stage per the governing objective of this work package.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2026-07-07T02:12:35.471Z</dcterms:created>
  <dcterms:modified xsi:type="dcterms:W3CDTF">2026-07-07T02:12:35.485Z</dcterms:modified>
</cp:coreProperties>
</file>

<file path=docProps/custom.xml><?xml version="1.0" encoding="utf-8"?>
<Properties xmlns="http://schemas.openxmlformats.org/officeDocument/2006/custom-properties" xmlns:vt="http://schemas.openxmlformats.org/officeDocument/2006/docPropsVTypes"/>
</file>