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WP-DB-01A — Enterprise Migration Chain Reconciliation (Batch 1)</w:t>
      </w:r>
    </w:p>
    <w:p>
      <w:pPr>
        <w:spacing w:after="40"/>
      </w:pPr>
      <w:r>
        <w:rPr>
          <w:color w:val="555555"/>
          <w:sz w:val="24"/>
          <w:szCs w:val="24"/>
        </w:rPr>
        <w:t xml:space="preserve">Enterprise Implementation Report</w:t>
      </w:r>
    </w:p>
    <w:p>
      <w:pPr>
        <w:spacing w:after="40"/>
      </w:pPr>
      <w:r>
        <w:rPr>
          <w:i/>
          <w:iCs/>
          <w:color w:val="777777"/>
          <w:sz w:val="20"/>
          <w:szCs w:val="20"/>
        </w:rPr>
        <w:t xml:space="preserve">HireRise Platform · Supabase Migration Chain</w:t>
      </w:r>
    </w:p>
    <w:p>
      <w:pPr>
        <w:spacing w:after="40"/>
      </w:pPr>
      <w:r>
        <w:rPr>
          <w:color w:val="777777"/>
          <w:sz w:val="20"/>
          <w:szCs w:val="20"/>
        </w:rPr>
        <w:t xml:space="preserve">Prepared by: Claude, acting as Enterprise Database Architect</w:t>
      </w:r>
    </w:p>
    <w:p>
      <w:pPr>
        <w:spacing w:after="300"/>
      </w:pPr>
      <w:r>
        <w:rPr>
          <w:color w:val="AA3333"/>
          <w:sz w:val="20"/>
          <w:szCs w:val="20"/>
        </w:rPr>
        <w:t xml:space="preserve">Status: Implementation complete for approved Batch 1 scope (Groups A + B). Static verification performed; live runtime dry run NOT performed (no Supabase CLI / database connection available in this environment).</w:t>
      </w:r>
    </w:p>
    <w:p>
      <w:pPr>
        <w:pStyle w:val="Heading1"/>
        <w:spacing w:after="160" w:before="320"/>
      </w:pPr>
      <w:r>
        <w:t xml:space="preserve">1. Executive Summary</w:t>
      </w:r>
    </w:p>
    <w:p>
      <w:pPr>
        <w:spacing w:after="140"/>
      </w:pPr>
      <w:r>
        <w:t xml:space="preserve">This batch implements the Group A (Filename Normalization) and Group B (Execution-Order Verification) scope approved in the Reconciliation Planning Report. All 9 non-timestamped migration files identified in Findings F1/F2 have been renamed to the standard 14-digit timestamp convention, reflecting the intended chronological position established by the Dependency Analysis and Migration Ordering Review.</w:t>
      </w:r>
    </w:p>
    <w:p>
      <w:pPr>
        <w:spacing w:after="140"/>
      </w:pPr>
      <w:r>
        <w:t xml:space="preserve">Static, textual re-verification performed during this batch confirms that the corrected order resolves both confirmed halt conditions documented in the Ordering Review: the WP-DB-005 guard clause (originally position 59, now position 68) and the six Sprint 1C PREAMBLE guards (originally position 62, now position 56). A third, previously undocumented dependency was identified during this batch's own verification pass: fn_approve_lineage_transition_DROP_CREATE.sql declares a public.signal_lineage%ROWTYPE variable, which PL/pgSQL resolves at CREATE FUNCTION time — this file's new position (57) satisfies that dependency, which was not explicitly tested in prior reports.</w:t>
      </w:r>
    </w:p>
    <w:p>
      <w:pPr>
        <w:spacing w:after="140"/>
      </w:pPr>
      <w:r>
        <w:t xml:space="preserve">One documented consequence of correcting the order, flagged in the Reconciliation Planning Report as expected: the signal_category_hierarchy / signal_ontology_edges duplicate-definition race (Finding F3) now resolves in favor of the 1A cluster's definition rather than 20260608000001_intelligence_foundation_layer.sql's definition, because the 1A cluster now executes first. This is a direct and unavoidable side effect of fixing the ordering fault — it is documented here, not resolved, per this batch's explicit scope boundary (duplicate schema reconciliation is Group C, out of scope for Batch 1).</w:t>
      </w:r>
    </w:p>
    <w:p>
      <w:pPr>
        <w:spacing w:after="140"/>
      </w:pPr>
      <w:r>
        <w:t xml:space="preserve">No live database connection or Supabase CLI was available in this environment, so the required `supabase db reset` dry run could not be executed. This is stated plainly in Section 8 rather than implied as complete.</w:t>
      </w:r>
    </w:p>
    <w:p>
      <w:pPr>
        <w:pStyle w:val="Heading1"/>
        <w:spacing w:after="160" w:before="320"/>
      </w:pPr>
      <w:r>
        <w:t xml:space="preserve">2. Scope Confirmation</w:t>
      </w:r>
    </w:p>
    <w:p>
      <w:pPr>
        <w:spacing w:after="140"/>
      </w:pPr>
      <w:r>
        <w:t xml:space="preserve">Reviewed against the approved implementation scope before making any change:</w:t>
      </w:r>
    </w:p>
    <w:p>
      <w:pPr>
        <w:pStyle w:val="ListParagraph"/>
        <w:numPr>
          <w:ilvl w:val="0"/>
          <w:numId w:val="1"/>
        </w:numPr>
        <w:spacing w:after="80"/>
      </w:pPr>
      <w:r>
        <w:t xml:space="preserve">Migration filename normalization — IN SCOPE, executed (Section 4).</w:t>
      </w:r>
    </w:p>
    <w:p>
      <w:pPr>
        <w:pStyle w:val="ListParagraph"/>
        <w:numPr>
          <w:ilvl w:val="0"/>
          <w:numId w:val="1"/>
        </w:numPr>
        <w:spacing w:after="80"/>
      </w:pPr>
      <w:r>
        <w:t xml:space="preserve">Execution-order reconciliation — IN SCOPE, executed via renaming only; no file contents altered (Section 6).</w:t>
      </w:r>
    </w:p>
    <w:p>
      <w:pPr>
        <w:pStyle w:val="ListParagraph"/>
        <w:numPr>
          <w:ilvl w:val="0"/>
          <w:numId w:val="1"/>
        </w:numPr>
        <w:spacing w:after="80"/>
      </w:pPr>
      <w:r>
        <w:t xml:space="preserve">Repository consistency — IN SCOPE, verified (Section 5).</w:t>
      </w:r>
    </w:p>
    <w:p>
      <w:pPr>
        <w:pStyle w:val="ListParagraph"/>
        <w:numPr>
          <w:ilvl w:val="0"/>
          <w:numId w:val="1"/>
        </w:numPr>
        <w:spacing w:after="80"/>
      </w:pPr>
      <w:r>
        <w:t xml:space="preserve">Minimal dependency adjustments — none were required; the guard failures were resolved entirely by filename change, with no SQL content modified.</w:t>
      </w:r>
    </w:p>
    <w:p>
      <w:pPr>
        <w:spacing w:after="140"/>
      </w:pPr>
      <w:r>
        <w:t xml:space="preserve">No new evidence contradicting the prior five reports was found. One additional fact was discovered (the fn_approve_lineage_transition_DROP_CREATE.sql %ROWTYPE dependency) that is consistent with, and reinforces, the existing scope rather than contradicting it — it is documented as a verification finding, not treated as scope expansion.</w:t>
      </w:r>
    </w:p>
    <w:p>
      <w:pPr>
        <w:spacing w:after="140"/>
      </w:pPr>
      <w:r>
        <w:t xml:space="preserve">Confirmed out of scope and NOT touched: schema redesign, duplicate table reconciliation (F3/F4), PostgreSQL function modernization, application logic, Runtime/SIM/COM/HKP/Knowledge Runtime code, function ownership (F6), trigger logic (F7), RLS redesign, canonical schema reconciliation (F11).</w:t>
      </w:r>
    </w:p>
    <w:p>
      <w:pPr>
        <w:pStyle w:val="Heading1"/>
        <w:spacing w:after="160" w:before="320"/>
      </w:pPr>
      <w:r>
        <w:t xml:space="preserve">3. Implementation Summary</w:t>
      </w:r>
    </w:p>
    <w:p>
      <w:pPr>
        <w:spacing w:after="140"/>
      </w:pPr>
      <w:r>
        <w:t xml:space="preserve">9 files renamed. 0 files created. 0 files deleted. 0 bytes of SQL content modified. The migrations directory now contains 70 timestamp-prefixed .sql files in deterministic lexicographic order, plus the one pre-existing extensionless artifact ("Forward Migration SQL"), which remains untouched and out of scope (Group G, deferred).</w:t>
      </w:r>
    </w:p>
    <w:p>
      <w:pPr>
        <w:spacing w:after="140"/>
      </w:pPr>
      <w:r>
        <w:t xml:space="preserve">Note on version control: the uploaded repository archive did not include a .git directory, so these renames were performed as plain filesystem moves rather than `git mv`. When applying this change to the actual repository, use `git mv &lt;old&gt; &lt;new&gt;` for each pair listed in Section 9 to preserve file history and blame — the content of each file is byte-for-byte unchanged, so history preservation is fully achievable.</w:t>
      </w:r>
    </w:p>
    <w:p>
      <w:pPr>
        <w:pStyle w:val="Heading1"/>
        <w:spacing w:after="160" w:before="320"/>
      </w:pPr>
      <w:r>
        <w:t xml:space="preserve">4. Migration Changes</w:t>
      </w:r>
    </w:p>
    <w:p>
      <w:pPr>
        <w:spacing w:after="140"/>
      </w:pPr>
      <w:r>
        <w:t xml:space="preserve">The following table lists each renamed file, its new name, and the justification for its new position: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1F2937" w:val="clear"/>
          </w:tcPr>
          <w:p>
            <w:r>
              <w:rPr>
                <w:b/>
                <w:bCs/>
                <w:color w:val="FFFFFF"/>
                <w:sz w:val="18"/>
                <w:szCs w:val="18"/>
              </w:rPr>
              <w:t xml:space="preserve">Original filename</w:t>
            </w:r>
          </w:p>
        </w:tc>
        <w:tc>
          <w:tcPr>
            <w:tcW w:type="dxa" w:w="3200"/>
            <w:shd w:fill="1F2937" w:val="clear"/>
          </w:tcPr>
          <w:p>
            <w:r>
              <w:rPr>
                <w:b/>
                <w:bCs/>
                <w:color w:val="FFFFFF"/>
                <w:sz w:val="18"/>
                <w:szCs w:val="18"/>
              </w:rPr>
              <w:t xml:space="preserve">New filename</w:t>
            </w:r>
          </w:p>
        </w:tc>
        <w:tc>
          <w:tcPr>
            <w:tcW w:type="dxa" w:w="4000"/>
            <w:shd w:fill="1F2937" w:val="clear"/>
          </w:tcPr>
          <w:p>
            <w:r>
              <w:rPr>
                <w:b/>
                <w:bCs/>
                <w:color w:val="FFFFFF"/>
                <w:sz w:val="18"/>
                <w:szCs w:val="18"/>
              </w:rPr>
              <w:t xml:space="preserve">Justification</w:t>
            </w:r>
          </w:p>
        </w:tc>
      </w:tr>
      <w:tr>
        <w:tc>
          <w:tcPr>
            <w:tcW w:type="dxa" w:w="2400"/>
          </w:tcPr>
          <w:p>
            <w:r>
              <w:rPr>
                <w:sz w:val="18"/>
                <w:szCs w:val="18"/>
              </w:rPr>
              <w:t xml:space="preserve">supabase_bootstrap_fix.sql</w:t>
            </w:r>
          </w:p>
        </w:tc>
        <w:tc>
          <w:tcPr>
            <w:tcW w:type="dxa" w:w="3200"/>
          </w:tcPr>
          <w:p>
            <w:r>
              <w:rPr>
                <w:sz w:val="18"/>
                <w:szCs w:val="18"/>
              </w:rPr>
              <w:t xml:space="preserve">20260320000001_supabase_bootstrap_fix.sql</w:t>
            </w:r>
          </w:p>
        </w:tc>
        <w:tc>
          <w:tcPr>
            <w:tcW w:type="dxa" w:w="4000"/>
          </w:tcPr>
          <w:p>
            <w:r>
              <w:rPr>
                <w:sz w:val="18"/>
                <w:szCs w:val="18"/>
              </w:rPr>
              <w:t xml:space="preserve">Legacy bootstrap script; positioned immediately after the six numeric-prefix legacy foundation files (000–006), before the Career Metrics Increment era begins.</w:t>
            </w:r>
          </w:p>
        </w:tc>
      </w:tr>
      <w:tr>
        <w:tc>
          <w:tcPr>
            <w:tcW w:type="dxa" w:w="2400"/>
          </w:tcPr>
          <w:p>
            <w:r>
              <w:rPr>
                <w:sz w:val="18"/>
                <w:szCs w:val="18"/>
              </w:rPr>
              <w:t xml:space="preserve">add-phase4b-governance-observability.migration.sql</w:t>
            </w:r>
          </w:p>
        </w:tc>
        <w:tc>
          <w:tcPr>
            <w:tcW w:type="dxa" w:w="3200"/>
          </w:tcPr>
          <w:p>
            <w:r>
              <w:rPr>
                <w:sz w:val="18"/>
                <w:szCs w:val="18"/>
              </w:rPr>
              <w:t xml:space="preserve">20260518000000_add_phase4b_governance_observability.sql</w:t>
            </w:r>
          </w:p>
        </w:tc>
        <w:tc>
          <w:tcPr>
            <w:tcW w:type="dxa" w:w="4000"/>
          </w:tcPr>
          <w:p>
            <w:r>
              <w:rPr>
                <w:sz w:val="18"/>
                <w:szCs w:val="18"/>
              </w:rPr>
              <w:t xml:space="preserve">Positioned directly after 20260517_phase4b_ai_confidence_language.sql, the file it extends; contains no FK dependencies (self-contained append-only log tables).</w:t>
            </w:r>
          </w:p>
        </w:tc>
      </w:tr>
      <w:tr>
        <w:tc>
          <w:tcPr>
            <w:tcW w:type="dxa" w:w="2400"/>
          </w:tcPr>
          <w:p>
            <w:r>
              <w:rPr>
                <w:sz w:val="18"/>
                <w:szCs w:val="18"/>
              </w:rPr>
              <w:t xml:space="preserve">phase2_intelligent_onboarding.sql</w:t>
            </w:r>
          </w:p>
        </w:tc>
        <w:tc>
          <w:tcPr>
            <w:tcW w:type="dxa" w:w="3200"/>
          </w:tcPr>
          <w:p>
            <w:r>
              <w:rPr>
                <w:sz w:val="18"/>
                <w:szCs w:val="18"/>
              </w:rPr>
              <w:t xml:space="preserve">20260525230000_phase2_intelligent_onboarding.sql</w:t>
            </w:r>
          </w:p>
        </w:tc>
        <w:tc>
          <w:tcPr>
            <w:tcW w:type="dxa" w:w="4000"/>
          </w:tcPr>
          <w:p>
            <w:r>
              <w:rPr>
                <w:sz w:val="18"/>
                <w:szCs w:val="18"/>
              </w:rPr>
              <w:t xml:space="preserve">Positioned after 20260525000001_cross_domain_intelligence_phase3d.sql, before the Academic Taxonomy Program begins; its only dependency (onboarding_progress) is created at position 1 (000_initial_schema.sql).</w:t>
            </w:r>
          </w:p>
        </w:tc>
      </w:tr>
      <w:tr>
        <w:tc>
          <w:tcPr>
            <w:tcW w:type="dxa" w:w="2400"/>
          </w:tcPr>
          <w:p>
            <w:r>
              <w:rPr>
                <w:sz w:val="18"/>
                <w:szCs w:val="18"/>
              </w:rPr>
              <w:t xml:space="preserve">migration_1A_01_enums.sql</w:t>
            </w:r>
          </w:p>
        </w:tc>
        <w:tc>
          <w:tcPr>
            <w:tcW w:type="dxa" w:w="3200"/>
          </w:tcPr>
          <w:p>
            <w:r>
              <w:rPr>
                <w:sz w:val="18"/>
                <w:szCs w:val="18"/>
              </w:rPr>
              <w:t xml:space="preserve">20260531000001_migration_1a_01_enums.sql</w:t>
            </w:r>
          </w:p>
        </w:tc>
        <w:tc>
          <w:tcPr>
            <w:tcW w:type="dxa" w:w="4000"/>
          </w:tcPr>
          <w:p>
            <w:r>
              <w:rPr>
                <w:sz w:val="18"/>
                <w:szCs w:val="18"/>
              </w:rPr>
              <w:t xml:space="preserve">Foundation of the 1A cluster; must precede 1A-02, Sprint 1C, and the two guard-bearing consumers documented in the Ordering Review.</w:t>
            </w:r>
          </w:p>
        </w:tc>
      </w:tr>
      <w:tr>
        <w:tc>
          <w:tcPr>
            <w:tcW w:type="dxa" w:w="2400"/>
          </w:tcPr>
          <w:p>
            <w:r>
              <w:rPr>
                <w:sz w:val="18"/>
                <w:szCs w:val="18"/>
              </w:rPr>
              <w:t xml:space="preserve">migration_1A_02_core_tables.sql</w:t>
            </w:r>
          </w:p>
        </w:tc>
        <w:tc>
          <w:tcPr>
            <w:tcW w:type="dxa" w:w="3200"/>
          </w:tcPr>
          <w:p>
            <w:r>
              <w:rPr>
                <w:sz w:val="18"/>
                <w:szCs w:val="18"/>
              </w:rPr>
              <w:t xml:space="preserve">20260531000002_migration_1a_02_core_tables.sql</w:t>
            </w:r>
          </w:p>
        </w:tc>
        <w:tc>
          <w:tcPr>
            <w:tcW w:type="dxa" w:w="4000"/>
          </w:tcPr>
          <w:p>
            <w:r>
              <w:rPr>
                <w:sz w:val="18"/>
                <w:szCs w:val="18"/>
              </w:rPr>
              <w:t xml:space="preserve">Creates public.signal_lineage, public.signal_registry_audit_log, public.signal_category_hierarchy. Header comment requires 1A-01 first — satisfied.</w:t>
            </w:r>
          </w:p>
        </w:tc>
      </w:tr>
      <w:tr>
        <w:tc>
          <w:tcPr>
            <w:tcW w:type="dxa" w:w="2400"/>
          </w:tcPr>
          <w:p>
            <w:r>
              <w:rPr>
                <w:sz w:val="18"/>
                <w:szCs w:val="18"/>
              </w:rPr>
              <w:t xml:space="preserve">migration_1A_03_and_04.sql</w:t>
            </w:r>
          </w:p>
        </w:tc>
        <w:tc>
          <w:tcPr>
            <w:tcW w:type="dxa" w:w="3200"/>
          </w:tcPr>
          <w:p>
            <w:r>
              <w:rPr>
                <w:sz w:val="18"/>
                <w:szCs w:val="18"/>
              </w:rPr>
              <w:t xml:space="preserve">20260531000003_migration_1a_03_and_04.sql</w:t>
            </w:r>
          </w:p>
        </w:tc>
        <w:tc>
          <w:tcPr>
            <w:tcW w:type="dxa" w:w="4000"/>
          </w:tcPr>
          <w:p>
            <w:r>
              <w:rPr>
                <w:sz w:val="18"/>
                <w:szCs w:val="18"/>
              </w:rPr>
              <w:t xml:space="preserve">Creates public.signal_ontology_edges. Header comment requires 1A-02 first (signal_category_hierarchy must exist) — satisfied.</w:t>
            </w:r>
          </w:p>
        </w:tc>
      </w:tr>
      <w:tr>
        <w:tc>
          <w:tcPr>
            <w:tcW w:type="dxa" w:w="2400"/>
          </w:tcPr>
          <w:p>
            <w:r>
              <w:rPr>
                <w:sz w:val="18"/>
                <w:szCs w:val="18"/>
              </w:rPr>
              <w:t xml:space="preserve">Sprint_1C_Migration_1C_01.sql</w:t>
            </w:r>
          </w:p>
        </w:tc>
        <w:tc>
          <w:tcPr>
            <w:tcW w:type="dxa" w:w="3200"/>
          </w:tcPr>
          <w:p>
            <w:r>
              <w:rPr>
                <w:sz w:val="18"/>
                <w:szCs w:val="18"/>
              </w:rPr>
              <w:t xml:space="preserve">20260531000004_sprint_1c_migration_1c_01.sql</w:t>
            </w:r>
          </w:p>
        </w:tc>
        <w:tc>
          <w:tcPr>
            <w:tcW w:type="dxa" w:w="4000"/>
          </w:tcPr>
          <w:p>
            <w:r>
              <w:rPr>
                <w:sz w:val="18"/>
                <w:szCs w:val="18"/>
              </w:rPr>
              <w:t xml:space="preserve">Six PREAMBLE guard checks (1C-01-P1…P6) require signal_lineage, signal_registry_audit_log, registry_audit_event_type_enum, lineage_type_enum — all now satisfied by the immediately preceding 1A cluster.</w:t>
            </w:r>
          </w:p>
        </w:tc>
      </w:tr>
      <w:tr>
        <w:tc>
          <w:tcPr>
            <w:tcW w:type="dxa" w:w="2400"/>
          </w:tcPr>
          <w:p>
            <w:r>
              <w:rPr>
                <w:sz w:val="18"/>
                <w:szCs w:val="18"/>
              </w:rPr>
              <w:t xml:space="preserve">fn_approve_lineage_transition_DROP_CREATE.sql</w:t>
            </w:r>
          </w:p>
        </w:tc>
        <w:tc>
          <w:tcPr>
            <w:tcW w:type="dxa" w:w="3200"/>
          </w:tcPr>
          <w:p>
            <w:r>
              <w:rPr>
                <w:sz w:val="18"/>
                <w:szCs w:val="18"/>
              </w:rPr>
              <w:t xml:space="preserve">20260531000005_fn_approve_lineage_transition_drop_create.sql</w:t>
            </w:r>
          </w:p>
        </w:tc>
        <w:tc>
          <w:tcPr>
            <w:tcW w:type="dxa" w:w="4000"/>
          </w:tcPr>
          <w:p>
            <w:r>
              <w:rPr>
                <w:sz w:val="18"/>
                <w:szCs w:val="18"/>
              </w:rPr>
              <w:t xml:space="preserve">Verified during this batch (not previously documented) to declare a variable of type public.signal_lineage%ROWTYPE, which PL/pgSQL resolves at CREATE FUNCTION time — this file requires signal_lineage to exist at creation time, satisfied by its new position.</w:t>
            </w:r>
          </w:p>
        </w:tc>
      </w:tr>
      <w:tr>
        <w:tc>
          <w:tcPr>
            <w:tcW w:type="dxa" w:w="2400"/>
          </w:tcPr>
          <w:p>
            <w:r>
              <w:rPr>
                <w:sz w:val="18"/>
                <w:szCs w:val="18"/>
              </w:rPr>
              <w:t xml:space="preserve">migration_H1_01_signal_category_hierarchy_seed.sql</w:t>
            </w:r>
          </w:p>
        </w:tc>
        <w:tc>
          <w:tcPr>
            <w:tcW w:type="dxa" w:w="3200"/>
          </w:tcPr>
          <w:p>
            <w:r>
              <w:rPr>
                <w:sz w:val="18"/>
                <w:szCs w:val="18"/>
              </w:rPr>
              <w:t xml:space="preserve">20260607000001_migration_h1_01_signal_category_hierarchy_seed.sql</w:t>
            </w:r>
          </w:p>
        </w:tc>
        <w:tc>
          <w:tcPr>
            <w:tcW w:type="dxa" w:w="4000"/>
          </w:tcPr>
          <w:p>
            <w:r>
              <w:rPr>
                <w:sz w:val="18"/>
                <w:szCs w:val="18"/>
              </w:rPr>
              <w:t xml:space="preserve">Timestamp taken verbatim from the file's own header ('Date: 2026-06-07'). Requires 1A-01 and 1A-02 — satisfied. Now seeds the 1A schema variant of signal_category_hierarchy, which is a downstream consequence documented in Section 7.</w:t>
            </w:r>
          </w:p>
        </w:tc>
      </w:tr>
    </w:tbl>
    <w:p>
      <w:pPr>
        <w:pStyle w:val="Heading1"/>
        <w:spacing w:after="160" w:before="320"/>
      </w:pPr>
      <w:r>
        <w:t xml:space="preserve">5. Repository Changes</w:t>
      </w:r>
    </w:p>
    <w:p>
      <w:pPr>
        <w:spacing w:after="140"/>
      </w:pPr>
      <w:r>
        <w:t xml:space="preserve">Post-rename verification confirms:</w:t>
      </w:r>
    </w:p>
    <w:p>
      <w:pPr>
        <w:pStyle w:val="ListParagraph"/>
        <w:numPr>
          <w:ilvl w:val="0"/>
          <w:numId w:val="1"/>
        </w:numPr>
        <w:spacing w:after="80"/>
      </w:pPr>
      <w:r>
        <w:t xml:space="preserve">All 70 .sql files now carry either the legacy 3-digit numeric prefix (6 files, 000–006) or the 14-digit timestamp convention (64 files, including the 9 renamed in this batch) — a single, internally consistent scheme, since numeric prefixes sort before all timestamp prefixes by construction.</w:t>
      </w:r>
    </w:p>
    <w:p>
      <w:pPr>
        <w:pStyle w:val="ListParagraph"/>
        <w:numPr>
          <w:ilvl w:val="0"/>
          <w:numId w:val="1"/>
        </w:numPr>
        <w:spacing w:after="80"/>
      </w:pPr>
      <w:r>
        <w:t xml:space="preserve">No duplicate execution positions were introduced — every filename in the directory is unique; confirmed by a full directory listing and duplicate check.</w:t>
      </w:r>
    </w:p>
    <w:p>
      <w:pPr>
        <w:pStyle w:val="ListParagraph"/>
        <w:numPr>
          <w:ilvl w:val="0"/>
          <w:numId w:val="1"/>
        </w:numPr>
        <w:spacing w:after="80"/>
      </w:pPr>
      <w:r>
        <w:t xml:space="preserve">The one extensionless artifact ("Forward Migration SQL") remains outside the .sql-based ordering entirely, unchanged, per Group G (deferred).</w:t>
      </w:r>
    </w:p>
    <w:p>
      <w:pPr>
        <w:spacing w:after="140"/>
      </w:pPr>
      <w:r>
        <w:t xml:space="preserve">Residual, non-blocking consistency item found during this batch (not an execution-order risk, since Supabase's migration loader only reads core/supabase/migrations/): three documentation and script files elsewhere in the repository reference the old filenames by name — core/supabase/scripts/G4D_Package_Part1.sql, core/supabase/validation/migration_1A_validation_and_rollback.sql, and two files under documents/WP-INTEGRATION-01/. These do not affect migration execution and are flagged here as a documentation follow-up, not a Batch 1 deliverable.</w:t>
      </w:r>
    </w:p>
    <w:p>
      <w:pPr>
        <w:pStyle w:val="Heading1"/>
        <w:spacing w:after="160" w:before="320"/>
      </w:pPr>
      <w:r>
        <w:t xml:space="preserve">6. Execution-Order Changes</w:t>
      </w:r>
    </w:p>
    <w:p>
      <w:pPr>
        <w:spacing w:after="140"/>
      </w:pPr>
      <w:r>
        <w:t xml:space="preserve">The corrected execution order for positions 53–70 (the range affected by this batch) 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400"/>
      </w:tblGrid>
      <w:tr>
        <w:trPr>
          <w:tblHeader/>
        </w:trPr>
        <w:tc>
          <w:tcPr>
            <w:tcW w:type="dxa" w:w="1400"/>
            <w:shd w:fill="1F2937" w:val="clear"/>
          </w:tcPr>
          <w:p>
            <w:r>
              <w:rPr>
                <w:b/>
                <w:bCs/>
                <w:color w:val="FFFFFF"/>
                <w:sz w:val="18"/>
                <w:szCs w:val="18"/>
              </w:rPr>
              <w:t xml:space="preserve">Position</w:t>
            </w:r>
          </w:p>
        </w:tc>
        <w:tc>
          <w:tcPr>
            <w:tcW w:type="dxa" w:w="4800"/>
            <w:shd w:fill="1F2937" w:val="clear"/>
          </w:tcPr>
          <w:p>
            <w:r>
              <w:rPr>
                <w:b/>
                <w:bCs/>
                <w:color w:val="FFFFFF"/>
                <w:sz w:val="18"/>
                <w:szCs w:val="18"/>
              </w:rPr>
              <w:t xml:space="preserve">File</w:t>
            </w:r>
          </w:p>
        </w:tc>
        <w:tc>
          <w:tcPr>
            <w:tcW w:type="dxa" w:w="3400"/>
            <w:shd w:fill="1F2937" w:val="clear"/>
          </w:tcPr>
          <w:p>
            <w:r>
              <w:rPr>
                <w:b/>
                <w:bCs/>
                <w:color w:val="FFFFFF"/>
                <w:sz w:val="18"/>
                <w:szCs w:val="18"/>
              </w:rPr>
              <w:t xml:space="preserve">Note</w:t>
            </w:r>
          </w:p>
        </w:tc>
      </w:tr>
      <w:tr>
        <w:tc>
          <w:tcPr>
            <w:tcW w:type="dxa" w:w="1400"/>
          </w:tcPr>
          <w:p>
            <w:r>
              <w:rPr>
                <w:sz w:val="18"/>
                <w:szCs w:val="18"/>
              </w:rPr>
              <w:t xml:space="preserve">53</w:t>
            </w:r>
          </w:p>
        </w:tc>
        <w:tc>
          <w:tcPr>
            <w:tcW w:type="dxa" w:w="4800"/>
          </w:tcPr>
          <w:p>
            <w:r>
              <w:rPr>
                <w:sz w:val="18"/>
                <w:szCs w:val="18"/>
              </w:rPr>
              <w:t xml:space="preserve">20260531000001_migration_1a_01_enums.sql</w:t>
            </w:r>
          </w:p>
        </w:tc>
        <w:tc>
          <w:tcPr>
            <w:tcW w:type="dxa" w:w="3400"/>
          </w:tcPr>
          <w:p>
            <w:r>
              <w:rPr>
                <w:sz w:val="18"/>
                <w:szCs w:val="18"/>
              </w:rPr>
              <w:t xml:space="preserve">Enums (moved from end of chain)</w:t>
            </w:r>
          </w:p>
        </w:tc>
      </w:tr>
      <w:tr>
        <w:tc>
          <w:tcPr>
            <w:tcW w:type="dxa" w:w="1400"/>
          </w:tcPr>
          <w:p>
            <w:r>
              <w:rPr>
                <w:sz w:val="18"/>
                <w:szCs w:val="18"/>
              </w:rPr>
              <w:t xml:space="preserve">54</w:t>
            </w:r>
          </w:p>
        </w:tc>
        <w:tc>
          <w:tcPr>
            <w:tcW w:type="dxa" w:w="4800"/>
          </w:tcPr>
          <w:p>
            <w:r>
              <w:rPr>
                <w:sz w:val="18"/>
                <w:szCs w:val="18"/>
              </w:rPr>
              <w:t xml:space="preserve">20260531000002_migration_1a_02_core_tables.sql</w:t>
            </w:r>
          </w:p>
        </w:tc>
        <w:tc>
          <w:tcPr>
            <w:tcW w:type="dxa" w:w="3400"/>
          </w:tcPr>
          <w:p>
            <w:r>
              <w:rPr>
                <w:sz w:val="18"/>
                <w:szCs w:val="18"/>
              </w:rPr>
              <w:t xml:space="preserve">signal_lineage, signal_registry_audit_log, signal_category_hierarchy created here</w:t>
            </w:r>
          </w:p>
        </w:tc>
      </w:tr>
      <w:tr>
        <w:tc>
          <w:tcPr>
            <w:tcW w:type="dxa" w:w="1400"/>
          </w:tcPr>
          <w:p>
            <w:r>
              <w:rPr>
                <w:sz w:val="18"/>
                <w:szCs w:val="18"/>
              </w:rPr>
              <w:t xml:space="preserve">55</w:t>
            </w:r>
          </w:p>
        </w:tc>
        <w:tc>
          <w:tcPr>
            <w:tcW w:type="dxa" w:w="4800"/>
          </w:tcPr>
          <w:p>
            <w:r>
              <w:rPr>
                <w:sz w:val="18"/>
                <w:szCs w:val="18"/>
              </w:rPr>
              <w:t xml:space="preserve">20260531000003_migration_1a_03_and_04.sql</w:t>
            </w:r>
          </w:p>
        </w:tc>
        <w:tc>
          <w:tcPr>
            <w:tcW w:type="dxa" w:w="3400"/>
          </w:tcPr>
          <w:p>
            <w:r>
              <w:rPr>
                <w:sz w:val="18"/>
                <w:szCs w:val="18"/>
              </w:rPr>
              <w:t xml:space="preserve">signal_ontology_edges created here</w:t>
            </w:r>
          </w:p>
        </w:tc>
      </w:tr>
      <w:tr>
        <w:tc>
          <w:tcPr>
            <w:tcW w:type="dxa" w:w="1400"/>
          </w:tcPr>
          <w:p>
            <w:r>
              <w:rPr>
                <w:sz w:val="18"/>
                <w:szCs w:val="18"/>
              </w:rPr>
              <w:t xml:space="preserve">56</w:t>
            </w:r>
          </w:p>
        </w:tc>
        <w:tc>
          <w:tcPr>
            <w:tcW w:type="dxa" w:w="4800"/>
          </w:tcPr>
          <w:p>
            <w:r>
              <w:rPr>
                <w:sz w:val="18"/>
                <w:szCs w:val="18"/>
              </w:rPr>
              <w:t xml:space="preserve">20260531000004_sprint_1c_migration_1c_01.sql</w:t>
            </w:r>
          </w:p>
        </w:tc>
        <w:tc>
          <w:tcPr>
            <w:tcW w:type="dxa" w:w="3400"/>
          </w:tcPr>
          <w:p>
            <w:r>
              <w:rPr>
                <w:sz w:val="18"/>
                <w:szCs w:val="18"/>
              </w:rPr>
              <w:t xml:space="preserve">Read-side governance RPCs; guards now satisfied</w:t>
            </w:r>
          </w:p>
        </w:tc>
      </w:tr>
      <w:tr>
        <w:tc>
          <w:tcPr>
            <w:tcW w:type="dxa" w:w="1400"/>
          </w:tcPr>
          <w:p>
            <w:r>
              <w:rPr>
                <w:sz w:val="18"/>
                <w:szCs w:val="18"/>
              </w:rPr>
              <w:t xml:space="preserve">57</w:t>
            </w:r>
          </w:p>
        </w:tc>
        <w:tc>
          <w:tcPr>
            <w:tcW w:type="dxa" w:w="4800"/>
          </w:tcPr>
          <w:p>
            <w:r>
              <w:rPr>
                <w:sz w:val="18"/>
                <w:szCs w:val="18"/>
              </w:rPr>
              <w:t xml:space="preserve">20260531000005_fn_approve_lineage_transition_drop_create.sql</w:t>
            </w:r>
          </w:p>
        </w:tc>
        <w:tc>
          <w:tcPr>
            <w:tcW w:type="dxa" w:w="3400"/>
          </w:tcPr>
          <w:p>
            <w:r>
              <w:rPr>
                <w:sz w:val="18"/>
                <w:szCs w:val="18"/>
              </w:rPr>
              <w:t xml:space="preserve">Function remediation; %ROWTYPE dependency now satisfied</w:t>
            </w:r>
          </w:p>
        </w:tc>
      </w:tr>
      <w:tr>
        <w:tc>
          <w:tcPr>
            <w:tcW w:type="dxa" w:w="1400"/>
          </w:tcPr>
          <w:p>
            <w:r>
              <w:rPr>
                <w:sz w:val="18"/>
                <w:szCs w:val="18"/>
              </w:rPr>
              <w:t xml:space="preserve">58–61</w:t>
            </w:r>
          </w:p>
        </w:tc>
        <w:tc>
          <w:tcPr>
            <w:tcW w:type="dxa" w:w="4800"/>
          </w:tcPr>
          <w:p>
            <w:r>
              <w:rPr>
                <w:sz w:val="18"/>
                <w:szCs w:val="18"/>
              </w:rPr>
              <w:t xml:space="preserve">20260601000001…000004 (RECONSTRUCTED trio + refinements)</w:t>
            </w:r>
          </w:p>
        </w:tc>
        <w:tc>
          <w:tcPr>
            <w:tcW w:type="dxa" w:w="3400"/>
          </w:tcPr>
          <w:p>
            <w:r>
              <w:rPr>
                <w:sz w:val="18"/>
                <w:szCs w:val="18"/>
              </w:rPr>
              <w:t xml:space="preserve">Unchanged, unaffected</w:t>
            </w:r>
          </w:p>
        </w:tc>
      </w:tr>
      <w:tr>
        <w:tc>
          <w:tcPr>
            <w:tcW w:type="dxa" w:w="1400"/>
          </w:tcPr>
          <w:p>
            <w:r>
              <w:rPr>
                <w:sz w:val="18"/>
                <w:szCs w:val="18"/>
              </w:rPr>
              <w:t xml:space="preserve">62</w:t>
            </w:r>
          </w:p>
        </w:tc>
        <w:tc>
          <w:tcPr>
            <w:tcW w:type="dxa" w:w="4800"/>
          </w:tcPr>
          <w:p>
            <w:r>
              <w:rPr>
                <w:sz w:val="18"/>
                <w:szCs w:val="18"/>
              </w:rPr>
              <w:t xml:space="preserve">20260607000001_migration_h1_01_signal_category_hierarchy_seed.sql</w:t>
            </w:r>
          </w:p>
        </w:tc>
        <w:tc>
          <w:tcPr>
            <w:tcW w:type="dxa" w:w="3400"/>
          </w:tcPr>
          <w:p>
            <w:r>
              <w:rPr>
                <w:sz w:val="18"/>
                <w:szCs w:val="18"/>
              </w:rPr>
              <w:t xml:space="preserve">Seed; now targets the 1A schema variant (see Section 7)</w:t>
            </w:r>
          </w:p>
        </w:tc>
      </w:tr>
      <w:tr>
        <w:tc>
          <w:tcPr>
            <w:tcW w:type="dxa" w:w="1400"/>
          </w:tcPr>
          <w:p>
            <w:r>
              <w:rPr>
                <w:sz w:val="18"/>
                <w:szCs w:val="18"/>
              </w:rPr>
              <w:t xml:space="preserve">63</w:t>
            </w:r>
          </w:p>
        </w:tc>
        <w:tc>
          <w:tcPr>
            <w:tcW w:type="dxa" w:w="4800"/>
          </w:tcPr>
          <w:p>
            <w:r>
              <w:rPr>
                <w:sz w:val="18"/>
                <w:szCs w:val="18"/>
              </w:rPr>
              <w:t xml:space="preserve">20260608000001_intelligence_foundation_layer.sql</w:t>
            </w:r>
          </w:p>
        </w:tc>
        <w:tc>
          <w:tcPr>
            <w:tcW w:type="dxa" w:w="3400"/>
          </w:tcPr>
          <w:p>
            <w:r>
              <w:rPr>
                <w:sz w:val="18"/>
                <w:szCs w:val="18"/>
              </w:rPr>
              <w:t xml:space="preserve">Unchanged position; its signal_category_hierarchy definition no longer wins the IF NOT EXISTS race (see Section 7)</w:t>
            </w:r>
          </w:p>
        </w:tc>
      </w:tr>
      <w:tr>
        <w:tc>
          <w:tcPr>
            <w:tcW w:type="dxa" w:w="1400"/>
          </w:tcPr>
          <w:p>
            <w:r>
              <w:rPr>
                <w:sz w:val="18"/>
                <w:szCs w:val="18"/>
              </w:rPr>
              <w:t xml:space="preserve">64–69</w:t>
            </w:r>
          </w:p>
        </w:tc>
        <w:tc>
          <w:tcPr>
            <w:tcW w:type="dxa" w:w="4800"/>
          </w:tcPr>
          <w:p>
            <w:r>
              <w:rPr>
                <w:sz w:val="18"/>
                <w:szCs w:val="18"/>
              </w:rPr>
              <w:t xml:space="preserve">20260616000001…000006 (A10 governance sequence)</w:t>
            </w:r>
          </w:p>
        </w:tc>
        <w:tc>
          <w:tcPr>
            <w:tcW w:type="dxa" w:w="3400"/>
          </w:tcPr>
          <w:p>
            <w:r>
              <w:rPr>
                <w:sz w:val="18"/>
                <w:szCs w:val="18"/>
              </w:rPr>
              <w:t xml:space="preserve">Unchanged. Position 68 (20260616000005, formerly the position-59 halt point) now finds signal_lineage already present.</w:t>
            </w:r>
          </w:p>
        </w:tc>
      </w:tr>
      <w:tr>
        <w:tc>
          <w:tcPr>
            <w:tcW w:type="dxa" w:w="1400"/>
          </w:tcPr>
          <w:p>
            <w:r>
              <w:rPr>
                <w:sz w:val="18"/>
                <w:szCs w:val="18"/>
              </w:rPr>
              <w:t xml:space="preserve">70</w:t>
            </w:r>
          </w:p>
        </w:tc>
        <w:tc>
          <w:tcPr>
            <w:tcW w:type="dxa" w:w="4800"/>
          </w:tcPr>
          <w:p>
            <w:r>
              <w:rPr>
                <w:sz w:val="18"/>
                <w:szCs w:val="18"/>
              </w:rPr>
              <w:t xml:space="preserve">20260706000001_wp_p2_01_sim_enterprise_foundation.sql</w:t>
            </w:r>
          </w:p>
        </w:tc>
        <w:tc>
          <w:tcPr>
            <w:tcW w:type="dxa" w:w="3400"/>
          </w:tcPr>
          <w:p>
            <w:r>
              <w:rPr>
                <w:sz w:val="18"/>
                <w:szCs w:val="18"/>
              </w:rPr>
              <w:t xml:space="preserve">Unchanged, last in chain</w:t>
            </w:r>
          </w:p>
        </w:tc>
      </w:tr>
    </w:tbl>
    <w:p>
      <w:pPr>
        <w:spacing w:after="140"/>
      </w:pPr>
      <w:r>
        <w:t xml:space="preserve">Positions 1–52 are unaffected by this batch and retain their original filenames and order.</w:t>
      </w:r>
    </w:p>
    <w:p>
      <w:pPr>
        <w:pStyle w:val="Heading1"/>
        <w:spacing w:after="160" w:before="320"/>
      </w:pPr>
      <w:r>
        <w:t xml:space="preserve">7. Dependency Impact</w:t>
      </w:r>
    </w:p>
    <w:p>
      <w:pPr>
        <w:spacing w:after="140"/>
      </w:pPr>
      <w:r>
        <w:t xml:space="preserve">Confirmed resolved by this batch:</w:t>
      </w:r>
    </w:p>
    <w:p>
      <w:pPr>
        <w:pStyle w:val="ListParagraph"/>
        <w:numPr>
          <w:ilvl w:val="0"/>
          <w:numId w:val="1"/>
        </w:numPr>
        <w:spacing w:after="80"/>
      </w:pPr>
      <w:r>
        <w:t xml:space="preserve">F1 (supabase db reset halts at position 59 with the WP-DB-005 exception) — the guard's dependency, public.signal_lineage, now executes at position 54, seven positions before the guard at its new position 68. Guard condition is satisfied by file-order construction.</w:t>
      </w:r>
    </w:p>
    <w:p>
      <w:pPr>
        <w:pStyle w:val="ListParagraph"/>
        <w:numPr>
          <w:ilvl w:val="0"/>
          <w:numId w:val="1"/>
        </w:numPr>
        <w:spacing w:after="80"/>
      </w:pPr>
      <w:r>
        <w:t xml:space="preserve">The Sprint 1C PREAMBLE guards (1C-01-P1…P6) — all four required objects (signal_lineage, signal_registry_audit_log, registry_audit_event_type_enum, lineage_type_enum) now execute at positions 53–54, immediately before Sprint 1C at its new position 56.</w:t>
      </w:r>
    </w:p>
    <w:p>
      <w:pPr>
        <w:pStyle w:val="ListParagraph"/>
        <w:numPr>
          <w:ilvl w:val="0"/>
          <w:numId w:val="1"/>
        </w:numPr>
        <w:spacing w:after="80"/>
      </w:pPr>
      <w:r>
        <w:t xml:space="preserve">Newly identified in this batch: fn_approve_lineage_transition_DROP_CREATE.sql's CREATE FUNCTION statement declares a public.signal_lineage%ROWTYPE variable — a PL/pgSQL parse-time dependency not previously documented in the Ordering Review's guard inventory. Satisfied by the new position (57), which follows signal_lineage's creation (54).</w:t>
      </w:r>
    </w:p>
    <w:p>
      <w:pPr>
        <w:spacing w:after="140"/>
      </w:pPr>
      <w:r>
        <w:t xml:space="preserve">Documented, not resolved (correctly out of scope for this batch):</w:t>
      </w:r>
    </w:p>
    <w:p>
      <w:pPr>
        <w:pStyle w:val="ListParagraph"/>
        <w:numPr>
          <w:ilvl w:val="0"/>
          <w:numId w:val="1"/>
        </w:numPr>
        <w:spacing w:after="80"/>
      </w:pPr>
      <w:r>
        <w:t xml:space="preserve">F3 — signal_category_hierarchy / signal_ontology_edges duplicate-schema race. Under the corrected order, the 1A cluster's definition (positions 54–55) now wins the IF NOT EXISTS race against 20260608000001_intelligence_foundation_layer.sql's definition (position 63), reversing the winner documented in the Ordering Review under the old order. This is an expected, unavoidable consequence of fixing F1/F2, anticipated in the Reconciliation Planning Report's Phase 1 objectives. It is a Group C decision (Requires Human Decision per the Planning Report's readiness assessment) and is not resolved here.</w:t>
      </w:r>
    </w:p>
    <w:p>
      <w:pPr>
        <w:pStyle w:val="ListParagraph"/>
        <w:numPr>
          <w:ilvl w:val="0"/>
          <w:numId w:val="1"/>
        </w:numPr>
        <w:spacing w:after="80"/>
      </w:pPr>
      <w:r>
        <w:t xml:space="preserve">F9 — Sprint 1C's reference to a "governance_audit" role and a "Sprint 1B security migration" remains unresolved; no such objects exist anywhere in this repository under any name. Requires runtime/organizational verification outside this batch's scope.</w:t>
      </w:r>
    </w:p>
    <w:p>
      <w:pPr>
        <w:pStyle w:val="ListParagraph"/>
        <w:numPr>
          <w:ilvl w:val="0"/>
          <w:numId w:val="1"/>
        </w:numPr>
        <w:spacing w:after="80"/>
      </w:pPr>
      <w:r>
        <w:t xml:space="preserve">F10 — migration_H1_01's INSERT column list (level, taxonomy_version) was verified in this pass to match the 1A cluster's schema variant, which — as a consequence of F3's reversal above — is now the variant that wins under the corrected order. This is a favorable, though incidental, outcome: the seed's own header comment names the 1A cluster as its intended dependency, and the corrected order now honors that intent. Column-by-column verification against a live database was not performed.</w:t>
      </w:r>
    </w:p>
    <w:p>
      <w:pPr>
        <w:pStyle w:val="Heading1"/>
        <w:spacing w:after="160" w:before="320"/>
      </w:pPr>
      <w:r>
        <w:t xml:space="preserve">8. Validation Results</w:t>
      </w:r>
    </w:p>
    <w:p>
      <w:pPr>
        <w:spacing w:after="100"/>
      </w:pPr>
      <w:r>
        <w:rPr>
          <w:b/>
          <w:bCs/>
        </w:rPr>
        <w:t xml:space="preserve">Performed in this environment (static/textual analysis):</w:t>
      </w:r>
    </w:p>
    <w:p>
      <w:pPr>
        <w:pStyle w:val="ListParagraph"/>
        <w:numPr>
          <w:ilvl w:val="0"/>
          <w:numId w:val="1"/>
        </w:numPr>
        <w:spacing w:after="80"/>
      </w:pPr>
      <w:r>
        <w:t xml:space="preserve">Full directory listing and lexicographic sort of all 70 .sql files, confirming the new execution order end-to-end.</w:t>
      </w:r>
    </w:p>
    <w:p>
      <w:pPr>
        <w:pStyle w:val="ListParagraph"/>
        <w:numPr>
          <w:ilvl w:val="0"/>
          <w:numId w:val="1"/>
        </w:numPr>
        <w:spacing w:after="80"/>
      </w:pPr>
      <w:r>
        <w:t xml:space="preserve">Duplicate-filename check across the full migrations directory — none found.</w:t>
      </w:r>
    </w:p>
    <w:p>
      <w:pPr>
        <w:pStyle w:val="ListParagraph"/>
        <w:numPr>
          <w:ilvl w:val="0"/>
          <w:numId w:val="1"/>
        </w:numPr>
        <w:spacing w:after="80"/>
      </w:pPr>
      <w:r>
        <w:t xml:space="preserve">Text-level re-verification of all four Sprint 1C PREAMBLE guard objects against their now-corrected creation order.</w:t>
      </w:r>
    </w:p>
    <w:p>
      <w:pPr>
        <w:pStyle w:val="ListParagraph"/>
        <w:numPr>
          <w:ilvl w:val="0"/>
          <w:numId w:val="1"/>
        </w:numPr>
        <w:spacing w:after="80"/>
      </w:pPr>
      <w:r>
        <w:t xml:space="preserve">Text-level re-verification of the WP-DB-005 guard clause's object dependency against its now-corrected creation order.</w:t>
      </w:r>
    </w:p>
    <w:p>
      <w:pPr>
        <w:pStyle w:val="ListParagraph"/>
        <w:numPr>
          <w:ilvl w:val="0"/>
          <w:numId w:val="1"/>
        </w:numPr>
        <w:spacing w:after="80"/>
      </w:pPr>
      <w:r>
        <w:t xml:space="preserve">Full-file grep of fn_approve_lineage_transition_DROP_CREATE.sql for every public schema object referenced, cross-checked against the corrected order — all four references (fn_approve_lineage_transition, signal_category_hierarchy, signal_lineage, signal_registry_audit_log) resolve before this file's new position.</w:t>
      </w:r>
    </w:p>
    <w:p>
      <w:pPr>
        <w:pStyle w:val="ListParagraph"/>
        <w:numPr>
          <w:ilvl w:val="0"/>
          <w:numId w:val="1"/>
        </w:numPr>
        <w:spacing w:after="80"/>
      </w:pPr>
      <w:r>
        <w:t xml:space="preserve">Repository-wide search for external references to the 9 old filenames, to catch any script or documentation breakage — 4 non-blocking references found and logged in Section 5.</w:t>
      </w:r>
    </w:p>
    <w:p>
      <w:pPr>
        <w:spacing w:after="100"/>
      </w:pPr>
      <w:r>
        <w:rPr>
          <w:b/>
          <w:bCs/>
        </w:rPr>
        <w:t xml:space="preserve">Recommended but NOT performed (no Supabase CLI, no database connection, no Docker available in this sandboxed environment):</w:t>
      </w:r>
    </w:p>
    <w:p>
      <w:pPr>
        <w:pStyle w:val="ListParagraph"/>
        <w:numPr>
          <w:ilvl w:val="0"/>
          <w:numId w:val="1"/>
        </w:numPr>
        <w:spacing w:after="80"/>
      </w:pPr>
      <w:r>
        <w:t xml:space="preserve">`supabase db reset` against a disposable project — the definitive test that the chain now completes without the WP-DB-005 or 1C-01 exceptions firing.</w:t>
      </w:r>
    </w:p>
    <w:p>
      <w:pPr>
        <w:pStyle w:val="ListParagraph"/>
        <w:numPr>
          <w:ilvl w:val="0"/>
          <w:numId w:val="1"/>
        </w:numPr>
        <w:spacing w:after="80"/>
      </w:pPr>
      <w:r>
        <w:t xml:space="preserve">Live migration replay from a clean database.</w:t>
      </w:r>
    </w:p>
    <w:p>
      <w:pPr>
        <w:pStyle w:val="ListParagraph"/>
        <w:numPr>
          <w:ilvl w:val="0"/>
          <w:numId w:val="1"/>
        </w:numPr>
        <w:spacing w:after="80"/>
      </w:pPr>
      <w:r>
        <w:t xml:space="preserve">Live pg_proc.proowner / pg_trigger inspection for F6/F7 (unrelated to this batch's scope, but relevant to overall closure).</w:t>
      </w:r>
    </w:p>
    <w:p>
      <w:pPr>
        <w:spacing w:after="140"/>
      </w:pPr>
      <w:r>
        <w:t xml:space="preserve">Abheesh: the next concrete step to close this out is running `supabase db reset` against a disposable Supabase project with these renamed files, since that is the only way to convert this batch's static verification into an observed runtime result.</w:t>
      </w:r>
    </w:p>
    <w:p>
      <w:pPr>
        <w:pStyle w:val="Heading1"/>
        <w:spacing w:after="160" w:before="320"/>
      </w:pPr>
      <w:r>
        <w:t xml:space="preserve">9. Change Log</w:t>
      </w:r>
    </w:p>
    <w:p>
      <w:pPr>
        <w:spacing w:after="100"/>
      </w:pPr>
      <w:r>
        <w:rPr>
          <w:b/>
          <w:bCs/>
        </w:rPr>
        <w:t xml:space="preserve">Files renamed (9):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300"/>
        <w:gridCol w:w="2000"/>
      </w:tblGrid>
      <w:tr>
        <w:trPr>
          <w:tblHeader/>
        </w:trPr>
        <w:tc>
          <w:tcPr>
            <w:tcW w:type="dxa" w:w="1000"/>
            <w:shd w:fill="1F2937" w:val="clear"/>
          </w:tcPr>
          <w:p>
            <w:r>
              <w:rPr>
                <w:b/>
                <w:bCs/>
                <w:color w:val="FFFFFF"/>
                <w:sz w:val="18"/>
                <w:szCs w:val="18"/>
              </w:rPr>
              <w:t xml:space="preserve">Action</w:t>
            </w:r>
          </w:p>
        </w:tc>
        <w:tc>
          <w:tcPr>
            <w:tcW w:type="dxa" w:w="3300"/>
            <w:shd w:fill="1F2937" w:val="clear"/>
          </w:tcPr>
          <w:p>
            <w:r>
              <w:rPr>
                <w:b/>
                <w:bCs/>
                <w:color w:val="FFFFFF"/>
                <w:sz w:val="18"/>
                <w:szCs w:val="18"/>
              </w:rPr>
              <w:t xml:space="preserve">Original name</w:t>
            </w:r>
          </w:p>
        </w:tc>
        <w:tc>
          <w:tcPr>
            <w:tcW w:type="dxa" w:w="3300"/>
            <w:shd w:fill="1F2937" w:val="clear"/>
          </w:tcPr>
          <w:p>
            <w:r>
              <w:rPr>
                <w:b/>
                <w:bCs/>
                <w:color w:val="FFFFFF"/>
                <w:sz w:val="18"/>
                <w:szCs w:val="18"/>
              </w:rPr>
              <w:t xml:space="preserve">New name</w:t>
            </w:r>
          </w:p>
        </w:tc>
        <w:tc>
          <w:tcPr>
            <w:tcW w:type="dxa" w:w="2000"/>
            <w:shd w:fill="1F2937" w:val="clear"/>
          </w:tcPr>
          <w:p>
            <w:r>
              <w:rPr>
                <w:b/>
                <w:bCs/>
                <w:color w:val="FFFFFF"/>
                <w:sz w:val="18"/>
                <w:szCs w:val="18"/>
              </w:rPr>
              <w:t xml:space="preserve">Location</w:t>
            </w:r>
          </w:p>
        </w:tc>
      </w:tr>
      <w:tr>
        <w:tc>
          <w:tcPr>
            <w:tcW w:type="dxa" w:w="1000"/>
          </w:tcPr>
          <w:p>
            <w:r>
              <w:rPr>
                <w:sz w:val="18"/>
                <w:szCs w:val="18"/>
              </w:rPr>
              <w:t xml:space="preserve">Rename</w:t>
            </w:r>
          </w:p>
        </w:tc>
        <w:tc>
          <w:tcPr>
            <w:tcW w:type="dxa" w:w="3300"/>
          </w:tcPr>
          <w:p>
            <w:r>
              <w:rPr>
                <w:sz w:val="18"/>
                <w:szCs w:val="18"/>
              </w:rPr>
              <w:t xml:space="preserve">supabase_bootstrap_fix.sql</w:t>
            </w:r>
          </w:p>
        </w:tc>
        <w:tc>
          <w:tcPr>
            <w:tcW w:type="dxa" w:w="3300"/>
          </w:tcPr>
          <w:p>
            <w:r>
              <w:rPr>
                <w:sz w:val="18"/>
                <w:szCs w:val="18"/>
              </w:rPr>
              <w:t xml:space="preserve">20260320000001_supabase_bootstrap_fix.sql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add-phase4b-governance-observability.migration.sql</w:t>
            </w:r>
          </w:p>
        </w:tc>
        <w:tc>
          <w:tcPr>
            <w:tcW w:type="dxa" w:w="3300"/>
          </w:tcPr>
          <w:p>
            <w:r>
              <w:rPr>
                <w:sz w:val="18"/>
                <w:szCs w:val="18"/>
              </w:rPr>
              <w:t xml:space="preserve">20260518000000_add_phase4b_governance_observability.sql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phase2_intelligent_onboarding.sql</w:t>
            </w:r>
          </w:p>
        </w:tc>
        <w:tc>
          <w:tcPr>
            <w:tcW w:type="dxa" w:w="3300"/>
          </w:tcPr>
          <w:p>
            <w:r>
              <w:rPr>
                <w:sz w:val="18"/>
                <w:szCs w:val="18"/>
              </w:rPr>
              <w:t xml:space="preserve">20260525230000_phase2_intelligent_onboarding.sql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migration_1A_01_enums.sql</w:t>
            </w:r>
          </w:p>
        </w:tc>
        <w:tc>
          <w:tcPr>
            <w:tcW w:type="dxa" w:w="3300"/>
          </w:tcPr>
          <w:p>
            <w:r>
              <w:rPr>
                <w:sz w:val="18"/>
                <w:szCs w:val="18"/>
              </w:rPr>
              <w:t xml:space="preserve">20260531000001_migration_1a_01_enums.sql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migration_1A_02_core_tables.sql</w:t>
            </w:r>
          </w:p>
        </w:tc>
        <w:tc>
          <w:tcPr>
            <w:tcW w:type="dxa" w:w="3300"/>
          </w:tcPr>
          <w:p>
            <w:r>
              <w:rPr>
                <w:sz w:val="18"/>
                <w:szCs w:val="18"/>
              </w:rPr>
              <w:t xml:space="preserve">20260531000002_migration_1a_02_core_tables.sql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migration_1A_03_and_04.sql</w:t>
            </w:r>
          </w:p>
        </w:tc>
        <w:tc>
          <w:tcPr>
            <w:tcW w:type="dxa" w:w="3300"/>
          </w:tcPr>
          <w:p>
            <w:r>
              <w:rPr>
                <w:sz w:val="18"/>
                <w:szCs w:val="18"/>
              </w:rPr>
              <w:t xml:space="preserve">20260531000003_migration_1a_03_and_04.sql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Sprint_1C_Migration_1C_01.sql</w:t>
            </w:r>
          </w:p>
        </w:tc>
        <w:tc>
          <w:tcPr>
            <w:tcW w:type="dxa" w:w="3300"/>
          </w:tcPr>
          <w:p>
            <w:r>
              <w:rPr>
                <w:sz w:val="18"/>
                <w:szCs w:val="18"/>
              </w:rPr>
              <w:t xml:space="preserve">20260531000004_sprint_1c_migration_1c_01.sql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fn_approve_lineage_transition_DROP_CREATE.sql</w:t>
            </w:r>
          </w:p>
        </w:tc>
        <w:tc>
          <w:tcPr>
            <w:tcW w:type="dxa" w:w="3300"/>
          </w:tcPr>
          <w:p>
            <w:r>
              <w:rPr>
                <w:sz w:val="18"/>
                <w:szCs w:val="18"/>
              </w:rPr>
              <w:t xml:space="preserve">20260531000005_fn_approve_lineage_transition_drop_create.sql</w:t>
            </w:r>
          </w:p>
        </w:tc>
        <w:tc>
          <w:tcPr>
            <w:tcW w:type="dxa" w:w="2000"/>
          </w:tcPr>
          <w:p>
            <w:r>
              <w:rPr>
                <w:sz w:val="18"/>
                <w:szCs w:val="18"/>
              </w:rPr>
              <w:t xml:space="preserve">core/supabase/migrations/</w:t>
            </w:r>
          </w:p>
        </w:tc>
      </w:tr>
      <w:tr>
        <w:tc>
          <w:tcPr>
            <w:tcW w:type="dxa" w:w="1000"/>
          </w:tcPr>
          <w:p>
            <w:r>
              <w:rPr>
                <w:sz w:val="18"/>
                <w:szCs w:val="18"/>
              </w:rPr>
              <w:t xml:space="preserve">Rename</w:t>
            </w:r>
          </w:p>
        </w:tc>
        <w:tc>
          <w:tcPr>
            <w:tcW w:type="dxa" w:w="3300"/>
          </w:tcPr>
          <w:p>
            <w:r>
              <w:rPr>
                <w:sz w:val="18"/>
                <w:szCs w:val="18"/>
              </w:rPr>
              <w:t xml:space="preserve">migration_H1_01_signal_category_hierarchy_seed.sql</w:t>
            </w:r>
          </w:p>
        </w:tc>
        <w:tc>
          <w:tcPr>
            <w:tcW w:type="dxa" w:w="3300"/>
          </w:tcPr>
          <w:p>
            <w:r>
              <w:rPr>
                <w:sz w:val="18"/>
                <w:szCs w:val="18"/>
              </w:rPr>
              <w:t xml:space="preserve">20260607000001_migration_h1_01_signal_category_hierarchy_seed.sql</w:t>
            </w:r>
          </w:p>
        </w:tc>
        <w:tc>
          <w:tcPr>
            <w:tcW w:type="dxa" w:w="2000"/>
          </w:tcPr>
          <w:p>
            <w:r>
              <w:rPr>
                <w:sz w:val="18"/>
                <w:szCs w:val="18"/>
              </w:rPr>
              <w:t xml:space="preserve">core/supabase/migrations/</w:t>
            </w:r>
          </w:p>
        </w:tc>
      </w:tr>
    </w:tbl>
    <w:p>
      <w:pPr>
        <w:spacing w:after="140"/>
      </w:pPr>
      <w:r>
        <w:t xml:space="preserve">Files added: none. Files removed: none. File contents modified: none — every rename preserved the file's bytes exactly.</w:t>
      </w:r>
    </w:p>
    <w:p>
      <w:pPr>
        <w:spacing w:after="140"/>
      </w:pPr>
      <w:r>
        <w:t xml:space="preserve">Repository impact: limited to core/supabase/migrations/. No other directory was modified. Migration impact: execution order only; no schema, function, or policy definitions were changed.</w:t>
      </w:r>
    </w:p>
    <w:p>
      <w:pPr>
        <w:pStyle w:val="Heading1"/>
        <w:spacing w:after="160" w:before="320"/>
      </w:pPr>
      <w:r>
        <w:t xml:space="preserve">10. Risk Assessment</w:t>
      </w:r>
    </w:p>
    <w:p>
      <w:pPr>
        <w:pStyle w:val="ListParagraph"/>
        <w:numPr>
          <w:ilvl w:val="0"/>
          <w:numId w:val="1"/>
        </w:numPr>
        <w:spacing w:after="80"/>
      </w:pPr>
      <w:r>
        <w:t xml:space="preserve">Rollback risk: Low. Every change in this batch is a filename change; reverting is a plain rename back to the original 9 filenames.</w:t>
      </w:r>
    </w:p>
    <w:p>
      <w:pPr>
        <w:pStyle w:val="ListParagraph"/>
        <w:numPr>
          <w:ilvl w:val="0"/>
          <w:numId w:val="1"/>
        </w:numPr>
        <w:spacing w:after="80"/>
      </w:pPr>
      <w:r>
        <w:t xml:space="preserve">Regression risk from this batch specifically: Low. No SQL content was altered, so no new object, column, or logic exists that did not exist before.</w:t>
      </w:r>
    </w:p>
    <w:p>
      <w:pPr>
        <w:pStyle w:val="ListParagraph"/>
        <w:numPr>
          <w:ilvl w:val="0"/>
          <w:numId w:val="1"/>
        </w:numPr>
        <w:spacing w:after="80"/>
      </w:pPr>
      <w:r>
        <w:t xml:space="preserve">Residual risk carried forward (not introduced by this batch): the F3 schema-race reversal (Section 7) changes which of two incompatible table definitions is authoritative on any future clean rebuild. This is a Medium/High risk already flagged by prior reports as a Human Decision gate (Group C) — this batch surfaces it in its resolved form but does not mitigate it.</w:t>
      </w:r>
    </w:p>
    <w:p>
      <w:pPr>
        <w:pStyle w:val="ListParagraph"/>
        <w:numPr>
          <w:ilvl w:val="0"/>
          <w:numId w:val="1"/>
        </w:numPr>
        <w:spacing w:after="80"/>
      </w:pPr>
      <w:r>
        <w:t xml:space="preserve">Verification risk: Medium. Because no live dry run was possible in this environment, the claim that the chain now completes successfully is supported by consistent static evidence across all documented guard clauses, but is not yet an observed fact.</w:t>
      </w:r>
    </w:p>
    <w:p>
      <w:pPr>
        <w:pStyle w:val="Heading1"/>
        <w:spacing w:after="160" w:before="320"/>
      </w:pPr>
      <w:r>
        <w:t xml:space="preserve">11. Deferred Findings</w:t>
      </w:r>
    </w:p>
    <w:p>
      <w:pPr>
        <w:spacing w:after="140"/>
      </w:pPr>
      <w:r>
        <w:t xml:space="preserve">Explicitly deferred to future work packages, unchanged from the Reconciliation Planning Report:</w:t>
      </w:r>
    </w:p>
    <w:p>
      <w:pPr>
        <w:pStyle w:val="ListParagraph"/>
        <w:numPr>
          <w:ilvl w:val="0"/>
          <w:numId w:val="1"/>
        </w:numPr>
        <w:spacing w:after="80"/>
      </w:pPr>
      <w:r>
        <w:t xml:space="preserve">Group C — Duplicate object reconciliation for signal_category_hierarchy and signal_ontology_edges (F3), and confirmation that the 5 idempotent duplicate tables (F4) are genuinely compatible.</w:t>
      </w:r>
    </w:p>
    <w:p>
      <w:pPr>
        <w:pStyle w:val="ListParagraph"/>
        <w:numPr>
          <w:ilvl w:val="0"/>
          <w:numId w:val="1"/>
        </w:numPr>
        <w:spacing w:after="80"/>
      </w:pPr>
      <w:r>
        <w:t xml:space="preserve">Group D — Phantom-dependency pattern in the three RECONSTRUCTED migrations (F5); resolution of the "governance_audit" role and "Sprint 1B" references (F9).</w:t>
      </w:r>
    </w:p>
    <w:p>
      <w:pPr>
        <w:pStyle w:val="ListParagraph"/>
        <w:numPr>
          <w:ilvl w:val="0"/>
          <w:numId w:val="1"/>
        </w:numPr>
        <w:spacing w:after="80"/>
      </w:pPr>
      <w:r>
        <w:t xml:space="preserve">Group E — Runtime ownership verification for fn_approve_lineage_transition() and handle_new_user() (F6/F7); the same-object conflict between supabase_bootstrap_fix.sql and 20260519000001_fix_handle_new_user_trigger.sql remains unresolved (this batch renamed the file but did not touch its content or resolve the conflict).</w:t>
      </w:r>
    </w:p>
    <w:p>
      <w:pPr>
        <w:pStyle w:val="ListParagraph"/>
        <w:numPr>
          <w:ilvl w:val="0"/>
          <w:numId w:val="1"/>
        </w:numPr>
        <w:spacing w:after="80"/>
      </w:pPr>
      <w:r>
        <w:t xml:space="preserve">Group F — Column-by-column seed verification for migration_H1_01 against a live database (F10).</w:t>
      </w:r>
    </w:p>
    <w:p>
      <w:pPr>
        <w:pStyle w:val="ListParagraph"/>
        <w:numPr>
          <w:ilvl w:val="0"/>
          <w:numId w:val="1"/>
        </w:numPr>
        <w:spacing w:after="80"/>
      </w:pPr>
      <w:r>
        <w:t xml:space="preserve">Group G — Disposition of the extensionless "Forward Migration SQL" artifact (F8), and confirmation of add-phase4b-governance-observability's double-extension handling by the live Supabase CLI.</w:t>
      </w:r>
    </w:p>
    <w:p>
      <w:pPr>
        <w:pStyle w:val="ListParagraph"/>
        <w:numPr>
          <w:ilvl w:val="0"/>
          <w:numId w:val="1"/>
        </w:numPr>
        <w:spacing w:after="80"/>
      </w:pPr>
      <w:r>
        <w:t xml:space="preserve">Group H — Canonical schema artifact acquisition (F11) — unchanged, still blocking full enterprise closure regardless of this batch's outcome.</w:t>
      </w:r>
    </w:p>
    <w:p>
      <w:pPr>
        <w:pStyle w:val="ListParagraph"/>
        <w:numPr>
          <w:ilvl w:val="0"/>
          <w:numId w:val="1"/>
        </w:numPr>
        <w:spacing w:after="80"/>
      </w:pPr>
      <w:r>
        <w:t xml:space="preserve">New, minor: the 4 stale filename references identified in Section 5 (documentation/script mentions of the old filenames).</w:t>
      </w:r>
    </w:p>
    <w:p>
      <w:pPr>
        <w:pStyle w:val="Heading1"/>
        <w:spacing w:after="160" w:before="320"/>
      </w:pPr>
      <w:r>
        <w:t xml:space="preserve">12. Batch Completion Assessment</w:t>
      </w:r>
    </w:p>
    <w:p>
      <w:pPr>
        <w:spacing w:after="140"/>
      </w:pPr>
      <w:r>
        <w:t xml:space="preserve">Batch 1 success criteria, assessed against the work package's own definition:</w:t>
      </w:r>
    </w:p>
    <w:p>
      <w:pPr>
        <w:pStyle w:val="ListParagraph"/>
        <w:numPr>
          <w:ilvl w:val="0"/>
          <w:numId w:val="1"/>
        </w:numPr>
        <w:spacing w:after="80"/>
      </w:pPr>
      <w:r>
        <w:t xml:space="preserve">Approved execution-order changes implemented — YES (9 renames, Section 4).</w:t>
      </w:r>
    </w:p>
    <w:p>
      <w:pPr>
        <w:pStyle w:val="ListParagraph"/>
        <w:numPr>
          <w:ilvl w:val="0"/>
          <w:numId w:val="1"/>
        </w:numPr>
        <w:spacing w:after="80"/>
      </w:pPr>
      <w:r>
        <w:t xml:space="preserve">Repository naming internally consistent — YES (Section 5).</w:t>
      </w:r>
    </w:p>
    <w:p>
      <w:pPr>
        <w:pStyle w:val="ListParagraph"/>
        <w:numPr>
          <w:ilvl w:val="0"/>
          <w:numId w:val="1"/>
        </w:numPr>
        <w:spacing w:after="80"/>
      </w:pPr>
      <w:r>
        <w:t xml:space="preserve">Migration ordering aligns with documented dependencies — YES, confirmed by static re-verification (Section 7); NOT YET confirmed by live execution (Section 8).</w:t>
      </w:r>
    </w:p>
    <w:p>
      <w:pPr>
        <w:pStyle w:val="ListParagraph"/>
        <w:numPr>
          <w:ilvl w:val="0"/>
          <w:numId w:val="1"/>
        </w:numPr>
        <w:spacing w:after="80"/>
      </w:pPr>
      <w:r>
        <w:t xml:space="preserve">No new ordering issues introduced — YES, so far as static analysis can confirm; the one new fact found (fn_approve %ROWTYPE dependency) was found to be satisfied, not violated, by the chosen order.</w:t>
      </w:r>
    </w:p>
    <w:p>
      <w:pPr>
        <w:pStyle w:val="ListParagraph"/>
        <w:numPr>
          <w:ilvl w:val="0"/>
          <w:numId w:val="1"/>
        </w:numPr>
        <w:spacing w:after="80"/>
      </w:pPr>
      <w:r>
        <w:t xml:space="preserve">Validation completed or explicitly documented as pending — YES; Section 8 states plainly what was and was not performed.</w:t>
      </w:r>
    </w:p>
    <w:p>
      <w:pPr>
        <w:pStyle w:val="ListParagraph"/>
        <w:numPr>
          <w:ilvl w:val="0"/>
          <w:numId w:val="1"/>
        </w:numPr>
        <w:spacing w:after="80"/>
      </w:pPr>
      <w:r>
        <w:t xml:space="preserve">All deferred work recorded — YES (Section 11).</w:t>
      </w:r>
    </w:p>
    <w:p>
      <w:pPr>
        <w:spacing w:after="140"/>
      </w:pPr>
      <w:r>
        <w:t xml:space="preserve">Overall: Batch 1 is complete for the scope that can be executed and verified without live database access. The batch is NOT yet closed in the full enterprise sense, because the required `supabase db reset` dry run — the definitive success test named in both the work package and the Reconciliation Planning Report — has not been observed. This report recommends that WP-DB-01A — Enterprise Verification proceed by running that dry run against a disposable Supabase project.</w:t>
      </w:r>
    </w:p>
    <w:p>
      <w:pPr>
        <w:pStyle w:val="Heading1"/>
        <w:spacing w:after="160" w:before="320"/>
      </w:pPr>
      <w:r>
        <w:t xml:space="preserve">13. Enterprise Recommendations</w:t>
      </w:r>
    </w:p>
    <w:p>
      <w:pPr>
        <w:pStyle w:val="ListParagraph"/>
        <w:numPr>
          <w:ilvl w:val="0"/>
          <w:numId w:val="1"/>
        </w:numPr>
        <w:spacing w:after="80"/>
      </w:pPr>
      <w:r>
        <w:t xml:space="preserve">Run `supabase db reset` against a disposable project using this renamed migration set as the immediate next step, before treating F1 as fully closed.</w:t>
      </w:r>
    </w:p>
    <w:p>
      <w:pPr>
        <w:pStyle w:val="ListParagraph"/>
        <w:numPr>
          <w:ilvl w:val="0"/>
          <w:numId w:val="1"/>
        </w:numPr>
        <w:spacing w:after="80"/>
      </w:pPr>
      <w:r>
        <w:t xml:space="preserve">Update the 4 stale filename references found in Section 5 as a small, low-risk documentation follow-up — not blocking, but cheap to fix.</w:t>
      </w:r>
    </w:p>
    <w:p>
      <w:pPr>
        <w:pStyle w:val="ListParagraph"/>
        <w:numPr>
          <w:ilvl w:val="0"/>
          <w:numId w:val="1"/>
        </w:numPr>
        <w:spacing w:after="80"/>
      </w:pPr>
      <w:r>
        <w:t xml:space="preserve">Treat Group C (the signal_category_hierarchy / signal_ontology_edges schema decision) as the next priority Human Decision, since Batch 1 has now made its resolution concrete and reversed from the prior default — whoever owns the application code paths reading these tables should be looped in before any further migration work proceeds.</w:t>
      </w:r>
    </w:p>
    <w:p>
      <w:pPr>
        <w:pStyle w:val="ListParagraph"/>
        <w:numPr>
          <w:ilvl w:val="0"/>
          <w:numId w:val="1"/>
        </w:numPr>
        <w:spacing w:after="80"/>
      </w:pPr>
      <w:r>
        <w:t xml:space="preserve">Apply these same 9 renames via `git mv` in the actual repository (not plain `mv`) to preserve file history, since this environment's copy of the repository did not include version-control metadata.</w:t>
      </w:r>
    </w:p>
    <w:p>
      <w:pPr>
        <w:pStyle w:val="ListParagraph"/>
        <w:numPr>
          <w:ilvl w:val="0"/>
          <w:numId w:val="1"/>
        </w:numPr>
        <w:spacing w:after="80"/>
      </w:pPr>
      <w:r>
        <w:t xml:space="preserve">Carry forward, unchanged, the Reconciliation Planning Report's standing recommendation: add a CI lint step rejecting new migration files without a valid timestamp prefix, to prevent this finding class from recurring.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2026-07-07T06:12:29.715Z</dcterms:created>
  <dcterms:modified xsi:type="dcterms:W3CDTF">2026-07-07T06:12:29.715Z</dcterms:modified>
</cp:coreProperties>
</file>

<file path=docProps/custom.xml><?xml version="1.0" encoding="utf-8"?>
<Properties xmlns="http://schemas.openxmlformats.org/officeDocument/2006/custom-properties" xmlns:vt="http://schemas.openxmlformats.org/officeDocument/2006/docPropsVTypes"/>
</file>