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WP-DB-01 — Enterprise Migration Ordering Review</w:t>
      </w:r>
    </w:p>
    <w:p>
      <w:pPr>
        <w:spacing w:after="120"/>
      </w:pPr>
      <w:r>
        <w:rPr>
          <w:b/>
          <w:bCs/>
          <w:sz w:val="26"/>
          <w:szCs w:val="26"/>
        </w:rPr>
        <w:t xml:space="preserve">HireRise Supabase Migration Chain — Deterministic Execution Order Assessment</w:t>
      </w:r>
    </w:p>
    <w:p>
      <w:pPr>
        <w:spacing w:after="120"/>
      </w:pPr>
      <w:r>
        <w:rPr>
          <w:i/>
          <w:iCs/>
        </w:rPr>
        <w:t xml:space="preserve">Work Package: WP-DB-01 — Enterprise Migration Ordering Review</w:t>
      </w:r>
    </w:p>
    <w:p>
      <w:pPr>
        <w:spacing w:after="120"/>
      </w:pPr>
      <w:r>
        <w:t xml:space="preserve">Prepared by: Claude, acting as Enterprise Database Architect</w:t>
      </w:r>
    </w:p>
    <w:p>
      <w:pPr>
        <w:spacing w:after="120"/>
      </w:pPr>
      <w:r>
        <w:t xml:space="preserve">Governing assumption: a freshly cloned repository, executed via `supabase db reset` against a clean database, with no historical execution order, manual steps, or production history assumed.</w:t>
      </w:r>
    </w:p>
    <w:p>
      <w:pPr>
        <w:spacing w:after="120"/>
      </w:pPr>
      <w:r>
        <w:t xml:space="preserve">Status: Analytical only. No files modified, renamed, or reordered. No SQL generated. No reconciliation proposed.</w:t>
      </w:r>
    </w:p>
    <w:p>
      <w:r>
        <w:br w:type="page"/>
      </w:r>
    </w:p>
    <w:p>
      <w:pPr>
        <w:pStyle w:val="Heading1"/>
        <w:spacing w:after="150" w:before="300"/>
      </w:pPr>
      <w:r>
        <w:t xml:space="preserve">1. Executive Summary</w:t>
      </w:r>
    </w:p>
    <w:p>
      <w:pPr>
        <w:spacing w:after="120"/>
      </w:pPr>
      <w:r>
        <w:t xml:space="preserve">This review builds directly on the Enterprise Dependency Analysis and asks a narrower, sharper question: does the current filename-driven execution order actually satisfy the dependency graph already established? The answer, established with a high confidence and in one case with certainty, is no.</w:t>
      </w:r>
    </w:p>
    <w:p>
      <w:pPr>
        <w:spacing w:after="120"/>
      </w:pPr>
      <w:r>
        <w:rPr>
          <w:b/>
          <w:bCs/>
        </w:rPr>
        <w:t xml:space="preserve">The single highest-confidence finding in this review is that the current migration chain does NOT execute deterministically to completion on a clean `supabase db reset`, because a migration in the chain contains an unconditional, author-written guard clause that will raise an exception given the current file ordering.</w:t>
      </w:r>
    </w:p>
    <w:p>
      <w:pPr>
        <w:spacing w:after="120"/>
      </w:pPr>
      <w:r>
        <w:t xml:space="preserve">Specifically: 20260616000005_a10_governance_event_store.sql (execution position 59 of 70) contains a DO block, labelled by the repository's own convention as a 'WP-DB-005 dependency guard', that queries information_schema.tables for public.signal_lineage and calls RAISE EXCEPTION with an explicit message if the table is absent. public.signal_lineage's only creating migration in this repository, migration_1A_02_core_tables.sql, executes at position 66 of 70 — seven positions later. This is not a predicted risk; it is a confirmed halt condition, written into the migration itself by a prior author who was aware of the exact dependency being violated.</w:t>
      </w:r>
    </w:p>
    <w:p>
      <w:pPr>
        <w:spacing w:after="120"/>
      </w:pPr>
      <w:r>
        <w:t xml:space="preserve">A second, independently confirmed violation sits further down the chain (and would never be reached in a single clean run, because the first halt occurs earlier): Sprint_1C_Migration_1C_01.sql (position 62) contains six labelled preamble checks (1C-01-P1 through P6) that similarly RAISE EXCEPTION if signal_lineage, signal_registry_audit_log, registry_audit_event_type_enum, or lineage_type_enum are missing — all of which are created only in the two migration_1A_0x files that execute after it.</w:t>
      </w:r>
    </w:p>
    <w:p>
      <w:pPr>
        <w:spacing w:after="120"/>
      </w:pPr>
      <w:r>
        <w:t xml:space="preserve">Net conclusion: the migration repository, as currently ordered, cannot reconstruct the canonical database from a clean `supabase db reset` in a single deterministic pass. Execution would halt at position 59 of 70. Everything after that point in the current file order — including all remaining A10 governance objects and the most recent SIM enterprise foundation migration — would never execute in that run.</w:t>
      </w:r>
    </w:p>
    <w:p>
      <w:pPr>
        <w:pStyle w:val="Heading1"/>
        <w:spacing w:after="150" w:before="300"/>
      </w:pPr>
      <w:r>
        <w:t xml:space="preserve">2. Migration Execution Overview</w:t>
      </w:r>
    </w:p>
    <w:p>
      <w:pPr>
        <w:spacing w:after="120"/>
      </w:pPr>
      <w:r>
        <w:t xml:space="preserve">The repository contains 70 .sql migration files. Supabase's migration runner (both `supabase db push` and `supabase db reset`) applies migrations in strict ascending lexicographic order of filename, with no other manifest or dependency file consulted. This review takes that as the sole ordering mechanism, per the governing principle of this work package: assume a clean database, assume a fresh clone, assume execution through `supabase db reset`, and do not assume historical or manual execution order.</w:t>
      </w:r>
    </w:p>
    <w:p>
      <w:pPr>
        <w:spacing w:after="120"/>
      </w:pPr>
      <w:r>
        <w:t xml:space="preserve">61 of the 70 files use the conventional &lt;14-digit-timestamp&gt;_description.sql pattern (or the earlier &lt;3-digit-sequence&gt;_description.sql pattern used by the first six legacy files) and sort in a chronologically coherent order. The remaining 9 files do not carry a timestamp prefix and, as a pure consequence of string sorting, fall to the end of the execution sequence: Sprint_1C_Migration_1C_01.sql, add-phase4b-governance-observability.migration.sql, fn_approve_lineage_transition_DROP_CREATE.sql, migration_1A_01_enums.sql, migration_1A_02_core_tables.sql, migration_1A_03_and_04.sql, migration_H1_01_signal_category_hierarchy_seed.sql, phase2_intelligent_onboarding.sql, supabase_bootstrap_fix.sql.</w:t>
      </w:r>
    </w:p>
    <w:p>
      <w:pPr>
        <w:pStyle w:val="Heading1"/>
        <w:spacing w:after="150" w:before="300"/>
      </w:pPr>
      <w:r>
        <w:t xml:space="preserve">3. Current Execution Order</w:t>
      </w:r>
    </w:p>
    <w:p>
      <w:pPr>
        <w:spacing w:after="120"/>
      </w:pPr>
      <w:r>
        <w:t xml:space="preserve">The table below is the literal, deterministic order in which `supabase db reset` will apply every migration in this repository today, with its inferred era (from the Dependency Analysis) and execution position.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Pr>
          <w:p>
            <w:r>
              <w:rPr>
                <w:b/>
                <w:bCs/>
                <w:color w:val="FFFFFF"/>
                <w:sz w:val="18"/>
                <w:szCs w:val="18"/>
              </w:rPr>
              <w:t xml:space="preserve">Pos</w:t>
            </w:r>
          </w:p>
        </w:tc>
        <w:tc>
          <w:tcPr>
            <w:tcW w:type="dxa" w:w="5850"/>
            <w:shd w:fill="1F3864" w:val="clear"/>
          </w:tcPr>
          <w:p>
            <w:r>
              <w:rPr>
                <w:b/>
                <w:bCs/>
                <w:color w:val="FFFFFF"/>
                <w:sz w:val="18"/>
                <w:szCs w:val="18"/>
              </w:rPr>
              <w:t xml:space="preserve">Migration file</w:t>
            </w:r>
          </w:p>
        </w:tc>
        <w:tc>
          <w:tcPr>
            <w:tcW w:type="dxa" w:w="3000"/>
            <w:shd w:fill="1F3864" w:val="clear"/>
          </w:tcPr>
          <w:p>
            <w:r>
              <w:rPr>
                <w:b/>
                <w:bCs/>
                <w:color w:val="FFFFFF"/>
                <w:sz w:val="18"/>
                <w:szCs w:val="18"/>
              </w:rPr>
              <w:t xml:space="preserve">Era</w:t>
            </w:r>
          </w:p>
        </w:tc>
      </w:tr>
      <w:tr>
        <w:tc>
          <w:tcPr>
            <w:tcW w:type="dxa" w:w="500"/>
          </w:tcPr>
          <w:p>
            <w:r>
              <w:rPr>
                <w:b w:val="false"/>
                <w:bCs w:val="false"/>
                <w:sz w:val="18"/>
                <w:szCs w:val="18"/>
              </w:rPr>
              <w:t xml:space="preserve">0</w:t>
            </w:r>
          </w:p>
        </w:tc>
        <w:tc>
          <w:tcPr>
            <w:tcW w:type="dxa" w:w="5850"/>
          </w:tcPr>
          <w:p>
            <w:r>
              <w:rPr>
                <w:b w:val="false"/>
                <w:bCs w:val="false"/>
                <w:sz w:val="18"/>
                <w:szCs w:val="18"/>
              </w:rPr>
              <w:t xml:space="preserve">000_initial_schema.sql</w:t>
            </w:r>
          </w:p>
        </w:tc>
        <w:tc>
          <w:tcPr>
            <w:tcW w:type="dxa" w:w="3000"/>
          </w:tcPr>
          <w:p>
            <w:r>
              <w:rPr>
                <w:b w:val="false"/>
                <w:bCs w:val="false"/>
                <w:sz w:val="18"/>
                <w:szCs w:val="18"/>
              </w:rPr>
              <w:t xml:space="preserve">Legacy Foundation</w:t>
            </w:r>
          </w:p>
        </w:tc>
      </w:tr>
      <w:tr>
        <w:tc>
          <w:tcPr>
            <w:tcW w:type="dxa" w:w="500"/>
          </w:tcPr>
          <w:p>
            <w:r>
              <w:rPr>
                <w:b w:val="false"/>
                <w:bCs w:val="false"/>
                <w:sz w:val="18"/>
                <w:szCs w:val="18"/>
              </w:rPr>
              <w:t xml:space="preserve">1</w:t>
            </w:r>
          </w:p>
        </w:tc>
        <w:tc>
          <w:tcPr>
            <w:tcW w:type="dxa" w:w="5850"/>
          </w:tcPr>
          <w:p>
            <w:r>
              <w:rPr>
                <w:b w:val="false"/>
                <w:bCs w:val="false"/>
                <w:sz w:val="18"/>
                <w:szCs w:val="18"/>
              </w:rPr>
              <w:t xml:space="preserve">001_semantic_ai_upgrade.sql</w:t>
            </w:r>
          </w:p>
        </w:tc>
        <w:tc>
          <w:tcPr>
            <w:tcW w:type="dxa" w:w="3000"/>
          </w:tcPr>
          <w:p>
            <w:r>
              <w:rPr>
                <w:b w:val="false"/>
                <w:bCs w:val="false"/>
                <w:sz w:val="18"/>
                <w:szCs w:val="18"/>
              </w:rPr>
              <w:t xml:space="preserve">Legacy Foundation</w:t>
            </w:r>
          </w:p>
        </w:tc>
      </w:tr>
      <w:tr>
        <w:tc>
          <w:tcPr>
            <w:tcW w:type="dxa" w:w="500"/>
          </w:tcPr>
          <w:p>
            <w:r>
              <w:rPr>
                <w:b w:val="false"/>
                <w:bCs w:val="false"/>
                <w:sz w:val="18"/>
                <w:szCs w:val="18"/>
              </w:rPr>
              <w:t xml:space="preserve">2</w:t>
            </w:r>
          </w:p>
        </w:tc>
        <w:tc>
          <w:tcPr>
            <w:tcW w:type="dxa" w:w="5850"/>
          </w:tcPr>
          <w:p>
            <w:r>
              <w:rPr>
                <w:b w:val="false"/>
                <w:bCs w:val="false"/>
                <w:sz w:val="18"/>
                <w:szCs w:val="18"/>
              </w:rPr>
              <w:t xml:space="preserve">002_career_opportunity_radar.sql</w:t>
            </w:r>
          </w:p>
        </w:tc>
        <w:tc>
          <w:tcPr>
            <w:tcW w:type="dxa" w:w="3000"/>
          </w:tcPr>
          <w:p>
            <w:r>
              <w:rPr>
                <w:b w:val="false"/>
                <w:bCs w:val="false"/>
                <w:sz w:val="18"/>
                <w:szCs w:val="18"/>
              </w:rPr>
              <w:t xml:space="preserve">Legacy Foundation</w:t>
            </w:r>
          </w:p>
        </w:tc>
      </w:tr>
      <w:tr>
        <w:tc>
          <w:tcPr>
            <w:tcW w:type="dxa" w:w="500"/>
          </w:tcPr>
          <w:p>
            <w:r>
              <w:rPr>
                <w:b w:val="false"/>
                <w:bCs w:val="false"/>
                <w:sz w:val="18"/>
                <w:szCs w:val="18"/>
              </w:rPr>
              <w:t xml:space="preserve">3</w:t>
            </w:r>
          </w:p>
        </w:tc>
        <w:tc>
          <w:tcPr>
            <w:tcW w:type="dxa" w:w="5850"/>
          </w:tcPr>
          <w:p>
            <w:r>
              <w:rPr>
                <w:b w:val="false"/>
                <w:bCs w:val="false"/>
                <w:sz w:val="18"/>
                <w:szCs w:val="18"/>
              </w:rPr>
              <w:t xml:space="preserve">003_ai_event_bus.sql</w:t>
            </w:r>
          </w:p>
        </w:tc>
        <w:tc>
          <w:tcPr>
            <w:tcW w:type="dxa" w:w="3000"/>
          </w:tcPr>
          <w:p>
            <w:r>
              <w:rPr>
                <w:b w:val="false"/>
                <w:bCs w:val="false"/>
                <w:sz w:val="18"/>
                <w:szCs w:val="18"/>
              </w:rPr>
              <w:t xml:space="preserve">Legacy Foundation</w:t>
            </w:r>
          </w:p>
        </w:tc>
      </w:tr>
      <w:tr>
        <w:tc>
          <w:tcPr>
            <w:tcW w:type="dxa" w:w="500"/>
          </w:tcPr>
          <w:p>
            <w:r>
              <w:rPr>
                <w:b w:val="false"/>
                <w:bCs w:val="false"/>
                <w:sz w:val="18"/>
                <w:szCs w:val="18"/>
              </w:rPr>
              <w:t xml:space="preserve">4</w:t>
            </w:r>
          </w:p>
        </w:tc>
        <w:tc>
          <w:tcPr>
            <w:tcW w:type="dxa" w:w="5850"/>
          </w:tcPr>
          <w:p>
            <w:r>
              <w:rPr>
                <w:b w:val="false"/>
                <w:bCs w:val="false"/>
                <w:sz w:val="18"/>
                <w:szCs w:val="18"/>
              </w:rPr>
              <w:t xml:space="preserve">004_ai_personalization_engine.sql</w:t>
            </w:r>
          </w:p>
        </w:tc>
        <w:tc>
          <w:tcPr>
            <w:tcW w:type="dxa" w:w="3000"/>
          </w:tcPr>
          <w:p>
            <w:r>
              <w:rPr>
                <w:b w:val="false"/>
                <w:bCs w:val="false"/>
                <w:sz w:val="18"/>
                <w:szCs w:val="18"/>
              </w:rPr>
              <w:t xml:space="preserve">Legacy Foundation</w:t>
            </w:r>
          </w:p>
        </w:tc>
      </w:tr>
      <w:tr>
        <w:tc>
          <w:tcPr>
            <w:tcW w:type="dxa" w:w="500"/>
          </w:tcPr>
          <w:p>
            <w:r>
              <w:rPr>
                <w:b w:val="false"/>
                <w:bCs w:val="false"/>
                <w:sz w:val="18"/>
                <w:szCs w:val="18"/>
              </w:rPr>
              <w:t xml:space="preserve">5</w:t>
            </w:r>
          </w:p>
        </w:tc>
        <w:tc>
          <w:tcPr>
            <w:tcW w:type="dxa" w:w="5850"/>
          </w:tcPr>
          <w:p>
            <w:r>
              <w:rPr>
                <w:b w:val="false"/>
                <w:bCs w:val="false"/>
                <w:sz w:val="18"/>
                <w:szCs w:val="18"/>
              </w:rPr>
              <w:t xml:space="preserve">006_multi_agent_system.sql</w:t>
            </w:r>
          </w:p>
        </w:tc>
        <w:tc>
          <w:tcPr>
            <w:tcW w:type="dxa" w:w="3000"/>
          </w:tcPr>
          <w:p>
            <w:r>
              <w:rPr>
                <w:b w:val="false"/>
                <w:bCs w:val="false"/>
                <w:sz w:val="18"/>
                <w:szCs w:val="18"/>
              </w:rPr>
              <w:t xml:space="preserve">Legacy Foundation</w:t>
            </w:r>
          </w:p>
        </w:tc>
      </w:tr>
      <w:tr>
        <w:tc>
          <w:tcPr>
            <w:tcW w:type="dxa" w:w="500"/>
          </w:tcPr>
          <w:p>
            <w:r>
              <w:rPr>
                <w:b w:val="false"/>
                <w:bCs w:val="false"/>
                <w:sz w:val="18"/>
                <w:szCs w:val="18"/>
              </w:rPr>
              <w:t xml:space="preserve">6</w:t>
            </w:r>
          </w:p>
        </w:tc>
        <w:tc>
          <w:tcPr>
            <w:tcW w:type="dxa" w:w="5850"/>
          </w:tcPr>
          <w:p>
            <w:r>
              <w:rPr>
                <w:b w:val="false"/>
                <w:bCs w:val="false"/>
                <w:sz w:val="18"/>
                <w:szCs w:val="18"/>
              </w:rPr>
              <w:t xml:space="preserve">20260327210024_add_career_metrics.sql</w:t>
            </w:r>
          </w:p>
        </w:tc>
        <w:tc>
          <w:tcPr>
            <w:tcW w:type="dxa" w:w="3000"/>
          </w:tcPr>
          <w:p>
            <w:r>
              <w:rPr>
                <w:b w:val="false"/>
                <w:bCs w:val="false"/>
                <w:sz w:val="18"/>
                <w:szCs w:val="18"/>
              </w:rPr>
              <w:t xml:space="preserve">Career Metrics Increment</w:t>
            </w:r>
          </w:p>
        </w:tc>
      </w:tr>
      <w:tr>
        <w:tc>
          <w:tcPr>
            <w:tcW w:type="dxa" w:w="500"/>
          </w:tcPr>
          <w:p>
            <w:r>
              <w:rPr>
                <w:b w:val="false"/>
                <w:bCs w:val="false"/>
                <w:sz w:val="18"/>
                <w:szCs w:val="18"/>
              </w:rPr>
              <w:t xml:space="preserve">7</w:t>
            </w:r>
          </w:p>
        </w:tc>
        <w:tc>
          <w:tcPr>
            <w:tcW w:type="dxa" w:w="5850"/>
          </w:tcPr>
          <w:p>
            <w:r>
              <w:rPr>
                <w:b w:val="false"/>
                <w:bCs w:val="false"/>
                <w:sz w:val="18"/>
                <w:szCs w:val="18"/>
              </w:rPr>
              <w:t xml:space="preserve">20260327210035_add_career_conversations.sql</w:t>
            </w:r>
          </w:p>
        </w:tc>
        <w:tc>
          <w:tcPr>
            <w:tcW w:type="dxa" w:w="3000"/>
          </w:tcPr>
          <w:p>
            <w:r>
              <w:rPr>
                <w:b w:val="false"/>
                <w:bCs w:val="false"/>
                <w:sz w:val="18"/>
                <w:szCs w:val="18"/>
              </w:rPr>
              <w:t xml:space="preserve">Career Metrics Increment</w:t>
            </w:r>
          </w:p>
        </w:tc>
      </w:tr>
      <w:tr>
        <w:tc>
          <w:tcPr>
            <w:tcW w:type="dxa" w:w="500"/>
          </w:tcPr>
          <w:p>
            <w:r>
              <w:rPr>
                <w:b w:val="false"/>
                <w:bCs w:val="false"/>
                <w:sz w:val="18"/>
                <w:szCs w:val="18"/>
              </w:rPr>
              <w:t xml:space="preserve">8</w:t>
            </w:r>
          </w:p>
        </w:tc>
        <w:tc>
          <w:tcPr>
            <w:tcW w:type="dxa" w:w="5850"/>
          </w:tcPr>
          <w:p>
            <w:r>
              <w:rPr>
                <w:b w:val="false"/>
                <w:bCs w:val="false"/>
                <w:sz w:val="18"/>
                <w:szCs w:val="18"/>
              </w:rPr>
              <w:t xml:space="preserve">20260410000000_phase1_db_security.sql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9</w:t>
            </w:r>
          </w:p>
        </w:tc>
        <w:tc>
          <w:tcPr>
            <w:tcW w:type="dxa" w:w="5850"/>
          </w:tcPr>
          <w:p>
            <w:r>
              <w:rPr>
                <w:b w:val="false"/>
                <w:bCs w:val="false"/>
                <w:sz w:val="18"/>
                <w:szCs w:val="18"/>
              </w:rPr>
              <w:t xml:space="preserve">20260410020500_chi_scores_partition_lifecycle.sql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10</w:t>
            </w:r>
          </w:p>
        </w:tc>
        <w:tc>
          <w:tcPr>
            <w:tcW w:type="dxa" w:w="5850"/>
          </w:tcPr>
          <w:p>
            <w:r>
              <w:rPr>
                <w:b w:val="false"/>
                <w:bCs w:val="false"/>
                <w:sz w:val="18"/>
                <w:szCs w:val="18"/>
              </w:rPr>
              <w:t xml:space="preserve">20260410021700_get_latest_chi_score_rpc.sql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11</w:t>
            </w:r>
          </w:p>
        </w:tc>
        <w:tc>
          <w:tcPr>
            <w:tcW w:type="dxa" w:w="5850"/>
          </w:tcPr>
          <w:p>
            <w:r>
              <w:rPr>
                <w:b w:val="false"/>
                <w:bCs w:val="false"/>
                <w:sz w:val="18"/>
                <w:szCs w:val="18"/>
              </w:rPr>
              <w:t xml:space="preserve">20260410023400_get_chi_trend_history.sql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12</w:t>
            </w:r>
          </w:p>
        </w:tc>
        <w:tc>
          <w:tcPr>
            <w:tcW w:type="dxa" w:w="5850"/>
          </w:tcPr>
          <w:p>
            <w:r>
              <w:rPr>
                <w:b w:val="false"/>
                <w:bCs w:val="false"/>
                <w:sz w:val="18"/>
                <w:szCs w:val="18"/>
              </w:rPr>
              <w:t xml:space="preserve">20260410162714_remote_schema.sql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13</w:t>
            </w:r>
          </w:p>
        </w:tc>
        <w:tc>
          <w:tcPr>
            <w:tcW w:type="dxa" w:w="5850"/>
          </w:tcPr>
          <w:p>
            <w:r>
              <w:rPr>
                <w:b w:val="false"/>
                <w:bCs w:val="false"/>
                <w:sz w:val="18"/>
                <w:szCs w:val="18"/>
              </w:rPr>
              <w:t xml:space="preserve">20260411011500_index_drift_audit.sql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14</w:t>
            </w:r>
          </w:p>
        </w:tc>
        <w:tc>
          <w:tcPr>
            <w:tcW w:type="dxa" w:w="5850"/>
          </w:tcPr>
          <w:p>
            <w:r>
              <w:rPr>
                <w:b w:val="false"/>
                <w:bCs w:val="false"/>
                <w:sz w:val="18"/>
                <w:szCs w:val="18"/>
              </w:rPr>
              <w:t xml:space="preserve">20260411013000_rpc_hotspot_fixes.sql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15</w:t>
            </w:r>
          </w:p>
        </w:tc>
        <w:tc>
          <w:tcPr>
            <w:tcW w:type="dxa" w:w="5850"/>
          </w:tcPr>
          <w:p>
            <w:r>
              <w:rPr>
                <w:b w:val="false"/>
                <w:bCs w:val="false"/>
                <w:sz w:val="18"/>
                <w:szCs w:val="18"/>
              </w:rPr>
              <w:t xml:space="preserve">20260411014500_partition_pruning.sql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16</w:t>
            </w:r>
          </w:p>
        </w:tc>
        <w:tc>
          <w:tcPr>
            <w:tcW w:type="dxa" w:w="5850"/>
          </w:tcPr>
          <w:p>
            <w:r>
              <w:rPr>
                <w:b w:val="false"/>
                <w:bCs w:val="false"/>
                <w:sz w:val="18"/>
                <w:szCs w:val="18"/>
              </w:rPr>
              <w:t xml:space="preserve">20260411020000_percentile_optimization.sql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17</w:t>
            </w:r>
          </w:p>
        </w:tc>
        <w:tc>
          <w:tcPr>
            <w:tcW w:type="dxa" w:w="5850"/>
          </w:tcPr>
          <w:p>
            <w:r>
              <w:rPr>
                <w:b w:val="false"/>
                <w:bCs w:val="false"/>
                <w:sz w:val="18"/>
                <w:szCs w:val="18"/>
              </w:rPr>
              <w:t xml:space="preserve">20260411021500_peer_benchmark_mv.sql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18</w:t>
            </w:r>
          </w:p>
        </w:tc>
        <w:tc>
          <w:tcPr>
            <w:tcW w:type="dxa" w:w="5850"/>
          </w:tcPr>
          <w:p>
            <w:r>
              <w:rPr>
                <w:b w:val="false"/>
                <w:bCs w:val="false"/>
                <w:sz w:val="18"/>
                <w:szCs w:val="18"/>
              </w:rPr>
              <w:t xml:space="preserve">20260411023000_chi_retention_lifecycle.sql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19</w:t>
            </w:r>
          </w:p>
        </w:tc>
        <w:tc>
          <w:tcPr>
            <w:tcW w:type="dxa" w:w="5850"/>
          </w:tcPr>
          <w:p>
            <w:r>
              <w:rPr>
                <w:b w:val="false"/>
                <w:bCs w:val="false"/>
                <w:sz w:val="18"/>
                <w:szCs w:val="18"/>
              </w:rPr>
              <w:t xml:space="preserve">20260411030000_hot_enterprise_tenants_fn.sql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20</w:t>
            </w:r>
          </w:p>
        </w:tc>
        <w:tc>
          <w:tcPr>
            <w:tcW w:type="dxa" w:w="5850"/>
          </w:tcPr>
          <w:p>
            <w:r>
              <w:rPr>
                <w:b w:val="false"/>
                <w:bCs w:val="false"/>
                <w:sz w:val="18"/>
                <w:szCs w:val="18"/>
              </w:rPr>
              <w:t xml:space="preserve">20260411031500_lifecycle_wrapper_fns.sql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21</w:t>
            </w:r>
          </w:p>
        </w:tc>
        <w:tc>
          <w:tcPr>
            <w:tcW w:type="dxa" w:w="5850"/>
          </w:tcPr>
          <w:p>
            <w:r>
              <w:rPr>
                <w:b w:val="false"/>
                <w:bCs w:val="false"/>
                <w:sz w:val="18"/>
                <w:szCs w:val="18"/>
              </w:rPr>
              <w:t xml:space="preserve">20260411033000_benchmark_prewarm_fns.sql</w:t>
            </w:r>
          </w:p>
        </w:tc>
        <w:tc>
          <w:tcPr>
            <w:tcW w:type="dxa" w:w="3000"/>
          </w:tcPr>
          <w:p>
            <w:r>
              <w:rPr>
                <w:b w:val="false"/>
                <w:bCs w:val="false"/>
                <w:sz w:val="18"/>
                <w:szCs w:val="18"/>
              </w:rPr>
              <w:t xml:space="preserve">CHI / Performance Layer</w:t>
            </w:r>
          </w:p>
        </w:tc>
      </w:tr>
      <w:tr>
        <w:tc>
          <w:tcPr>
            <w:tcW w:type="dxa" w:w="500"/>
          </w:tcPr>
          <w:p>
            <w:r>
              <w:rPr>
                <w:b w:val="false"/>
                <w:bCs w:val="false"/>
                <w:sz w:val="18"/>
                <w:szCs w:val="18"/>
              </w:rPr>
              <w:t xml:space="preserve">22</w:t>
            </w:r>
          </w:p>
        </w:tc>
        <w:tc>
          <w:tcPr>
            <w:tcW w:type="dxa" w:w="5850"/>
          </w:tcPr>
          <w:p>
            <w:r>
              <w:rPr>
                <w:b w:val="false"/>
                <w:bCs w:val="false"/>
                <w:sz w:val="18"/>
                <w:szCs w:val="18"/>
              </w:rPr>
              <w:t xml:space="preserve">202604130001_baseline_schema.sql</w:t>
            </w:r>
          </w:p>
        </w:tc>
        <w:tc>
          <w:tcPr>
            <w:tcW w:type="dxa" w:w="3000"/>
          </w:tcPr>
          <w:p>
            <w:r>
              <w:rPr>
                <w:b w:val="false"/>
                <w:bCs w:val="false"/>
                <w:sz w:val="18"/>
                <w:szCs w:val="18"/>
              </w:rPr>
              <w:t xml:space="preserve">Structured Baseline (2026-04-13)</w:t>
            </w:r>
          </w:p>
        </w:tc>
      </w:tr>
      <w:tr>
        <w:tc>
          <w:tcPr>
            <w:tcW w:type="dxa" w:w="500"/>
          </w:tcPr>
          <w:p>
            <w:r>
              <w:rPr>
                <w:b w:val="false"/>
                <w:bCs w:val="false"/>
                <w:sz w:val="18"/>
                <w:szCs w:val="18"/>
              </w:rPr>
              <w:t xml:space="preserve">23</w:t>
            </w:r>
          </w:p>
        </w:tc>
        <w:tc>
          <w:tcPr>
            <w:tcW w:type="dxa" w:w="5850"/>
          </w:tcPr>
          <w:p>
            <w:r>
              <w:rPr>
                <w:b w:val="false"/>
                <w:bCs w:val="false"/>
                <w:sz w:val="18"/>
                <w:szCs w:val="18"/>
              </w:rPr>
              <w:t xml:space="preserve">202604130002_ai_tables.sql</w:t>
            </w:r>
          </w:p>
        </w:tc>
        <w:tc>
          <w:tcPr>
            <w:tcW w:type="dxa" w:w="3000"/>
          </w:tcPr>
          <w:p>
            <w:r>
              <w:rPr>
                <w:b w:val="false"/>
                <w:bCs w:val="false"/>
                <w:sz w:val="18"/>
                <w:szCs w:val="18"/>
              </w:rPr>
              <w:t xml:space="preserve">Structured Baseline (2026-04-13)</w:t>
            </w:r>
          </w:p>
        </w:tc>
      </w:tr>
      <w:tr>
        <w:tc>
          <w:tcPr>
            <w:tcW w:type="dxa" w:w="500"/>
          </w:tcPr>
          <w:p>
            <w:r>
              <w:rPr>
                <w:b w:val="false"/>
                <w:bCs w:val="false"/>
                <w:sz w:val="18"/>
                <w:szCs w:val="18"/>
              </w:rPr>
              <w:t xml:space="preserve">24</w:t>
            </w:r>
          </w:p>
        </w:tc>
        <w:tc>
          <w:tcPr>
            <w:tcW w:type="dxa" w:w="5850"/>
          </w:tcPr>
          <w:p>
            <w:r>
              <w:rPr>
                <w:b w:val="false"/>
                <w:bCs w:val="false"/>
                <w:sz w:val="18"/>
                <w:szCs w:val="18"/>
              </w:rPr>
              <w:t xml:space="preserve">202604130003_roles_skills.sql</w:t>
            </w:r>
          </w:p>
        </w:tc>
        <w:tc>
          <w:tcPr>
            <w:tcW w:type="dxa" w:w="3000"/>
          </w:tcPr>
          <w:p>
            <w:r>
              <w:rPr>
                <w:b w:val="false"/>
                <w:bCs w:val="false"/>
                <w:sz w:val="18"/>
                <w:szCs w:val="18"/>
              </w:rPr>
              <w:t xml:space="preserve">Structured Baseline (2026-04-13)</w:t>
            </w:r>
          </w:p>
        </w:tc>
      </w:tr>
      <w:tr>
        <w:tc>
          <w:tcPr>
            <w:tcW w:type="dxa" w:w="500"/>
          </w:tcPr>
          <w:p>
            <w:r>
              <w:rPr>
                <w:b w:val="false"/>
                <w:bCs w:val="false"/>
                <w:sz w:val="18"/>
                <w:szCs w:val="18"/>
              </w:rPr>
              <w:t xml:space="preserve">25</w:t>
            </w:r>
          </w:p>
        </w:tc>
        <w:tc>
          <w:tcPr>
            <w:tcW w:type="dxa" w:w="5850"/>
          </w:tcPr>
          <w:p>
            <w:r>
              <w:rPr>
                <w:b w:val="false"/>
                <w:bCs w:val="false"/>
                <w:sz w:val="18"/>
                <w:szCs w:val="18"/>
              </w:rPr>
              <w:t xml:space="preserve">202604130004_indexes_and_rpcs.sql</w:t>
            </w:r>
          </w:p>
        </w:tc>
        <w:tc>
          <w:tcPr>
            <w:tcW w:type="dxa" w:w="3000"/>
          </w:tcPr>
          <w:p>
            <w:r>
              <w:rPr>
                <w:b w:val="false"/>
                <w:bCs w:val="false"/>
                <w:sz w:val="18"/>
                <w:szCs w:val="18"/>
              </w:rPr>
              <w:t xml:space="preserve">Structured Baseline (2026-04-13)</w:t>
            </w:r>
          </w:p>
        </w:tc>
      </w:tr>
      <w:tr>
        <w:tc>
          <w:tcPr>
            <w:tcW w:type="dxa" w:w="500"/>
          </w:tcPr>
          <w:p>
            <w:r>
              <w:rPr>
                <w:b w:val="false"/>
                <w:bCs w:val="false"/>
                <w:sz w:val="18"/>
                <w:szCs w:val="18"/>
              </w:rPr>
              <w:t xml:space="preserve">26</w:t>
            </w:r>
          </w:p>
        </w:tc>
        <w:tc>
          <w:tcPr>
            <w:tcW w:type="dxa" w:w="5850"/>
          </w:tcPr>
          <w:p>
            <w:r>
              <w:rPr>
                <w:b w:val="false"/>
                <w:bCs w:val="false"/>
                <w:sz w:val="18"/>
                <w:szCs w:val="18"/>
              </w:rPr>
              <w:t xml:space="preserve">202604130005_rls_policies.sql</w:t>
            </w:r>
          </w:p>
        </w:tc>
        <w:tc>
          <w:tcPr>
            <w:tcW w:type="dxa" w:w="3000"/>
          </w:tcPr>
          <w:p>
            <w:r>
              <w:rPr>
                <w:b w:val="false"/>
                <w:bCs w:val="false"/>
                <w:sz w:val="18"/>
                <w:szCs w:val="18"/>
              </w:rPr>
              <w:t xml:space="preserve">Structured Baseline (2026-04-13)</w:t>
            </w:r>
          </w:p>
        </w:tc>
      </w:tr>
      <w:tr>
        <w:tc>
          <w:tcPr>
            <w:tcW w:type="dxa" w:w="500"/>
          </w:tcPr>
          <w:p>
            <w:r>
              <w:rPr>
                <w:b w:val="false"/>
                <w:bCs w:val="false"/>
                <w:sz w:val="18"/>
                <w:szCs w:val="18"/>
              </w:rPr>
              <w:t xml:space="preserve">27</w:t>
            </w:r>
          </w:p>
        </w:tc>
        <w:tc>
          <w:tcPr>
            <w:tcW w:type="dxa" w:w="5850"/>
          </w:tcPr>
          <w:p>
            <w:r>
              <w:rPr>
                <w:b w:val="false"/>
                <w:bCs w:val="false"/>
                <w:sz w:val="18"/>
                <w:szCs w:val="18"/>
              </w:rPr>
              <w:t xml:space="preserve">20260421000001_audit_fixes.sql</w:t>
            </w:r>
          </w:p>
        </w:tc>
        <w:tc>
          <w:tcPr>
            <w:tcW w:type="dxa" w:w="3000"/>
          </w:tcPr>
          <w:p>
            <w:r>
              <w:rPr>
                <w:b w:val="false"/>
                <w:bCs w:val="false"/>
                <w:sz w:val="18"/>
                <w:szCs w:val="18"/>
              </w:rPr>
              <w:t xml:space="preserve">Governance / Quality Increment</w:t>
            </w:r>
          </w:p>
        </w:tc>
      </w:tr>
      <w:tr>
        <w:tc>
          <w:tcPr>
            <w:tcW w:type="dxa" w:w="500"/>
          </w:tcPr>
          <w:p>
            <w:r>
              <w:rPr>
                <w:b w:val="false"/>
                <w:bCs w:val="false"/>
                <w:sz w:val="18"/>
                <w:szCs w:val="18"/>
              </w:rPr>
              <w:t xml:space="preserve">28</w:t>
            </w:r>
          </w:p>
        </w:tc>
        <w:tc>
          <w:tcPr>
            <w:tcW w:type="dxa" w:w="5850"/>
          </w:tcPr>
          <w:p>
            <w:r>
              <w:rPr>
                <w:b w:val="false"/>
                <w:bCs w:val="false"/>
                <w:sz w:val="18"/>
                <w:szCs w:val="18"/>
              </w:rPr>
              <w:t xml:space="preserve">20260516000001_phase4a_intelligence_quality.sql</w:t>
            </w:r>
          </w:p>
        </w:tc>
        <w:tc>
          <w:tcPr>
            <w:tcW w:type="dxa" w:w="3000"/>
          </w:tcPr>
          <w:p>
            <w:r>
              <w:rPr>
                <w:b w:val="false"/>
                <w:bCs w:val="false"/>
                <w:sz w:val="18"/>
                <w:szCs w:val="18"/>
              </w:rPr>
              <w:t xml:space="preserve">Governance / Quality Increment</w:t>
            </w:r>
          </w:p>
        </w:tc>
      </w:tr>
      <w:tr>
        <w:tc>
          <w:tcPr>
            <w:tcW w:type="dxa" w:w="500"/>
          </w:tcPr>
          <w:p>
            <w:r>
              <w:rPr>
                <w:b w:val="false"/>
                <w:bCs w:val="false"/>
                <w:sz w:val="18"/>
                <w:szCs w:val="18"/>
              </w:rPr>
              <w:t xml:space="preserve">29</w:t>
            </w:r>
          </w:p>
        </w:tc>
        <w:tc>
          <w:tcPr>
            <w:tcW w:type="dxa" w:w="5850"/>
          </w:tcPr>
          <w:p>
            <w:r>
              <w:rPr>
                <w:b w:val="false"/>
                <w:bCs w:val="false"/>
                <w:sz w:val="18"/>
                <w:szCs w:val="18"/>
              </w:rPr>
              <w:t xml:space="preserve">20260517_phase4b_ai_confidence_language.sql</w:t>
            </w:r>
          </w:p>
        </w:tc>
        <w:tc>
          <w:tcPr>
            <w:tcW w:type="dxa" w:w="3000"/>
          </w:tcPr>
          <w:p>
            <w:r>
              <w:rPr>
                <w:b w:val="false"/>
                <w:bCs w:val="false"/>
                <w:sz w:val="18"/>
                <w:szCs w:val="18"/>
              </w:rPr>
              <w:t xml:space="preserve">Governance / Quality Increment</w:t>
            </w:r>
          </w:p>
        </w:tc>
      </w:tr>
      <w:tr>
        <w:tc>
          <w:tcPr>
            <w:tcW w:type="dxa" w:w="500"/>
          </w:tcPr>
          <w:p>
            <w:r>
              <w:rPr>
                <w:b w:val="false"/>
                <w:bCs w:val="false"/>
                <w:sz w:val="18"/>
                <w:szCs w:val="18"/>
              </w:rPr>
              <w:t xml:space="preserve">30</w:t>
            </w:r>
          </w:p>
        </w:tc>
        <w:tc>
          <w:tcPr>
            <w:tcW w:type="dxa" w:w="5850"/>
          </w:tcPr>
          <w:p>
            <w:r>
              <w:rPr>
                <w:b w:val="false"/>
                <w:bCs w:val="false"/>
                <w:sz w:val="18"/>
                <w:szCs w:val="18"/>
              </w:rPr>
              <w:t xml:space="preserve">20260518000001_student_onboarding_foundation.sql</w:t>
            </w:r>
          </w:p>
        </w:tc>
        <w:tc>
          <w:tcPr>
            <w:tcW w:type="dxa" w:w="3000"/>
          </w:tcPr>
          <w:p>
            <w:r>
              <w:rPr>
                <w:b w:val="false"/>
                <w:bCs w:val="false"/>
                <w:sz w:val="18"/>
                <w:szCs w:val="18"/>
              </w:rPr>
              <w:t xml:space="preserve">Student Onboarding Program</w:t>
            </w:r>
          </w:p>
        </w:tc>
      </w:tr>
      <w:tr>
        <w:tc>
          <w:tcPr>
            <w:tcW w:type="dxa" w:w="500"/>
          </w:tcPr>
          <w:p>
            <w:r>
              <w:rPr>
                <w:b w:val="false"/>
                <w:bCs w:val="false"/>
                <w:sz w:val="18"/>
                <w:szCs w:val="18"/>
              </w:rPr>
              <w:t xml:space="preserve">31</w:t>
            </w:r>
          </w:p>
        </w:tc>
        <w:tc>
          <w:tcPr>
            <w:tcW w:type="dxa" w:w="5850"/>
          </w:tcPr>
          <w:p>
            <w:r>
              <w:rPr>
                <w:b w:val="false"/>
                <w:bCs w:val="false"/>
                <w:sz w:val="18"/>
                <w:szCs w:val="18"/>
              </w:rPr>
              <w:t xml:space="preserve">20260519000001_fix_handle_new_user_trigger.sql</w:t>
            </w:r>
          </w:p>
        </w:tc>
        <w:tc>
          <w:tcPr>
            <w:tcW w:type="dxa" w:w="3000"/>
          </w:tcPr>
          <w:p>
            <w:r>
              <w:rPr>
                <w:b w:val="false"/>
                <w:bCs w:val="false"/>
                <w:sz w:val="18"/>
                <w:szCs w:val="18"/>
              </w:rPr>
              <w:t xml:space="preserve">Student Onboarding Program</w:t>
            </w:r>
          </w:p>
        </w:tc>
      </w:tr>
      <w:tr>
        <w:tc>
          <w:tcPr>
            <w:tcW w:type="dxa" w:w="500"/>
          </w:tcPr>
          <w:p>
            <w:r>
              <w:rPr>
                <w:b w:val="false"/>
                <w:bCs w:val="false"/>
                <w:sz w:val="18"/>
                <w:szCs w:val="18"/>
              </w:rPr>
              <w:t xml:space="preserve">32</w:t>
            </w:r>
          </w:p>
        </w:tc>
        <w:tc>
          <w:tcPr>
            <w:tcW w:type="dxa" w:w="5850"/>
          </w:tcPr>
          <w:p>
            <w:r>
              <w:rPr>
                <w:b w:val="false"/>
                <w:bCs w:val="false"/>
                <w:sz w:val="18"/>
                <w:szCs w:val="18"/>
              </w:rPr>
              <w:t xml:space="preserve">20260520000001_add_engine_version_to_sessions.sql</w:t>
            </w:r>
          </w:p>
        </w:tc>
        <w:tc>
          <w:tcPr>
            <w:tcW w:type="dxa" w:w="3000"/>
          </w:tcPr>
          <w:p>
            <w:r>
              <w:rPr>
                <w:b w:val="false"/>
                <w:bCs w:val="false"/>
                <w:sz w:val="18"/>
                <w:szCs w:val="18"/>
              </w:rPr>
              <w:t xml:space="preserve">Student Onboarding Program</w:t>
            </w:r>
          </w:p>
        </w:tc>
      </w:tr>
      <w:tr>
        <w:tc>
          <w:tcPr>
            <w:tcW w:type="dxa" w:w="500"/>
          </w:tcPr>
          <w:p>
            <w:r>
              <w:rPr>
                <w:b w:val="false"/>
                <w:bCs w:val="false"/>
                <w:sz w:val="18"/>
                <w:szCs w:val="18"/>
              </w:rPr>
              <w:t xml:space="preserve">33</w:t>
            </w:r>
          </w:p>
        </w:tc>
        <w:tc>
          <w:tcPr>
            <w:tcW w:type="dxa" w:w="5850"/>
          </w:tcPr>
          <w:p>
            <w:r>
              <w:rPr>
                <w:b w:val="false"/>
                <w:bCs w:val="false"/>
                <w:sz w:val="18"/>
                <w:szCs w:val="18"/>
              </w:rPr>
              <w:t xml:space="preserve">20260520000002_fix_current_step_constraint.sql</w:t>
            </w:r>
          </w:p>
        </w:tc>
        <w:tc>
          <w:tcPr>
            <w:tcW w:type="dxa" w:w="3000"/>
          </w:tcPr>
          <w:p>
            <w:r>
              <w:rPr>
                <w:b w:val="false"/>
                <w:bCs w:val="false"/>
                <w:sz w:val="18"/>
                <w:szCs w:val="18"/>
              </w:rPr>
              <w:t xml:space="preserve">Student Onboarding Program</w:t>
            </w:r>
          </w:p>
        </w:tc>
      </w:tr>
      <w:tr>
        <w:tc>
          <w:tcPr>
            <w:tcW w:type="dxa" w:w="500"/>
          </w:tcPr>
          <w:p>
            <w:r>
              <w:rPr>
                <w:b w:val="false"/>
                <w:bCs w:val="false"/>
                <w:sz w:val="18"/>
                <w:szCs w:val="18"/>
              </w:rPr>
              <w:t xml:space="preserve">34</w:t>
            </w:r>
          </w:p>
        </w:tc>
        <w:tc>
          <w:tcPr>
            <w:tcW w:type="dxa" w:w="5850"/>
          </w:tcPr>
          <w:p>
            <w:r>
              <w:rPr>
                <w:b w:val="false"/>
                <w:bCs w:val="false"/>
                <w:sz w:val="18"/>
                <w:szCs w:val="18"/>
              </w:rPr>
              <w:t xml:space="preserve">20260522000001_student_academic_records.sql</w:t>
            </w:r>
          </w:p>
        </w:tc>
        <w:tc>
          <w:tcPr>
            <w:tcW w:type="dxa" w:w="3000"/>
          </w:tcPr>
          <w:p>
            <w:r>
              <w:rPr>
                <w:b w:val="false"/>
                <w:bCs w:val="false"/>
                <w:sz w:val="18"/>
                <w:szCs w:val="18"/>
              </w:rPr>
              <w:t xml:space="preserve">Student Onboarding Program</w:t>
            </w:r>
          </w:p>
        </w:tc>
      </w:tr>
      <w:tr>
        <w:tc>
          <w:tcPr>
            <w:tcW w:type="dxa" w:w="500"/>
          </w:tcPr>
          <w:p>
            <w:r>
              <w:rPr>
                <w:b w:val="false"/>
                <w:bCs w:val="false"/>
                <w:sz w:val="18"/>
                <w:szCs w:val="18"/>
              </w:rPr>
              <w:t xml:space="preserve">35</w:t>
            </w:r>
          </w:p>
        </w:tc>
        <w:tc>
          <w:tcPr>
            <w:tcW w:type="dxa" w:w="5850"/>
          </w:tcPr>
          <w:p>
            <w:r>
              <w:rPr>
                <w:b w:val="false"/>
                <w:bCs w:val="false"/>
                <w:sz w:val="18"/>
                <w:szCs w:val="18"/>
              </w:rPr>
              <w:t xml:space="preserve">20260522000002_academic_rls_policies.sql</w:t>
            </w:r>
          </w:p>
        </w:tc>
        <w:tc>
          <w:tcPr>
            <w:tcW w:type="dxa" w:w="3000"/>
          </w:tcPr>
          <w:p>
            <w:r>
              <w:rPr>
                <w:b w:val="false"/>
                <w:bCs w:val="false"/>
                <w:sz w:val="18"/>
                <w:szCs w:val="18"/>
              </w:rPr>
              <w:t xml:space="preserve">Student Onboarding Program</w:t>
            </w:r>
          </w:p>
        </w:tc>
      </w:tr>
      <w:tr>
        <w:tc>
          <w:tcPr>
            <w:tcW w:type="dxa" w:w="500"/>
          </w:tcPr>
          <w:p>
            <w:r>
              <w:rPr>
                <w:b w:val="false"/>
                <w:bCs w:val="false"/>
                <w:sz w:val="18"/>
                <w:szCs w:val="18"/>
              </w:rPr>
              <w:t xml:space="preserve">36</w:t>
            </w:r>
          </w:p>
        </w:tc>
        <w:tc>
          <w:tcPr>
            <w:tcW w:type="dxa" w:w="5850"/>
          </w:tcPr>
          <w:p>
            <w:r>
              <w:rPr>
                <w:b w:val="false"/>
                <w:bCs w:val="false"/>
                <w:sz w:val="18"/>
                <w:szCs w:val="18"/>
              </w:rPr>
              <w:t xml:space="preserve">20260523000001_student_activities_phase3b.sql</w:t>
            </w:r>
          </w:p>
        </w:tc>
        <w:tc>
          <w:tcPr>
            <w:tcW w:type="dxa" w:w="3000"/>
          </w:tcPr>
          <w:p>
            <w:r>
              <w:rPr>
                <w:b w:val="false"/>
                <w:bCs w:val="false"/>
                <w:sz w:val="18"/>
                <w:szCs w:val="18"/>
              </w:rPr>
              <w:t xml:space="preserve">Student Onboarding Program</w:t>
            </w:r>
          </w:p>
        </w:tc>
      </w:tr>
      <w:tr>
        <w:tc>
          <w:tcPr>
            <w:tcW w:type="dxa" w:w="500"/>
          </w:tcPr>
          <w:p>
            <w:r>
              <w:rPr>
                <w:b w:val="false"/>
                <w:bCs w:val="false"/>
                <w:sz w:val="18"/>
                <w:szCs w:val="18"/>
              </w:rPr>
              <w:t xml:space="preserve">37</w:t>
            </w:r>
          </w:p>
        </w:tc>
        <w:tc>
          <w:tcPr>
            <w:tcW w:type="dxa" w:w="5850"/>
          </w:tcPr>
          <w:p>
            <w:r>
              <w:rPr>
                <w:b w:val="false"/>
                <w:bCs w:val="false"/>
                <w:sz w:val="18"/>
                <w:szCs w:val="18"/>
              </w:rPr>
              <w:t xml:space="preserve">20260524000001_student_cognitive_phase3c.sql</w:t>
            </w:r>
          </w:p>
        </w:tc>
        <w:tc>
          <w:tcPr>
            <w:tcW w:type="dxa" w:w="3000"/>
          </w:tcPr>
          <w:p>
            <w:r>
              <w:rPr>
                <w:b w:val="false"/>
                <w:bCs w:val="false"/>
                <w:sz w:val="18"/>
                <w:szCs w:val="18"/>
              </w:rPr>
              <w:t xml:space="preserve">Student Onboarding Program</w:t>
            </w:r>
          </w:p>
        </w:tc>
      </w:tr>
      <w:tr>
        <w:tc>
          <w:tcPr>
            <w:tcW w:type="dxa" w:w="500"/>
          </w:tcPr>
          <w:p>
            <w:r>
              <w:rPr>
                <w:b w:val="false"/>
                <w:bCs w:val="false"/>
                <w:sz w:val="18"/>
                <w:szCs w:val="18"/>
              </w:rPr>
              <w:t xml:space="preserve">38</w:t>
            </w:r>
          </w:p>
        </w:tc>
        <w:tc>
          <w:tcPr>
            <w:tcW w:type="dxa" w:w="5850"/>
          </w:tcPr>
          <w:p>
            <w:r>
              <w:rPr>
                <w:b w:val="false"/>
                <w:bCs w:val="false"/>
                <w:sz w:val="18"/>
                <w:szCs w:val="18"/>
              </w:rPr>
              <w:t xml:space="preserve">20260525000001_cross_domain_intelligence_phase3d.sql</w:t>
            </w:r>
          </w:p>
        </w:tc>
        <w:tc>
          <w:tcPr>
            <w:tcW w:type="dxa" w:w="3000"/>
          </w:tcPr>
          <w:p>
            <w:r>
              <w:rPr>
                <w:b w:val="false"/>
                <w:bCs w:val="false"/>
                <w:sz w:val="18"/>
                <w:szCs w:val="18"/>
              </w:rPr>
              <w:t xml:space="preserve">Student Onboarding Program</w:t>
            </w:r>
          </w:p>
        </w:tc>
      </w:tr>
      <w:tr>
        <w:tc>
          <w:tcPr>
            <w:tcW w:type="dxa" w:w="500"/>
          </w:tcPr>
          <w:p>
            <w:r>
              <w:rPr>
                <w:b w:val="false"/>
                <w:bCs w:val="false"/>
                <w:sz w:val="18"/>
                <w:szCs w:val="18"/>
              </w:rPr>
              <w:t xml:space="preserve">39</w:t>
            </w:r>
          </w:p>
        </w:tc>
        <w:tc>
          <w:tcPr>
            <w:tcW w:type="dxa" w:w="5850"/>
          </w:tcPr>
          <w:p>
            <w:r>
              <w:rPr>
                <w:b w:val="false"/>
                <w:bCs w:val="false"/>
                <w:sz w:val="18"/>
                <w:szCs w:val="18"/>
              </w:rPr>
              <w:t xml:space="preserve">20260526000001_phase1a_academic_taxonomy_infrastructure.sql</w:t>
            </w:r>
          </w:p>
        </w:tc>
        <w:tc>
          <w:tcPr>
            <w:tcW w:type="dxa" w:w="3000"/>
          </w:tcPr>
          <w:p>
            <w:r>
              <w:rPr>
                <w:b w:val="false"/>
                <w:bCs w:val="false"/>
                <w:sz w:val="18"/>
                <w:szCs w:val="18"/>
              </w:rPr>
              <w:t xml:space="preserve">Academic Taxonomy Program (Phase 1A)</w:t>
            </w:r>
          </w:p>
        </w:tc>
      </w:tr>
      <w:tr>
        <w:tc>
          <w:tcPr>
            <w:tcW w:type="dxa" w:w="500"/>
          </w:tcPr>
          <w:p>
            <w:r>
              <w:rPr>
                <w:b w:val="false"/>
                <w:bCs w:val="false"/>
                <w:sz w:val="18"/>
                <w:szCs w:val="18"/>
              </w:rPr>
              <w:t xml:space="preserve">40</w:t>
            </w:r>
          </w:p>
        </w:tc>
        <w:tc>
          <w:tcPr>
            <w:tcW w:type="dxa" w:w="5850"/>
          </w:tcPr>
          <w:p>
            <w:r>
              <w:rPr>
                <w:b w:val="false"/>
                <w:bCs w:val="false"/>
                <w:sz w:val="18"/>
                <w:szCs w:val="18"/>
              </w:rPr>
              <w:t xml:space="preserve">20260526000002_phase1a_seed_v1_india_taxonomy.sql</w:t>
            </w:r>
          </w:p>
        </w:tc>
        <w:tc>
          <w:tcPr>
            <w:tcW w:type="dxa" w:w="3000"/>
          </w:tcPr>
          <w:p>
            <w:r>
              <w:rPr>
                <w:b w:val="false"/>
                <w:bCs w:val="false"/>
                <w:sz w:val="18"/>
                <w:szCs w:val="18"/>
              </w:rPr>
              <w:t xml:space="preserve">Academic Taxonomy Program (Phase 1A)</w:t>
            </w:r>
          </w:p>
        </w:tc>
      </w:tr>
      <w:tr>
        <w:tc>
          <w:tcPr>
            <w:tcW w:type="dxa" w:w="500"/>
          </w:tcPr>
          <w:p>
            <w:r>
              <w:rPr>
                <w:b w:val="false"/>
                <w:bCs w:val="false"/>
                <w:sz w:val="18"/>
                <w:szCs w:val="18"/>
              </w:rPr>
              <w:t xml:space="preserve">41</w:t>
            </w:r>
          </w:p>
        </w:tc>
        <w:tc>
          <w:tcPr>
            <w:tcW w:type="dxa" w:w="5850"/>
          </w:tcPr>
          <w:p>
            <w:r>
              <w:rPr>
                <w:b w:val="false"/>
                <w:bCs w:val="false"/>
                <w:sz w:val="18"/>
                <w:szCs w:val="18"/>
              </w:rPr>
              <w:t xml:space="preserve">20260526000003_phase1a_taxonomy_utility_rpcs.sql</w:t>
            </w:r>
          </w:p>
        </w:tc>
        <w:tc>
          <w:tcPr>
            <w:tcW w:type="dxa" w:w="3000"/>
          </w:tcPr>
          <w:p>
            <w:r>
              <w:rPr>
                <w:b w:val="false"/>
                <w:bCs w:val="false"/>
                <w:sz w:val="18"/>
                <w:szCs w:val="18"/>
              </w:rPr>
              <w:t xml:space="preserve">Academic Taxonomy Program (Phase 1A)</w:t>
            </w:r>
          </w:p>
        </w:tc>
      </w:tr>
      <w:tr>
        <w:tc>
          <w:tcPr>
            <w:tcW w:type="dxa" w:w="500"/>
          </w:tcPr>
          <w:p>
            <w:r>
              <w:rPr>
                <w:b w:val="false"/>
                <w:bCs w:val="false"/>
                <w:sz w:val="18"/>
                <w:szCs w:val="18"/>
              </w:rPr>
              <w:t xml:space="preserve">42</w:t>
            </w:r>
          </w:p>
        </w:tc>
        <w:tc>
          <w:tcPr>
            <w:tcW w:type="dxa" w:w="5850"/>
          </w:tcPr>
          <w:p>
            <w:r>
              <w:rPr>
                <w:b w:val="false"/>
                <w:bCs w:val="false"/>
                <w:sz w:val="18"/>
                <w:szCs w:val="18"/>
              </w:rPr>
              <w:t xml:space="preserve">20260526000004_phase1a_governance_hardening.sql</w:t>
            </w:r>
          </w:p>
        </w:tc>
        <w:tc>
          <w:tcPr>
            <w:tcW w:type="dxa" w:w="3000"/>
          </w:tcPr>
          <w:p>
            <w:r>
              <w:rPr>
                <w:b w:val="false"/>
                <w:bCs w:val="false"/>
                <w:sz w:val="18"/>
                <w:szCs w:val="18"/>
              </w:rPr>
              <w:t xml:space="preserve">Academic Taxonomy Program (Phase 1A)</w:t>
            </w:r>
          </w:p>
        </w:tc>
      </w:tr>
      <w:tr>
        <w:tc>
          <w:tcPr>
            <w:tcW w:type="dxa" w:w="500"/>
          </w:tcPr>
          <w:p>
            <w:r>
              <w:rPr>
                <w:b w:val="false"/>
                <w:bCs w:val="false"/>
                <w:sz w:val="18"/>
                <w:szCs w:val="18"/>
              </w:rPr>
              <w:t xml:space="preserve">43</w:t>
            </w:r>
          </w:p>
        </w:tc>
        <w:tc>
          <w:tcPr>
            <w:tcW w:type="dxa" w:w="5850"/>
          </w:tcPr>
          <w:p>
            <w:r>
              <w:rPr>
                <w:b w:val="false"/>
                <w:bCs w:val="false"/>
                <w:sz w:val="18"/>
                <w:szCs w:val="18"/>
              </w:rPr>
              <w:t xml:space="preserve">20260526000005_phase1a_seed_board_region_map.sql</w:t>
            </w:r>
          </w:p>
        </w:tc>
        <w:tc>
          <w:tcPr>
            <w:tcW w:type="dxa" w:w="3000"/>
          </w:tcPr>
          <w:p>
            <w:r>
              <w:rPr>
                <w:b w:val="false"/>
                <w:bCs w:val="false"/>
                <w:sz w:val="18"/>
                <w:szCs w:val="18"/>
              </w:rPr>
              <w:t xml:space="preserve">Academic Taxonomy Program (Phase 1A)</w:t>
            </w:r>
          </w:p>
        </w:tc>
      </w:tr>
      <w:tr>
        <w:tc>
          <w:tcPr>
            <w:tcW w:type="dxa" w:w="500"/>
          </w:tcPr>
          <w:p>
            <w:r>
              <w:rPr>
                <w:b w:val="false"/>
                <w:bCs w:val="false"/>
                <w:sz w:val="18"/>
                <w:szCs w:val="18"/>
              </w:rPr>
              <w:t xml:space="preserve">44</w:t>
            </w:r>
          </w:p>
        </w:tc>
        <w:tc>
          <w:tcPr>
            <w:tcW w:type="dxa" w:w="5850"/>
          </w:tcPr>
          <w:p>
            <w:r>
              <w:rPr>
                <w:b w:val="false"/>
                <w:bCs w:val="false"/>
                <w:sz w:val="18"/>
                <w:szCs w:val="18"/>
              </w:rPr>
              <w:t xml:space="preserve">20260526000006_phase1a_operational_governance.sql</w:t>
            </w:r>
          </w:p>
        </w:tc>
        <w:tc>
          <w:tcPr>
            <w:tcW w:type="dxa" w:w="3000"/>
          </w:tcPr>
          <w:p>
            <w:r>
              <w:rPr>
                <w:b w:val="false"/>
                <w:bCs w:val="false"/>
                <w:sz w:val="18"/>
                <w:szCs w:val="18"/>
              </w:rPr>
              <w:t xml:space="preserve">Academic Taxonomy Program (Phase 1A)</w:t>
            </w:r>
          </w:p>
        </w:tc>
      </w:tr>
      <w:tr>
        <w:tc>
          <w:tcPr>
            <w:tcW w:type="dxa" w:w="500"/>
          </w:tcPr>
          <w:p>
            <w:r>
              <w:rPr>
                <w:b w:val="false"/>
                <w:bCs w:val="false"/>
                <w:sz w:val="18"/>
                <w:szCs w:val="18"/>
              </w:rPr>
              <w:t xml:space="preserve">45</w:t>
            </w:r>
          </w:p>
        </w:tc>
        <w:tc>
          <w:tcPr>
            <w:tcW w:type="dxa" w:w="5850"/>
          </w:tcPr>
          <w:p>
            <w:r>
              <w:rPr>
                <w:b w:val="false"/>
                <w:bCs w:val="false"/>
                <w:sz w:val="18"/>
                <w:szCs w:val="18"/>
              </w:rPr>
              <w:t xml:space="preserve">20260526000007_phase1a_distributed_governance.sql</w:t>
            </w:r>
          </w:p>
        </w:tc>
        <w:tc>
          <w:tcPr>
            <w:tcW w:type="dxa" w:w="3000"/>
          </w:tcPr>
          <w:p>
            <w:r>
              <w:rPr>
                <w:b w:val="false"/>
                <w:bCs w:val="false"/>
                <w:sz w:val="18"/>
                <w:szCs w:val="18"/>
              </w:rPr>
              <w:t xml:space="preserve">Academic Taxonomy Program (Phase 1A)</w:t>
            </w:r>
          </w:p>
        </w:tc>
      </w:tr>
      <w:tr>
        <w:tc>
          <w:tcPr>
            <w:tcW w:type="dxa" w:w="500"/>
          </w:tcPr>
          <w:p>
            <w:r>
              <w:rPr>
                <w:b w:val="false"/>
                <w:bCs w:val="false"/>
                <w:sz w:val="18"/>
                <w:szCs w:val="18"/>
              </w:rPr>
              <w:t xml:space="preserve">46</w:t>
            </w:r>
          </w:p>
        </w:tc>
        <w:tc>
          <w:tcPr>
            <w:tcW w:type="dxa" w:w="5850"/>
          </w:tcPr>
          <w:p>
            <w:r>
              <w:rPr>
                <w:b w:val="false"/>
                <w:bCs w:val="false"/>
                <w:sz w:val="18"/>
                <w:szCs w:val="18"/>
              </w:rPr>
              <w:t xml:space="preserve">20260527000001_phase2_academic_context_apis.sql</w:t>
            </w:r>
          </w:p>
        </w:tc>
        <w:tc>
          <w:tcPr>
            <w:tcW w:type="dxa" w:w="3000"/>
          </w:tcPr>
          <w:p>
            <w:r>
              <w:rPr>
                <w:b w:val="false"/>
                <w:bCs w:val="false"/>
                <w:sz w:val="18"/>
                <w:szCs w:val="18"/>
              </w:rPr>
              <w:t xml:space="preserve">Phase 2 Academic APIs</w:t>
            </w:r>
          </w:p>
        </w:tc>
      </w:tr>
      <w:tr>
        <w:tc>
          <w:tcPr>
            <w:tcW w:type="dxa" w:w="500"/>
          </w:tcPr>
          <w:p>
            <w:r>
              <w:rPr>
                <w:b w:val="false"/>
                <w:bCs w:val="false"/>
                <w:sz w:val="18"/>
                <w:szCs w:val="18"/>
              </w:rPr>
              <w:t xml:space="preserve">47</w:t>
            </w:r>
          </w:p>
        </w:tc>
        <w:tc>
          <w:tcPr>
            <w:tcW w:type="dxa" w:w="5850"/>
          </w:tcPr>
          <w:p>
            <w:r>
              <w:rPr>
                <w:b w:val="false"/>
                <w:bCs w:val="false"/>
                <w:sz w:val="18"/>
                <w:szCs w:val="18"/>
              </w:rPr>
              <w:t xml:space="preserve">20260527000002_phase2_hardening.sql</w:t>
            </w:r>
          </w:p>
        </w:tc>
        <w:tc>
          <w:tcPr>
            <w:tcW w:type="dxa" w:w="3000"/>
          </w:tcPr>
          <w:p>
            <w:r>
              <w:rPr>
                <w:b w:val="false"/>
                <w:bCs w:val="false"/>
                <w:sz w:val="18"/>
                <w:szCs w:val="18"/>
              </w:rPr>
              <w:t xml:space="preserve">Phase 2 Academic APIs</w:t>
            </w:r>
          </w:p>
        </w:tc>
      </w:tr>
      <w:tr>
        <w:tc>
          <w:tcPr>
            <w:tcW w:type="dxa" w:w="500"/>
          </w:tcPr>
          <w:p>
            <w:r>
              <w:rPr>
                <w:b w:val="false"/>
                <w:bCs w:val="false"/>
                <w:sz w:val="18"/>
                <w:szCs w:val="18"/>
              </w:rPr>
              <w:t xml:space="preserve">48</w:t>
            </w:r>
          </w:p>
        </w:tc>
        <w:tc>
          <w:tcPr>
            <w:tcW w:type="dxa" w:w="5850"/>
          </w:tcPr>
          <w:p>
            <w:r>
              <w:rPr>
                <w:b w:val="false"/>
                <w:bCs w:val="false"/>
                <w:sz w:val="18"/>
                <w:szCs w:val="18"/>
              </w:rPr>
              <w:t xml:space="preserve">20260527000003_phase2b_student_academic_rpcs_evolution.sql</w:t>
            </w:r>
          </w:p>
        </w:tc>
        <w:tc>
          <w:tcPr>
            <w:tcW w:type="dxa" w:w="3000"/>
          </w:tcPr>
          <w:p>
            <w:r>
              <w:rPr>
                <w:b w:val="false"/>
                <w:bCs w:val="false"/>
                <w:sz w:val="18"/>
                <w:szCs w:val="18"/>
              </w:rPr>
              <w:t xml:space="preserve">Phase 2 Academic APIs</w:t>
            </w:r>
          </w:p>
        </w:tc>
      </w:tr>
      <w:tr>
        <w:tc>
          <w:tcPr>
            <w:tcW w:type="dxa" w:w="500"/>
          </w:tcPr>
          <w:p>
            <w:r>
              <w:rPr>
                <w:b w:val="false"/>
                <w:bCs w:val="false"/>
                <w:sz w:val="18"/>
                <w:szCs w:val="18"/>
              </w:rPr>
              <w:t xml:space="preserve">49</w:t>
            </w:r>
          </w:p>
        </w:tc>
        <w:tc>
          <w:tcPr>
            <w:tcW w:type="dxa" w:w="5850"/>
          </w:tcPr>
          <w:p>
            <w:r>
              <w:rPr>
                <w:b w:val="false"/>
                <w:bCs w:val="false"/>
                <w:sz w:val="18"/>
                <w:szCs w:val="18"/>
              </w:rPr>
              <w:t xml:space="preserve">20260601000001_governance_foundation_RECONSTRUCTED.sql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50</w:t>
            </w:r>
          </w:p>
        </w:tc>
        <w:tc>
          <w:tcPr>
            <w:tcW w:type="dxa" w:w="5850"/>
          </w:tcPr>
          <w:p>
            <w:r>
              <w:rPr>
                <w:b w:val="false"/>
                <w:bCs w:val="false"/>
                <w:sz w:val="18"/>
                <w:szCs w:val="18"/>
              </w:rPr>
              <w:t xml:space="preserve">20260601000002_intelligence_grant_remediation_RECONSTRUCTED.sql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51</w:t>
            </w:r>
          </w:p>
        </w:tc>
        <w:tc>
          <w:tcPr>
            <w:tcW w:type="dxa" w:w="5850"/>
          </w:tcPr>
          <w:p>
            <w:r>
              <w:rPr>
                <w:b w:val="false"/>
                <w:bCs w:val="false"/>
                <w:sz w:val="18"/>
                <w:szCs w:val="18"/>
              </w:rPr>
              <w:t xml:space="preserve">20260601000003_disable_firebase_bridge_RECONSTRUCTED.sql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52</w:t>
            </w:r>
          </w:p>
        </w:tc>
        <w:tc>
          <w:tcPr>
            <w:tcW w:type="dxa" w:w="5850"/>
          </w:tcPr>
          <w:p>
            <w:r>
              <w:rPr>
                <w:b w:val="false"/>
                <w:bCs w:val="false"/>
                <w:sz w:val="18"/>
                <w:szCs w:val="18"/>
              </w:rPr>
              <w:t xml:space="preserve">20260601000004_governance_refinements.sql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53</w:t>
            </w:r>
          </w:p>
        </w:tc>
        <w:tc>
          <w:tcPr>
            <w:tcW w:type="dxa" w:w="5850"/>
          </w:tcPr>
          <w:p>
            <w:r>
              <w:rPr>
                <w:b w:val="false"/>
                <w:bCs w:val="false"/>
                <w:sz w:val="18"/>
                <w:szCs w:val="18"/>
              </w:rPr>
              <w:t xml:space="preserve">20260608000001_intelligence_foundation_layer.sql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54</w:t>
            </w:r>
          </w:p>
        </w:tc>
        <w:tc>
          <w:tcPr>
            <w:tcW w:type="dxa" w:w="5850"/>
          </w:tcPr>
          <w:p>
            <w:r>
              <w:rPr>
                <w:b w:val="false"/>
                <w:bCs w:val="false"/>
                <w:sz w:val="18"/>
                <w:szCs w:val="18"/>
              </w:rPr>
              <w:t xml:space="preserve">20260616000001_a10_governance_schema_foundation.sql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55</w:t>
            </w:r>
          </w:p>
        </w:tc>
        <w:tc>
          <w:tcPr>
            <w:tcW w:type="dxa" w:w="5850"/>
          </w:tcPr>
          <w:p>
            <w:r>
              <w:rPr>
                <w:b w:val="false"/>
                <w:bCs w:val="false"/>
                <w:sz w:val="18"/>
                <w:szCs w:val="18"/>
              </w:rPr>
              <w:t xml:space="preserve">20260616000002_a10_governance_role_model.sql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56</w:t>
            </w:r>
          </w:p>
        </w:tc>
        <w:tc>
          <w:tcPr>
            <w:tcW w:type="dxa" w:w="5850"/>
          </w:tcPr>
          <w:p>
            <w:r>
              <w:rPr>
                <w:b w:val="false"/>
                <w:bCs w:val="false"/>
                <w:sz w:val="18"/>
                <w:szCs w:val="18"/>
              </w:rPr>
              <w:t xml:space="preserve">20260616000003_a10_core_governance_entities.sql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57</w:t>
            </w:r>
          </w:p>
        </w:tc>
        <w:tc>
          <w:tcPr>
            <w:tcW w:type="dxa" w:w="5850"/>
          </w:tcPr>
          <w:p>
            <w:r>
              <w:rPr>
                <w:b w:val="false"/>
                <w:bCs w:val="false"/>
                <w:sz w:val="18"/>
                <w:szCs w:val="18"/>
              </w:rPr>
              <w:t xml:space="preserve">20260616000004_a10_lineage_versions.sql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58</w:t>
            </w:r>
          </w:p>
        </w:tc>
        <w:tc>
          <w:tcPr>
            <w:tcW w:type="dxa" w:w="5850"/>
          </w:tcPr>
          <w:p>
            <w:r>
              <w:rPr>
                <w:b w:val="false"/>
                <w:bCs w:val="false"/>
                <w:sz w:val="18"/>
                <w:szCs w:val="18"/>
              </w:rPr>
              <w:t xml:space="preserve">20260616000005_a10_governance_event_store.sql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59</w:t>
            </w:r>
          </w:p>
        </w:tc>
        <w:tc>
          <w:tcPr>
            <w:tcW w:type="dxa" w:w="5850"/>
          </w:tcPr>
          <w:p>
            <w:r>
              <w:rPr>
                <w:b w:val="false"/>
                <w:bCs w:val="false"/>
                <w:sz w:val="18"/>
                <w:szCs w:val="18"/>
              </w:rPr>
              <w:t xml:space="preserve">20260616000006_a10_audit_store.sql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60</w:t>
            </w:r>
          </w:p>
        </w:tc>
        <w:tc>
          <w:tcPr>
            <w:tcW w:type="dxa" w:w="5850"/>
          </w:tcPr>
          <w:p>
            <w:r>
              <w:rPr>
                <w:b w:val="false"/>
                <w:bCs w:val="false"/>
                <w:sz w:val="18"/>
                <w:szCs w:val="18"/>
              </w:rPr>
              <w:t xml:space="preserve">20260706000001_wp_p2_01_sim_enterprise_foundation.sql</w:t>
            </w:r>
          </w:p>
        </w:tc>
        <w:tc>
          <w:tcPr>
            <w:tcW w:type="dxa" w:w="3000"/>
          </w:tcPr>
          <w:p>
            <w:r>
              <w:rPr>
                <w:b w:val="false"/>
                <w:bCs w:val="false"/>
                <w:sz w:val="18"/>
                <w:szCs w:val="18"/>
              </w:rPr>
              <w:t xml:space="preserve">Governance Foundation / A10 / Intelligence</w:t>
            </w:r>
          </w:p>
        </w:tc>
      </w:tr>
      <w:tr>
        <w:tc>
          <w:tcPr>
            <w:tcW w:type="dxa" w:w="500"/>
          </w:tcPr>
          <w:p>
            <w:r>
              <w:rPr>
                <w:b w:val="false"/>
                <w:bCs w:val="false"/>
                <w:sz w:val="18"/>
                <w:szCs w:val="18"/>
              </w:rPr>
              <w:t xml:space="preserve">61</w:t>
            </w:r>
          </w:p>
        </w:tc>
        <w:tc>
          <w:tcPr>
            <w:tcW w:type="dxa" w:w="5850"/>
          </w:tcPr>
          <w:p>
            <w:r>
              <w:rPr>
                <w:b w:val="false"/>
                <w:bCs w:val="false"/>
                <w:sz w:val="18"/>
                <w:szCs w:val="18"/>
              </w:rPr>
              <w:t xml:space="preserve">Sprint_1C_Migration_1C_01.sql</w:t>
            </w:r>
          </w:p>
        </w:tc>
        <w:tc>
          <w:tcPr>
            <w:tcW w:type="dxa" w:w="3000"/>
          </w:tcPr>
          <w:p>
            <w:r>
              <w:rPr>
                <w:b w:val="false"/>
                <w:bCs w:val="false"/>
                <w:sz w:val="18"/>
                <w:szCs w:val="18"/>
              </w:rPr>
              <w:t xml:space="preserve">Non-Standard-Named (ordering hazard cluster)</w:t>
            </w:r>
          </w:p>
        </w:tc>
      </w:tr>
      <w:tr>
        <w:tc>
          <w:tcPr>
            <w:tcW w:type="dxa" w:w="500"/>
          </w:tcPr>
          <w:p>
            <w:r>
              <w:rPr>
                <w:b w:val="false"/>
                <w:bCs w:val="false"/>
                <w:sz w:val="18"/>
                <w:szCs w:val="18"/>
              </w:rPr>
              <w:t xml:space="preserve">62</w:t>
            </w:r>
          </w:p>
        </w:tc>
        <w:tc>
          <w:tcPr>
            <w:tcW w:type="dxa" w:w="5850"/>
          </w:tcPr>
          <w:p>
            <w:r>
              <w:rPr>
                <w:b w:val="false"/>
                <w:bCs w:val="false"/>
                <w:sz w:val="18"/>
                <w:szCs w:val="18"/>
              </w:rPr>
              <w:t xml:space="preserve">add-phase4b-governance-observability.migration.sql</w:t>
            </w:r>
          </w:p>
        </w:tc>
        <w:tc>
          <w:tcPr>
            <w:tcW w:type="dxa" w:w="3000"/>
          </w:tcPr>
          <w:p>
            <w:r>
              <w:rPr>
                <w:b w:val="false"/>
                <w:bCs w:val="false"/>
                <w:sz w:val="18"/>
                <w:szCs w:val="18"/>
              </w:rPr>
              <w:t xml:space="preserve">Non-Standard-Named (ordering hazard cluster)</w:t>
            </w:r>
          </w:p>
        </w:tc>
      </w:tr>
      <w:tr>
        <w:tc>
          <w:tcPr>
            <w:tcW w:type="dxa" w:w="500"/>
          </w:tcPr>
          <w:p>
            <w:r>
              <w:rPr>
                <w:b w:val="false"/>
                <w:bCs w:val="false"/>
                <w:sz w:val="18"/>
                <w:szCs w:val="18"/>
              </w:rPr>
              <w:t xml:space="preserve">63</w:t>
            </w:r>
          </w:p>
        </w:tc>
        <w:tc>
          <w:tcPr>
            <w:tcW w:type="dxa" w:w="5850"/>
          </w:tcPr>
          <w:p>
            <w:r>
              <w:rPr>
                <w:b w:val="false"/>
                <w:bCs w:val="false"/>
                <w:sz w:val="18"/>
                <w:szCs w:val="18"/>
              </w:rPr>
              <w:t xml:space="preserve">fn_approve_lineage_transition_DROP_CREATE.sql</w:t>
            </w:r>
          </w:p>
        </w:tc>
        <w:tc>
          <w:tcPr>
            <w:tcW w:type="dxa" w:w="3000"/>
          </w:tcPr>
          <w:p>
            <w:r>
              <w:rPr>
                <w:b w:val="false"/>
                <w:bCs w:val="false"/>
                <w:sz w:val="18"/>
                <w:szCs w:val="18"/>
              </w:rPr>
              <w:t xml:space="preserve">Non-Standard-Named (ordering hazard cluster)</w:t>
            </w:r>
          </w:p>
        </w:tc>
      </w:tr>
      <w:tr>
        <w:tc>
          <w:tcPr>
            <w:tcW w:type="dxa" w:w="500"/>
          </w:tcPr>
          <w:p>
            <w:r>
              <w:rPr>
                <w:b w:val="false"/>
                <w:bCs w:val="false"/>
                <w:sz w:val="18"/>
                <w:szCs w:val="18"/>
              </w:rPr>
              <w:t xml:space="preserve">64</w:t>
            </w:r>
          </w:p>
        </w:tc>
        <w:tc>
          <w:tcPr>
            <w:tcW w:type="dxa" w:w="5850"/>
          </w:tcPr>
          <w:p>
            <w:r>
              <w:rPr>
                <w:b w:val="false"/>
                <w:bCs w:val="false"/>
                <w:sz w:val="18"/>
                <w:szCs w:val="18"/>
              </w:rPr>
              <w:t xml:space="preserve">migration_1A_01_enums.sql</w:t>
            </w:r>
          </w:p>
        </w:tc>
        <w:tc>
          <w:tcPr>
            <w:tcW w:type="dxa" w:w="3000"/>
          </w:tcPr>
          <w:p>
            <w:r>
              <w:rPr>
                <w:b w:val="false"/>
                <w:bCs w:val="false"/>
                <w:sz w:val="18"/>
                <w:szCs w:val="18"/>
              </w:rPr>
              <w:t xml:space="preserve">Non-Standard-Named (ordering hazard cluster)</w:t>
            </w:r>
          </w:p>
        </w:tc>
      </w:tr>
      <w:tr>
        <w:tc>
          <w:tcPr>
            <w:tcW w:type="dxa" w:w="500"/>
          </w:tcPr>
          <w:p>
            <w:r>
              <w:rPr>
                <w:b w:val="false"/>
                <w:bCs w:val="false"/>
                <w:sz w:val="18"/>
                <w:szCs w:val="18"/>
              </w:rPr>
              <w:t xml:space="preserve">65</w:t>
            </w:r>
          </w:p>
        </w:tc>
        <w:tc>
          <w:tcPr>
            <w:tcW w:type="dxa" w:w="5850"/>
          </w:tcPr>
          <w:p>
            <w:r>
              <w:rPr>
                <w:b w:val="false"/>
                <w:bCs w:val="false"/>
                <w:sz w:val="18"/>
                <w:szCs w:val="18"/>
              </w:rPr>
              <w:t xml:space="preserve">migration_1A_02_core_tables.sql</w:t>
            </w:r>
          </w:p>
        </w:tc>
        <w:tc>
          <w:tcPr>
            <w:tcW w:type="dxa" w:w="3000"/>
          </w:tcPr>
          <w:p>
            <w:r>
              <w:rPr>
                <w:b w:val="false"/>
                <w:bCs w:val="false"/>
                <w:sz w:val="18"/>
                <w:szCs w:val="18"/>
              </w:rPr>
              <w:t xml:space="preserve">Non-Standard-Named (ordering hazard cluster)</w:t>
            </w:r>
          </w:p>
        </w:tc>
      </w:tr>
      <w:tr>
        <w:tc>
          <w:tcPr>
            <w:tcW w:type="dxa" w:w="500"/>
          </w:tcPr>
          <w:p>
            <w:r>
              <w:rPr>
                <w:b w:val="false"/>
                <w:bCs w:val="false"/>
                <w:sz w:val="18"/>
                <w:szCs w:val="18"/>
              </w:rPr>
              <w:t xml:space="preserve">66</w:t>
            </w:r>
          </w:p>
        </w:tc>
        <w:tc>
          <w:tcPr>
            <w:tcW w:type="dxa" w:w="5850"/>
          </w:tcPr>
          <w:p>
            <w:r>
              <w:rPr>
                <w:b w:val="false"/>
                <w:bCs w:val="false"/>
                <w:sz w:val="18"/>
                <w:szCs w:val="18"/>
              </w:rPr>
              <w:t xml:space="preserve">migration_1A_03_and_04.sql</w:t>
            </w:r>
          </w:p>
        </w:tc>
        <w:tc>
          <w:tcPr>
            <w:tcW w:type="dxa" w:w="3000"/>
          </w:tcPr>
          <w:p>
            <w:r>
              <w:rPr>
                <w:b w:val="false"/>
                <w:bCs w:val="false"/>
                <w:sz w:val="18"/>
                <w:szCs w:val="18"/>
              </w:rPr>
              <w:t xml:space="preserve">Non-Standard-Named (ordering hazard cluster)</w:t>
            </w:r>
          </w:p>
        </w:tc>
      </w:tr>
      <w:tr>
        <w:tc>
          <w:tcPr>
            <w:tcW w:type="dxa" w:w="500"/>
          </w:tcPr>
          <w:p>
            <w:r>
              <w:rPr>
                <w:b w:val="false"/>
                <w:bCs w:val="false"/>
                <w:sz w:val="18"/>
                <w:szCs w:val="18"/>
              </w:rPr>
              <w:t xml:space="preserve">67</w:t>
            </w:r>
          </w:p>
        </w:tc>
        <w:tc>
          <w:tcPr>
            <w:tcW w:type="dxa" w:w="5850"/>
          </w:tcPr>
          <w:p>
            <w:r>
              <w:rPr>
                <w:b w:val="false"/>
                <w:bCs w:val="false"/>
                <w:sz w:val="18"/>
                <w:szCs w:val="18"/>
              </w:rPr>
              <w:t xml:space="preserve">migration_H1_01_signal_category_hierarchy_seed.sql</w:t>
            </w:r>
          </w:p>
        </w:tc>
        <w:tc>
          <w:tcPr>
            <w:tcW w:type="dxa" w:w="3000"/>
          </w:tcPr>
          <w:p>
            <w:r>
              <w:rPr>
                <w:b w:val="false"/>
                <w:bCs w:val="false"/>
                <w:sz w:val="18"/>
                <w:szCs w:val="18"/>
              </w:rPr>
              <w:t xml:space="preserve">Non-Standard-Named (ordering hazard cluster)</w:t>
            </w:r>
          </w:p>
        </w:tc>
      </w:tr>
      <w:tr>
        <w:tc>
          <w:tcPr>
            <w:tcW w:type="dxa" w:w="500"/>
          </w:tcPr>
          <w:p>
            <w:r>
              <w:rPr>
                <w:b w:val="false"/>
                <w:bCs w:val="false"/>
                <w:sz w:val="18"/>
                <w:szCs w:val="18"/>
              </w:rPr>
              <w:t xml:space="preserve">68</w:t>
            </w:r>
          </w:p>
        </w:tc>
        <w:tc>
          <w:tcPr>
            <w:tcW w:type="dxa" w:w="5850"/>
          </w:tcPr>
          <w:p>
            <w:r>
              <w:rPr>
                <w:b w:val="false"/>
                <w:bCs w:val="false"/>
                <w:sz w:val="18"/>
                <w:szCs w:val="18"/>
              </w:rPr>
              <w:t xml:space="preserve">phase2_intelligent_onboarding.sql</w:t>
            </w:r>
          </w:p>
        </w:tc>
        <w:tc>
          <w:tcPr>
            <w:tcW w:type="dxa" w:w="3000"/>
          </w:tcPr>
          <w:p>
            <w:r>
              <w:rPr>
                <w:b w:val="false"/>
                <w:bCs w:val="false"/>
                <w:sz w:val="18"/>
                <w:szCs w:val="18"/>
              </w:rPr>
              <w:t xml:space="preserve">Non-Standard-Named (ordering hazard cluster)</w:t>
            </w:r>
          </w:p>
        </w:tc>
      </w:tr>
      <w:tr>
        <w:tc>
          <w:tcPr>
            <w:tcW w:type="dxa" w:w="500"/>
          </w:tcPr>
          <w:p>
            <w:r>
              <w:rPr>
                <w:b w:val="false"/>
                <w:bCs w:val="false"/>
                <w:sz w:val="18"/>
                <w:szCs w:val="18"/>
              </w:rPr>
              <w:t xml:space="preserve">69</w:t>
            </w:r>
          </w:p>
        </w:tc>
        <w:tc>
          <w:tcPr>
            <w:tcW w:type="dxa" w:w="5850"/>
          </w:tcPr>
          <w:p>
            <w:r>
              <w:rPr>
                <w:b w:val="false"/>
                <w:bCs w:val="false"/>
                <w:sz w:val="18"/>
                <w:szCs w:val="18"/>
              </w:rPr>
              <w:t xml:space="preserve">supabase_bootstrap_fix.sql</w:t>
            </w:r>
          </w:p>
        </w:tc>
        <w:tc>
          <w:tcPr>
            <w:tcW w:type="dxa" w:w="3000"/>
          </w:tcPr>
          <w:p>
            <w:r>
              <w:rPr>
                <w:b w:val="false"/>
                <w:bCs w:val="false"/>
                <w:sz w:val="18"/>
                <w:szCs w:val="18"/>
              </w:rPr>
              <w:t xml:space="preserve">Non-Standard-Named (ordering hazard cluster)</w:t>
            </w:r>
          </w:p>
        </w:tc>
      </w:tr>
    </w:tbl>
    <w:p>
      <w:pPr>
        <w:pStyle w:val="Heading1"/>
        <w:spacing w:after="150" w:before="300"/>
      </w:pPr>
      <w:r>
        <w:t xml:space="preserve">4. Intended Execution Order</w:t>
      </w:r>
    </w:p>
    <w:p>
      <w:pPr>
        <w:spacing w:after="120"/>
      </w:pPr>
      <w:r>
        <w:t xml:space="preserve">An intended order can only be reconstructed from internal evidence — header comments, self-referential work-package IDs (WP-DB-001…006, 1A-01…1A-04, 1C-01), and explicit preamble dependency checks — since no external ordering manifest exists in the repository. Reading these markers together, the intended order for the foundation and governance layers is:</w:t>
      </w:r>
    </w:p>
    <w:p>
      <w:pPr>
        <w:pStyle w:val="ListParagraph"/>
        <w:numPr>
          <w:ilvl w:val="0"/>
          <w:numId w:val="1"/>
        </w:numPr>
        <w:spacing w:after="60"/>
      </w:pPr>
      <w:r>
        <w:t xml:space="preserve">1A-01 (enums) → 1A-02 (core tables incl. signal_lineage, signal_registry_audit_log) → 1A-03/04 (signal_ontology_edges and related) — i.e., migration_1A_01_enums.sql, migration_1A_02_core_tables.sql, migration_1A_03_and_04.sql, all currently positioned at 65–67, last in the chain.</w:t>
      </w:r>
    </w:p>
    <w:p>
      <w:pPr>
        <w:pStyle w:val="ListParagraph"/>
        <w:numPr>
          <w:ilvl w:val="0"/>
          <w:numId w:val="1"/>
        </w:numPr>
        <w:spacing w:after="60"/>
      </w:pPr>
      <w:r>
        <w:t xml:space="preserve">Sprint 1B security migration (referenced by Sprint_1C's own preamble as a prerequisite for the governance_audit role) — no migration in this repository was identified by name as 'Sprint 1B'; this dependency could not be resolved to a specific file and is flagged as requiring runtime verification.</w:t>
      </w:r>
    </w:p>
    <w:p>
      <w:pPr>
        <w:pStyle w:val="ListParagraph"/>
        <w:numPr>
          <w:ilvl w:val="0"/>
          <w:numId w:val="1"/>
        </w:numPr>
        <w:spacing w:after="60"/>
      </w:pPr>
      <w:r>
        <w:t xml:space="preserve">Sprint 1C (registry audit / lineage functions) — Sprint_1C_Migration_1C_01.sql, currently positioned at 62, intended to run after the Sprint 1A and 1B prerequisites above.</w:t>
      </w:r>
    </w:p>
    <w:p>
      <w:pPr>
        <w:pStyle w:val="ListParagraph"/>
        <w:numPr>
          <w:ilvl w:val="0"/>
          <w:numId w:val="1"/>
        </w:numPr>
        <w:spacing w:after="60"/>
      </w:pPr>
      <w:r>
        <w:t xml:space="preserve">WP-DB-001 (governance schema foundation) → WP-DB-002 (role model) → WP-DB-003 (core governance entities) → WP-DB-004 (versioning architecture / lineage_versions) → WP-DB-005 (governance event store) → WP-DB-006 (audit store) — this sequence IS what the 20260616000001-6 files implement, and internally it is correctly ordered (each file's own guard checks are satisfied by the file immediately before it). The break is external: WP-DB-005's guard also requires the pre-existing 'A09' signal_lineage table, which sits in the misplaced 1A cluster, not in this sequence.</w:t>
      </w:r>
    </w:p>
    <w:p>
      <w:pPr>
        <w:spacing w:after="120"/>
      </w:pPr>
      <w:r>
        <w:t xml:space="preserve">The intended order therefore requires the 1A cluster (enums → core tables → ontology edges) to execute before both Sprint_1C_Migration_1C_01.sql and 20260616000005_a10_governance_event_store.sql — i.e., near the very beginning of the chain, consistent with their own filenames ('1A' as in Phase 1, Sprint A), not at the end.</w:t>
      </w:r>
    </w:p>
    <w:p>
      <w:pPr>
        <w:pStyle w:val="Heading1"/>
        <w:spacing w:after="150" w:before="300"/>
      </w:pPr>
      <w:r>
        <w:t xml:space="preserve">5. Execution Phase Analysis</w:t>
      </w:r>
    </w:p>
    <w:p>
      <w:pPr>
        <w:spacing w:after="120"/>
      </w:pPr>
      <w:r>
        <w:t xml:space="preserve">Mapping the requested 14 canonical phases (Infrastructure → Extensions → Schemas → Enums → Core Tables → Relationships → Indexes → Functions → Triggers → Policies → Views → Materialized Views → Seed Data → Validation → Operational Corrections) onto the actual file order:</w:t>
      </w:r>
    </w:p>
    <w:p>
      <w:pPr>
        <w:pStyle w:val="ListParagraph"/>
        <w:numPr>
          <w:ilvl w:val="0"/>
          <w:numId w:val="1"/>
        </w:numPr>
        <w:spacing w:after="60"/>
      </w:pPr>
      <w:r>
        <w:t xml:space="preserve">Phases 0–2 (infrastructure, extensions, schemas) are satisfied early and cleanly: 000_initial_schema.sql establishes the public schema and core extensions at position 0; governance and audit schemas are established at position 54 (20260616000001), immediately before the objects that need them.</w:t>
      </w:r>
    </w:p>
    <w:p>
      <w:pPr>
        <w:pStyle w:val="ListParagraph"/>
        <w:numPr>
          <w:ilvl w:val="0"/>
          <w:numId w:val="1"/>
        </w:numPr>
        <w:spacing w:after="60"/>
      </w:pPr>
      <w:r>
        <w:t xml:space="preserve">Phase 3 (enums) is split: the great majority of enums are created within their own era's file (fine), but the 1A-01 enum batch (registry_audit_event_type_enum, lineage_type_enum, and others) is stranded at position 65 — after phases 4–9 have already been attempted for several later-era files that assume those enums exist.</w:t>
      </w:r>
    </w:p>
    <w:p>
      <w:pPr>
        <w:pStyle w:val="ListParagraph"/>
        <w:numPr>
          <w:ilvl w:val="0"/>
          <w:numId w:val="1"/>
        </w:numPr>
        <w:spacing w:after="60"/>
      </w:pPr>
      <w:r>
        <w:t xml:space="preserve">Phase 4 (core tables) shows the same split: signal_lineage and signal_registry_audit_log are core tables, but are created at position 66 — after Phase 7 (functions, e.g., 20260608000001 at position 53) and Phase 9 (governance policies/guards, e.g., 20260616000005 at position 59) have already attempted to reference them.</w:t>
      </w:r>
    </w:p>
    <w:p>
      <w:pPr>
        <w:pStyle w:val="ListParagraph"/>
        <w:numPr>
          <w:ilvl w:val="0"/>
          <w:numId w:val="1"/>
        </w:numPr>
        <w:spacing w:after="60"/>
      </w:pPr>
      <w:r>
        <w:t xml:space="preserve">Phases 5–13 otherwise proceed in a reasonable approximation of the canonical order within each era block, with no other cross-phase violation confirmed by this review beyond the ones in Section 9.</w:t>
      </w:r>
    </w:p>
    <w:p>
      <w:pPr>
        <w:spacing w:after="120"/>
      </w:pPr>
      <w:r>
        <w:t xml:space="preserve">In short: the chain does approximate the 14-phase model reasonably well within each era, but the model is violated at the boundary between the last era (Governance Foundation / A10 / Intelligence, positions 49–60) and the non-standard-named cluster (positions 61–69), because the latter contains Phase 3–4 objects (enums, core tables) that the former's Phase 7–9 objects (functions, guards) already depend on.</w:t>
      </w:r>
    </w:p>
    <w:p>
      <w:pPr>
        <w:pStyle w:val="Heading1"/>
        <w:spacing w:after="150" w:before="300"/>
      </w:pPr>
      <w:r>
        <w:t xml:space="preserve">6. Ordering Dependency Review</w:t>
      </w:r>
    </w:p>
    <w:p>
      <w:pPr>
        <w:spacing w:after="120"/>
      </w:pPr>
      <w:r>
        <w:t xml:space="preserve">23 migrations in this repository contain at least one explicit, author-written dependency guard (a DO block that queries information_schema and RAISE EXCEPTIONs on failure), most following either a 'WP-DB-XXX dependency guard' or a 'PREAMBLE FAILED [1C-01-Pn]' naming convention. This is a strong positive signal: the authors of this repository were consistently aware that migration ordering was a risk and defended against it explicitly, rather than relying on implicit assumptions. Within the A10 governance sequence (positions 54–59) and within the 1A cluster's own internal ordering (1A-01 before 1A-02), every such guard was found to be satisfied by the file immediately preceding it. The only guards found to be unsatisfied are the two documented in Section 9, and both involve the same external object: public.signal_lineage (and its sibling, signal_registry_audit_log).</w:t>
      </w:r>
    </w:p>
    <w:p>
      <w:pPr>
        <w:pStyle w:val="Heading1"/>
        <w:spacing w:after="150" w:before="300"/>
      </w:pPr>
      <w:r>
        <w:t xml:space="preserve">7. Execution Boundary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864" w:val="clear"/>
          </w:tcPr>
          <w:p>
            <w:r>
              <w:rPr>
                <w:b/>
                <w:bCs/>
                <w:color w:val="FFFFFF"/>
                <w:sz w:val="18"/>
                <w:szCs w:val="18"/>
              </w:rPr>
              <w:t xml:space="preserve">Boundary</w:t>
            </w:r>
          </w:p>
        </w:tc>
        <w:tc>
          <w:tcPr>
            <w:tcW w:type="dxa" w:w="2600"/>
            <w:shd w:fill="1F3864" w:val="clear"/>
          </w:tcPr>
          <w:p>
            <w:r>
              <w:rPr>
                <w:b/>
                <w:bCs/>
                <w:color w:val="FFFFFF"/>
                <w:sz w:val="18"/>
                <w:szCs w:val="18"/>
              </w:rPr>
              <w:t xml:space="preserve">Position range</w:t>
            </w:r>
          </w:p>
        </w:tc>
        <w:tc>
          <w:tcPr>
            <w:tcW w:type="dxa" w:w="4350"/>
            <w:shd w:fill="1F3864" w:val="clear"/>
          </w:tcPr>
          <w:p>
            <w:r>
              <w:rPr>
                <w:b/>
                <w:bCs/>
                <w:color w:val="FFFFFF"/>
                <w:sz w:val="18"/>
                <w:szCs w:val="18"/>
              </w:rPr>
              <w:t xml:space="preserve">Assessment</w:t>
            </w:r>
          </w:p>
        </w:tc>
      </w:tr>
      <w:tr>
        <w:tc>
          <w:tcPr>
            <w:tcW w:type="dxa" w:w="2400"/>
          </w:tcPr>
          <w:p>
            <w:r>
              <w:rPr>
                <w:b w:val="false"/>
                <w:bCs w:val="false"/>
                <w:sz w:val="18"/>
                <w:szCs w:val="18"/>
              </w:rPr>
              <w:t xml:space="preserve">Foundation boundary</w:t>
            </w:r>
          </w:p>
        </w:tc>
        <w:tc>
          <w:tcPr>
            <w:tcW w:type="dxa" w:w="2600"/>
          </w:tcPr>
          <w:p>
            <w:r>
              <w:rPr>
                <w:b w:val="false"/>
                <w:bCs w:val="false"/>
                <w:sz w:val="18"/>
                <w:szCs w:val="18"/>
              </w:rPr>
              <w:t xml:space="preserve">Positions 0–7</w:t>
            </w:r>
          </w:p>
        </w:tc>
        <w:tc>
          <w:tcPr>
            <w:tcW w:type="dxa" w:w="4350"/>
          </w:tcPr>
          <w:p>
            <w:r>
              <w:rPr>
                <w:b w:val="false"/>
                <w:bCs w:val="false"/>
                <w:sz w:val="18"/>
                <w:szCs w:val="18"/>
              </w:rPr>
              <w:t xml:space="preserve">Sound. Legacy schema and career-metrics additions have no forward dependencies found.</w:t>
            </w:r>
          </w:p>
        </w:tc>
      </w:tr>
      <w:tr>
        <w:tc>
          <w:tcPr>
            <w:tcW w:type="dxa" w:w="2400"/>
          </w:tcPr>
          <w:p>
            <w:r>
              <w:rPr>
                <w:b w:val="false"/>
                <w:bCs w:val="false"/>
                <w:sz w:val="18"/>
                <w:szCs w:val="18"/>
              </w:rPr>
              <w:t xml:space="preserve">Security boundary</w:t>
            </w:r>
          </w:p>
        </w:tc>
        <w:tc>
          <w:tcPr>
            <w:tcW w:type="dxa" w:w="2600"/>
          </w:tcPr>
          <w:p>
            <w:r>
              <w:rPr>
                <w:b w:val="false"/>
                <w:bCs w:val="false"/>
                <w:sz w:val="18"/>
                <w:szCs w:val="18"/>
              </w:rPr>
              <w:t xml:space="preserve">Position 8 (20260410000000_phase1_db_security.sql)</w:t>
            </w:r>
          </w:p>
        </w:tc>
        <w:tc>
          <w:tcPr>
            <w:tcW w:type="dxa" w:w="4350"/>
          </w:tcPr>
          <w:p>
            <w:r>
              <w:rPr>
                <w:b w:val="false"/>
                <w:bCs w:val="false"/>
                <w:sz w:val="18"/>
                <w:szCs w:val="18"/>
              </w:rPr>
              <w:t xml:space="preserve">Sound within its era.</w:t>
            </w:r>
          </w:p>
        </w:tc>
      </w:tr>
      <w:tr>
        <w:tc>
          <w:tcPr>
            <w:tcW w:type="dxa" w:w="2400"/>
          </w:tcPr>
          <w:p>
            <w:r>
              <w:rPr>
                <w:b w:val="false"/>
                <w:bCs w:val="false"/>
                <w:sz w:val="18"/>
                <w:szCs w:val="18"/>
              </w:rPr>
              <w:t xml:space="preserve">Governance boundary</w:t>
            </w:r>
          </w:p>
        </w:tc>
        <w:tc>
          <w:tcPr>
            <w:tcW w:type="dxa" w:w="2600"/>
          </w:tcPr>
          <w:p>
            <w:r>
              <w:rPr>
                <w:b w:val="false"/>
                <w:bCs w:val="false"/>
                <w:sz w:val="18"/>
                <w:szCs w:val="18"/>
              </w:rPr>
              <w:t xml:space="preserve">Positions 49–60 (governance foundation, RECONSTRUCTED trio, A10 sequence)</w:t>
            </w:r>
          </w:p>
        </w:tc>
        <w:tc>
          <w:tcPr>
            <w:tcW w:type="dxa" w:w="4350"/>
          </w:tcPr>
          <w:p>
            <w:r>
              <w:rPr>
                <w:b w:val="false"/>
                <w:bCs w:val="false"/>
                <w:sz w:val="18"/>
                <w:szCs w:val="18"/>
              </w:rPr>
              <w:t xml:space="preserve">Internally sound; externally broken at position 59 (see Section 9) by a dependency on the misplaced 1A cluster.</w:t>
            </w:r>
          </w:p>
        </w:tc>
      </w:tr>
      <w:tr>
        <w:tc>
          <w:tcPr>
            <w:tcW w:type="dxa" w:w="2400"/>
          </w:tcPr>
          <w:p>
            <w:r>
              <w:rPr>
                <w:b w:val="false"/>
                <w:bCs w:val="false"/>
                <w:sz w:val="18"/>
                <w:szCs w:val="18"/>
              </w:rPr>
              <w:t xml:space="preserve">Knowledge Runtime / Intelligence boundary</w:t>
            </w:r>
          </w:p>
        </w:tc>
        <w:tc>
          <w:tcPr>
            <w:tcW w:type="dxa" w:w="2600"/>
          </w:tcPr>
          <w:p>
            <w:r>
              <w:rPr>
                <w:b w:val="false"/>
                <w:bCs w:val="false"/>
                <w:sz w:val="18"/>
                <w:szCs w:val="18"/>
              </w:rPr>
              <w:t xml:space="preserve">Position 53 (20260608000001_intelligence_foundation_layer.sql)</w:t>
            </w:r>
          </w:p>
        </w:tc>
        <w:tc>
          <w:tcPr>
            <w:tcW w:type="dxa" w:w="4350"/>
          </w:tcPr>
          <w:p>
            <w:r>
              <w:rPr>
                <w:b w:val="false"/>
                <w:bCs w:val="false"/>
                <w:sz w:val="18"/>
                <w:szCs w:val="18"/>
              </w:rPr>
              <w:t xml:space="preserve">Broken (see Section 9) — depends on signal_lineage/signal_category_hierarchy from the misplaced 1A cluster.</w:t>
            </w:r>
          </w:p>
        </w:tc>
      </w:tr>
      <w:tr>
        <w:tc>
          <w:tcPr>
            <w:tcW w:type="dxa" w:w="2400"/>
          </w:tcPr>
          <w:p>
            <w:r>
              <w:rPr>
                <w:b w:val="false"/>
                <w:bCs w:val="false"/>
                <w:sz w:val="18"/>
                <w:szCs w:val="18"/>
              </w:rPr>
              <w:t xml:space="preserve">Student Runtime boundary</w:t>
            </w:r>
          </w:p>
        </w:tc>
        <w:tc>
          <w:tcPr>
            <w:tcW w:type="dxa" w:w="2600"/>
          </w:tcPr>
          <w:p>
            <w:r>
              <w:rPr>
                <w:b w:val="false"/>
                <w:bCs w:val="false"/>
                <w:sz w:val="18"/>
                <w:szCs w:val="18"/>
              </w:rPr>
              <w:t xml:space="preserve">Positions 30–38 (onboarding, academic, activities, cognitive, cross-domain)</w:t>
            </w:r>
          </w:p>
        </w:tc>
        <w:tc>
          <w:tcPr>
            <w:tcW w:type="dxa" w:w="4350"/>
          </w:tcPr>
          <w:p>
            <w:r>
              <w:rPr>
                <w:b w:val="false"/>
                <w:bCs w:val="false"/>
                <w:sz w:val="18"/>
                <w:szCs w:val="18"/>
              </w:rPr>
              <w:t xml:space="preserve">Sound; no forward-reference hazard confirmed.</w:t>
            </w:r>
          </w:p>
        </w:tc>
      </w:tr>
      <w:tr>
        <w:tc>
          <w:tcPr>
            <w:tcW w:type="dxa" w:w="2400"/>
          </w:tcPr>
          <w:p>
            <w:r>
              <w:rPr>
                <w:b w:val="false"/>
                <w:bCs w:val="false"/>
                <w:sz w:val="18"/>
                <w:szCs w:val="18"/>
              </w:rPr>
              <w:t xml:space="preserve">Academic boundary</w:t>
            </w:r>
          </w:p>
        </w:tc>
        <w:tc>
          <w:tcPr>
            <w:tcW w:type="dxa" w:w="2600"/>
          </w:tcPr>
          <w:p>
            <w:r>
              <w:rPr>
                <w:b w:val="false"/>
                <w:bCs w:val="false"/>
                <w:sz w:val="18"/>
                <w:szCs w:val="18"/>
              </w:rPr>
              <w:t xml:space="preserve">Positions 39–48 (Phase 1A academic taxonomy, Phase 2 APIs)</w:t>
            </w:r>
          </w:p>
        </w:tc>
        <w:tc>
          <w:tcPr>
            <w:tcW w:type="dxa" w:w="4350"/>
          </w:tcPr>
          <w:p>
            <w:r>
              <w:rPr>
                <w:b w:val="false"/>
                <w:bCs w:val="false"/>
                <w:sz w:val="18"/>
                <w:szCs w:val="18"/>
              </w:rPr>
              <w:t xml:space="preserve">Sound; internally sequenced correctly (infrastructure → seed → RPCs → hardening).</w:t>
            </w:r>
          </w:p>
        </w:tc>
      </w:tr>
      <w:tr>
        <w:tc>
          <w:tcPr>
            <w:tcW w:type="dxa" w:w="2400"/>
          </w:tcPr>
          <w:p>
            <w:r>
              <w:rPr>
                <w:b w:val="false"/>
                <w:bCs w:val="false"/>
                <w:sz w:val="18"/>
                <w:szCs w:val="18"/>
              </w:rPr>
              <w:t xml:space="preserve">SIM boundary</w:t>
            </w:r>
          </w:p>
        </w:tc>
        <w:tc>
          <w:tcPr>
            <w:tcW w:type="dxa" w:w="2600"/>
          </w:tcPr>
          <w:p>
            <w:r>
              <w:rPr>
                <w:b w:val="false"/>
                <w:bCs w:val="false"/>
                <w:sz w:val="18"/>
                <w:szCs w:val="18"/>
              </w:rPr>
              <w:t xml:space="preserve">Position 60 (20260706000001_wp_p2_01_sim_enterprise_foundation.sql)</w:t>
            </w:r>
          </w:p>
        </w:tc>
        <w:tc>
          <w:tcPr>
            <w:tcW w:type="dxa" w:w="4350"/>
          </w:tcPr>
          <w:p>
            <w:r>
              <w:rPr>
                <w:b w:val="false"/>
                <w:bCs w:val="false"/>
                <w:sz w:val="18"/>
                <w:szCs w:val="18"/>
              </w:rPr>
              <w:t xml:space="preserve">Most recent migration by timestamp; last to execute among the timestamped files. No forward dependency on the non-standard cluster was confirmed for this file specifically.</w:t>
            </w:r>
          </w:p>
        </w:tc>
      </w:tr>
      <w:tr>
        <w:tc>
          <w:tcPr>
            <w:tcW w:type="dxa" w:w="2400"/>
          </w:tcPr>
          <w:p>
            <w:r>
              <w:rPr>
                <w:b w:val="false"/>
                <w:bCs w:val="false"/>
                <w:sz w:val="18"/>
                <w:szCs w:val="18"/>
              </w:rPr>
              <w:t xml:space="preserve">Operational boundary</w:t>
            </w:r>
          </w:p>
        </w:tc>
        <w:tc>
          <w:tcPr>
            <w:tcW w:type="dxa" w:w="2600"/>
          </w:tcPr>
          <w:p>
            <w:r>
              <w:rPr>
                <w:b w:val="false"/>
                <w:bCs w:val="false"/>
                <w:sz w:val="18"/>
                <w:szCs w:val="18"/>
              </w:rPr>
              <w:t xml:space="preserve">Positions 61–69 (non-standard-named cluster)</w:t>
            </w:r>
          </w:p>
        </w:tc>
        <w:tc>
          <w:tcPr>
            <w:tcW w:type="dxa" w:w="4350"/>
          </w:tcPr>
          <w:p>
            <w:r>
              <w:rPr>
                <w:b w:val="false"/>
                <w:bCs w:val="false"/>
                <w:sz w:val="18"/>
                <w:szCs w:val="18"/>
              </w:rPr>
              <w:t xml:space="preserve">This is the boundary where the review's central finding lives: Phase-3/4 foundational objects sit in the Operational-boundary position instead of the Foundation-boundary position.</w:t>
            </w:r>
          </w:p>
        </w:tc>
      </w:tr>
    </w:tbl>
    <w:p>
      <w:pPr>
        <w:pStyle w:val="Heading1"/>
        <w:spacing w:after="150" w:before="300"/>
      </w:pPr>
      <w:r>
        <w:t xml:space="preserve">8. Ordering Integrity Assessment</w:t>
      </w:r>
    </w:p>
    <w:p>
      <w:pPr>
        <w:spacing w:after="120"/>
      </w:pPr>
      <w:r>
        <w:t xml:space="preserve">Of the nine integrity questions posed by this work package's scope:</w:t>
      </w:r>
    </w:p>
    <w:p>
      <w:pPr>
        <w:pStyle w:val="ListParagraph"/>
        <w:numPr>
          <w:ilvl w:val="0"/>
          <w:numId w:val="1"/>
        </w:numPr>
        <w:spacing w:after="60"/>
      </w:pPr>
      <w:r>
        <w:t xml:space="preserve">'Every dependency executes before it is required' — NO. Confirmed false for public.signal_lineage and public.signal_registry_audit_log against two separate consumers.</w:t>
      </w:r>
    </w:p>
    <w:p>
      <w:pPr>
        <w:pStyle w:val="ListParagraph"/>
        <w:numPr>
          <w:ilvl w:val="0"/>
          <w:numId w:val="1"/>
        </w:numPr>
        <w:spacing w:after="60"/>
      </w:pPr>
      <w:r>
        <w:t xml:space="preserve">'Every prerequisite exists before reference' — NO, same basis.</w:t>
      </w:r>
    </w:p>
    <w:p>
      <w:pPr>
        <w:pStyle w:val="ListParagraph"/>
        <w:numPr>
          <w:ilvl w:val="0"/>
          <w:numId w:val="1"/>
        </w:numPr>
        <w:spacing w:after="60"/>
      </w:pPr>
      <w:r>
        <w:t xml:space="preserve">'Every trigger has its function' — YES, no violation found.</w:t>
      </w:r>
    </w:p>
    <w:p>
      <w:pPr>
        <w:pStyle w:val="ListParagraph"/>
        <w:numPr>
          <w:ilvl w:val="0"/>
          <w:numId w:val="1"/>
        </w:numPr>
        <w:spacing w:after="60"/>
      </w:pPr>
      <w:r>
        <w:t xml:space="preserve">'Every policy has its table' — YES, no violation found.</w:t>
      </w:r>
    </w:p>
    <w:p>
      <w:pPr>
        <w:pStyle w:val="ListParagraph"/>
        <w:numPr>
          <w:ilvl w:val="0"/>
          <w:numId w:val="1"/>
        </w:numPr>
        <w:spacing w:after="60"/>
      </w:pPr>
      <w:r>
        <w:t xml:space="preserve">'Every function has its dependencies' — MOSTLY; 20260608000001's functions depend on tables not yet created (see above).</w:t>
      </w:r>
    </w:p>
    <w:p>
      <w:pPr>
        <w:pStyle w:val="ListParagraph"/>
        <w:numPr>
          <w:ilvl w:val="0"/>
          <w:numId w:val="1"/>
        </w:numPr>
        <w:spacing w:after="60"/>
      </w:pPr>
      <w:r>
        <w:t xml:space="preserve">'Every seed has its schema' — YES for the seeds reviewed (India taxonomy, board/region map); migration_H1_01_signal_category_hierarchy_seed.sql (position 68) seeds a table whose own definition is itself contested (see the Dependency Analysis, Section 20) — this seed's success or failure depends on which of the two competing signal_category_hierarchy schemas won, which in turn depends on position 53 vs. position 66 execution order (position 53 — 20260608000001 — would execute first and therefore win under the current order).</w:t>
      </w:r>
    </w:p>
    <w:p>
      <w:pPr>
        <w:pStyle w:val="ListParagraph"/>
        <w:numPr>
          <w:ilvl w:val="0"/>
          <w:numId w:val="1"/>
        </w:numPr>
        <w:spacing w:after="60"/>
      </w:pPr>
      <w:r>
        <w:t xml:space="preserve">'Every extension exists before use' — YES, no violation found (all extension declarations precede their first use within the same file or an earlier one).</w:t>
      </w:r>
    </w:p>
    <w:p>
      <w:pPr>
        <w:pStyle w:val="ListParagraph"/>
        <w:numPr>
          <w:ilvl w:val="0"/>
          <w:numId w:val="1"/>
        </w:numPr>
        <w:spacing w:after="60"/>
      </w:pPr>
      <w:r>
        <w:t xml:space="preserve">'Every schema exists before cross-schema reference' — YES; governance and audit schemas are created immediately before the A10 sequence that uses them.</w:t>
      </w:r>
    </w:p>
    <w:p>
      <w:pPr>
        <w:pStyle w:val="ListParagraph"/>
        <w:numPr>
          <w:ilvl w:val="0"/>
          <w:numId w:val="1"/>
        </w:numPr>
        <w:spacing w:after="60"/>
      </w:pPr>
      <w:r>
        <w:t xml:space="preserve">'Every validation step executes after object creation' — NOT APPLICABLE as a distinct phase; validation is embedded as inline guards, and where those guards exist, this review found them internally well-placed except for the two external violations above.</w:t>
      </w:r>
    </w:p>
    <w:p>
      <w:pPr>
        <w:pStyle w:val="Heading1"/>
        <w:spacing w:after="150" w:before="300"/>
      </w:pPr>
      <w:r>
        <w:t xml:space="preserve">9. Confirmed Ordering Violations</w:t>
      </w:r>
    </w:p>
    <w:p>
      <w:pPr>
        <w:spacing w:after="120"/>
      </w:pPr>
      <w:r>
        <w:rPr>
          <w:b/>
          <w:bCs/>
        </w:rPr>
        <w:t xml:space="preserve">The following are confirmed directly from the repository's own text — either by an explicit, unconditional author-written guard clause, or by the dependency graph established in the prior Dependency Analysis combined with the file-order facts established in Section 3. Both are direct textual facts about the repository, not predictions.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Pr>
          <w:p>
            <w:r>
              <w:rPr>
                <w:b/>
                <w:bCs/>
                <w:color w:val="FFFFFF"/>
                <w:sz w:val="18"/>
                <w:szCs w:val="18"/>
              </w:rPr>
              <w:t xml:space="preserve">File (position)</w:t>
            </w:r>
          </w:p>
        </w:tc>
        <w:tc>
          <w:tcPr>
            <w:tcW w:type="dxa" w:w="2200"/>
            <w:shd w:fill="1F3864" w:val="clear"/>
          </w:tcPr>
          <w:p>
            <w:r>
              <w:rPr>
                <w:b/>
                <w:bCs/>
                <w:color w:val="FFFFFF"/>
                <w:sz w:val="18"/>
                <w:szCs w:val="18"/>
              </w:rPr>
              <w:t xml:space="preserve">Depends on (position)</w:t>
            </w:r>
          </w:p>
        </w:tc>
        <w:tc>
          <w:tcPr>
            <w:tcW w:type="dxa" w:w="3400"/>
            <w:shd w:fill="1F3864" w:val="clear"/>
          </w:tcPr>
          <w:p>
            <w:r>
              <w:rPr>
                <w:b/>
                <w:bCs/>
                <w:color w:val="FFFFFF"/>
                <w:sz w:val="18"/>
                <w:szCs w:val="18"/>
              </w:rPr>
              <w:t xml:space="preserve">Nature of violation</w:t>
            </w:r>
          </w:p>
        </w:tc>
        <w:tc>
          <w:tcPr>
            <w:tcW w:type="dxa" w:w="1550"/>
            <w:shd w:fill="1F3864" w:val="clear"/>
          </w:tcPr>
          <w:p>
            <w:r>
              <w:rPr>
                <w:b/>
                <w:bCs/>
                <w:color w:val="FFFFFF"/>
                <w:sz w:val="18"/>
                <w:szCs w:val="18"/>
              </w:rPr>
              <w:t xml:space="preserve">Evidence classification</w:t>
            </w:r>
          </w:p>
        </w:tc>
      </w:tr>
      <w:tr>
        <w:tc>
          <w:tcPr>
            <w:tcW w:type="dxa" w:w="2200"/>
          </w:tcPr>
          <w:p>
            <w:r>
              <w:rPr>
                <w:b w:val="false"/>
                <w:bCs w:val="false"/>
                <w:sz w:val="18"/>
                <w:szCs w:val="18"/>
              </w:rPr>
              <w:t xml:space="preserve">Sprint_1C_Migration_1C_01.sql (61)</w:t>
            </w:r>
          </w:p>
        </w:tc>
        <w:tc>
          <w:tcPr>
            <w:tcW w:type="dxa" w:w="2200"/>
          </w:tcPr>
          <w:p>
            <w:r>
              <w:rPr>
                <w:b w:val="false"/>
                <w:bCs w:val="false"/>
                <w:sz w:val="18"/>
                <w:szCs w:val="18"/>
              </w:rPr>
              <w:t xml:space="preserve">migration_1A_01_enums.sql (idx 64) / migration_1A_02_core_tables.sql (idx 65)</w:t>
            </w:r>
          </w:p>
        </w:tc>
        <w:tc>
          <w:tcPr>
            <w:tcW w:type="dxa" w:w="3400"/>
          </w:tcPr>
          <w:p>
            <w:r>
              <w:rPr>
                <w:b w:val="false"/>
                <w:bCs w:val="false"/>
                <w:sz w:val="18"/>
                <w:szCs w:val="18"/>
              </w:rPr>
              <w:t xml:space="preserve">Self-guarded PREAMBLE checks (1C-01-P1…P6) explicitly RAISE EXCEPTION if public.signal_lineage, public.signal_registry_audit_log, registry_audit_event_type_enum, or lineage_type_enum do not yet exist. All four are created only in migration_1A_01/02, which execute 3–4 positions later. On a clean `supabase db reset`, this file's own preamble will halt execution if reached.</w:t>
            </w:r>
          </w:p>
        </w:tc>
        <w:tc>
          <w:tcPr>
            <w:tcW w:type="dxa" w:w="1550"/>
          </w:tcPr>
          <w:p>
            <w:r>
              <w:rPr>
                <w:b w:val="false"/>
                <w:bCs w:val="false"/>
                <w:sz w:val="18"/>
                <w:szCs w:val="18"/>
              </w:rPr>
              <w:t xml:space="preserve">Confirmed by repository execution model + dependency graph</w:t>
            </w:r>
          </w:p>
        </w:tc>
      </w:tr>
      <w:tr>
        <w:tc>
          <w:tcPr>
            <w:tcW w:type="dxa" w:w="2200"/>
          </w:tcPr>
          <w:p>
            <w:r>
              <w:rPr>
                <w:b w:val="false"/>
                <w:bCs w:val="false"/>
                <w:sz w:val="18"/>
                <w:szCs w:val="18"/>
              </w:rPr>
              <w:t xml:space="preserve">20260608000001_intelligence_foundation_layer.sql (53)</w:t>
            </w:r>
          </w:p>
        </w:tc>
        <w:tc>
          <w:tcPr>
            <w:tcW w:type="dxa" w:w="2200"/>
          </w:tcPr>
          <w:p>
            <w:r>
              <w:rPr>
                <w:b w:val="false"/>
                <w:bCs w:val="false"/>
                <w:sz w:val="18"/>
                <w:szCs w:val="18"/>
              </w:rPr>
              <w:t xml:space="preserve">migration_1A_02_core_tables.sql (idx 65)</w:t>
            </w:r>
          </w:p>
        </w:tc>
        <w:tc>
          <w:tcPr>
            <w:tcW w:type="dxa" w:w="3400"/>
          </w:tcPr>
          <w:p>
            <w:r>
              <w:rPr>
                <w:b w:val="false"/>
                <w:bCs w:val="false"/>
                <w:sz w:val="18"/>
                <w:szCs w:val="18"/>
              </w:rPr>
              <w:t xml:space="preserve">References/creates public.signal_category_hierarchy and public.signal_lineage as FK parents. The canonical (only) creator of public.signal_lineage is migration_1A_02_core_tables.sql, which executes 12 positions later.</w:t>
            </w:r>
          </w:p>
        </w:tc>
        <w:tc>
          <w:tcPr>
            <w:tcW w:type="dxa" w:w="1550"/>
          </w:tcPr>
          <w:p>
            <w:r>
              <w:rPr>
                <w:b w:val="false"/>
                <w:bCs w:val="false"/>
                <w:sz w:val="18"/>
                <w:szCs w:val="18"/>
              </w:rPr>
              <w:t xml:space="preserve">Confirmed by dependency graph; runtime failure mode requires verification (see note below)</w:t>
            </w:r>
          </w:p>
        </w:tc>
      </w:tr>
      <w:tr>
        <w:tc>
          <w:tcPr>
            <w:tcW w:type="dxa" w:w="2200"/>
          </w:tcPr>
          <w:p>
            <w:r>
              <w:rPr>
                <w:b w:val="false"/>
                <w:bCs w:val="false"/>
                <w:sz w:val="18"/>
                <w:szCs w:val="18"/>
              </w:rPr>
              <w:t xml:space="preserve">20260616000005_a10_governance_event_store.sql (58)</w:t>
            </w:r>
          </w:p>
        </w:tc>
        <w:tc>
          <w:tcPr>
            <w:tcW w:type="dxa" w:w="2200"/>
          </w:tcPr>
          <w:p>
            <w:r>
              <w:rPr>
                <w:b w:val="false"/>
                <w:bCs w:val="false"/>
                <w:sz w:val="18"/>
                <w:szCs w:val="18"/>
              </w:rPr>
              <w:t xml:space="preserve">migration_1A_02_core_tables.sql (idx 65)</w:t>
            </w:r>
          </w:p>
        </w:tc>
        <w:tc>
          <w:tcPr>
            <w:tcW w:type="dxa" w:w="3400"/>
          </w:tcPr>
          <w:p>
            <w:r>
              <w:rPr>
                <w:b w:val="false"/>
                <w:bCs w:val="false"/>
                <w:sz w:val="18"/>
                <w:szCs w:val="18"/>
              </w:rPr>
              <w:t xml:space="preserve">Contains an explicit, unconditional dependency-guard DO block (WP-DB-005) that queries information_schema.tables for public.signal_lineage and RAISE EXCEPTIONs with the literal message 'table "public.signal_lineage" does not exist... The A09 signal_lineage table must be present before this migration can run' if absent. signal_lineage's only creator executes 7 positions later.</w:t>
            </w:r>
          </w:p>
        </w:tc>
        <w:tc>
          <w:tcPr>
            <w:tcW w:type="dxa" w:w="1550"/>
          </w:tcPr>
          <w:p>
            <w:r>
              <w:rPr>
                <w:b w:val="false"/>
                <w:bCs w:val="false"/>
                <w:sz w:val="18"/>
                <w:szCs w:val="18"/>
              </w:rPr>
              <w:t xml:space="preserve">Confirmed by repository execution model — this is a hard, author-written, unconditional guard, not an inferred risk</w:t>
            </w:r>
          </w:p>
        </w:tc>
      </w:tr>
    </w:tbl>
    <w:p>
      <w:pPr>
        <w:spacing w:after="120"/>
      </w:pPr>
      <w:r>
        <w:t xml:space="preserve">A third, related but distinct fact: public.signal_category_hierarchy and public.signal_ontology_edges are each defined twice (see the Dependency Analysis, Section 20) with incompatible schemas, once inside the misplaced 1A cluster and once inside 20260608000001_intelligence_foundation_layer.sql (position 53). Because both use CREATE TABLE IF NOT EXISTS, and 20260608000001 executes at position 53 — before the 1A cluster's competing definition at position 65/66 — the version that survives on a clean reset, deterministically, is the 20260608000001 definition. This is a confirmed resolution of what the Dependency Analysis flagged as an open question; it is only resolved because this review establishes the actual execution order.</w:t>
      </w:r>
    </w:p>
    <w:p>
      <w:pPr>
        <w:pStyle w:val="Heading1"/>
        <w:spacing w:after="150" w:before="300"/>
      </w:pPr>
      <w:r>
        <w:t xml:space="preserve">10. Potential Ordering Violations</w:t>
      </w:r>
    </w:p>
    <w:p>
      <w:pPr>
        <w:pStyle w:val="ListParagraph"/>
        <w:numPr>
          <w:ilvl w:val="0"/>
          <w:numId w:val="1"/>
        </w:numPr>
        <w:spacing w:after="60"/>
      </w:pPr>
      <w:r>
        <w:t xml:space="preserve">Sprint_1C_Migration_1C_01.sql's preamble also requires a 'governance_audit' database role and references a 'Sprint 1B security migration' by name; neither could be matched to a specific object or file in this repository. Whether this role exists at the point Sprint_1C would execute cannot be determined from static analysis — it may be created outside the migrations directory (e.g., via the Supabase dashboard or a fixed platform role) or it may be genuinely missing. Requires runtime verification.</w:t>
      </w:r>
    </w:p>
    <w:p>
      <w:pPr>
        <w:pStyle w:val="ListParagraph"/>
        <w:numPr>
          <w:ilvl w:val="0"/>
          <w:numId w:val="1"/>
        </w:numPr>
        <w:spacing w:after="60"/>
      </w:pPr>
      <w:r>
        <w:t xml:space="preserve">Whether 20260608000001_intelligence_foundation_layer.sql's own DDL for signal_lineage / signal_category_hierarchy is written defensively enough (IF NOT EXISTS, or guarded) to avoid a hard failure if it runs before any competing definition is a matter of exact clause-by-clause reading; this review confirms the table-level IF NOT EXISTS guard exists (per the Dependency Analysis) but has not exhaustively re-verified every column and constraint clause within it for this pass.</w:t>
      </w:r>
    </w:p>
    <w:p>
      <w:pPr>
        <w:pStyle w:val="ListParagraph"/>
        <w:numPr>
          <w:ilvl w:val="0"/>
          <w:numId w:val="1"/>
        </w:numPr>
        <w:spacing w:after="60"/>
      </w:pPr>
      <w:r>
        <w:t xml:space="preserve">The extensionless 'Forward Migration SQL' artifact (excluded from this and the prior report's file-based analysis because it lacks a .sql extension) may or may not be picked up by a given Supabase CLI version's migration loader; this is a CLI-version-dependent behavior and requires runtime verification rather than static confirmation.</w:t>
      </w:r>
    </w:p>
    <w:p>
      <w:pPr>
        <w:pStyle w:val="ListParagraph"/>
        <w:numPr>
          <w:ilvl w:val="0"/>
          <w:numId w:val="1"/>
        </w:numPr>
        <w:spacing w:after="60"/>
      </w:pPr>
      <w:r>
        <w:t xml:space="preserve">add-phase4b-governance-observability.migration.sql (position 63) uses a double-extension naming pattern (.migration.sql) that is unconventional but does end in .sql; whether Supabase's loader treats this identically to a standard &lt;timestamp&gt;_name.sql file is assumed here but not independently confirmed against a live CLI run.</w:t>
      </w:r>
    </w:p>
    <w:p>
      <w:pPr>
        <w:pStyle w:val="Heading1"/>
        <w:spacing w:after="150" w:before="300"/>
      </w:pPr>
      <w:r>
        <w:t xml:space="preserve">11. Execution Hazard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3864" w:val="clear"/>
          </w:tcPr>
          <w:p>
            <w:r>
              <w:rPr>
                <w:b/>
                <w:bCs/>
                <w:color w:val="FFFFFF"/>
                <w:sz w:val="18"/>
                <w:szCs w:val="18"/>
              </w:rPr>
              <w:t xml:space="preserve">Hazard class</w:t>
            </w:r>
          </w:p>
        </w:tc>
        <w:tc>
          <w:tcPr>
            <w:tcW w:type="dxa" w:w="1200"/>
            <w:shd w:fill="1F3864" w:val="clear"/>
          </w:tcPr>
          <w:p>
            <w:r>
              <w:rPr>
                <w:b/>
                <w:bCs/>
                <w:color w:val="FFFFFF"/>
                <w:sz w:val="18"/>
                <w:szCs w:val="18"/>
              </w:rPr>
              <w:t xml:space="preserve">Count</w:t>
            </w:r>
          </w:p>
        </w:tc>
        <w:tc>
          <w:tcPr>
            <w:tcW w:type="dxa" w:w="5550"/>
            <w:shd w:fill="1F3864" w:val="clear"/>
          </w:tcPr>
          <w:p>
            <w:r>
              <w:rPr>
                <w:b/>
                <w:bCs/>
                <w:color w:val="FFFFFF"/>
                <w:sz w:val="18"/>
                <w:szCs w:val="18"/>
              </w:rPr>
              <w:t xml:space="preserve">Description</w:t>
            </w:r>
          </w:p>
        </w:tc>
      </w:tr>
      <w:tr>
        <w:tc>
          <w:tcPr>
            <w:tcW w:type="dxa" w:w="2600"/>
          </w:tcPr>
          <w:p>
            <w:r>
              <w:rPr>
                <w:b w:val="false"/>
                <w:bCs w:val="false"/>
                <w:sz w:val="18"/>
                <w:szCs w:val="18"/>
              </w:rPr>
              <w:t xml:space="preserve">Confirmed Ordering Violation</w:t>
            </w:r>
          </w:p>
        </w:tc>
        <w:tc>
          <w:tcPr>
            <w:tcW w:type="dxa" w:w="1200"/>
          </w:tcPr>
          <w:p>
            <w:r>
              <w:rPr>
                <w:b w:val="false"/>
                <w:bCs w:val="false"/>
                <w:sz w:val="18"/>
                <w:szCs w:val="18"/>
              </w:rPr>
              <w:t xml:space="preserve">2</w:t>
            </w:r>
          </w:p>
        </w:tc>
        <w:tc>
          <w:tcPr>
            <w:tcW w:type="dxa" w:w="5550"/>
          </w:tcPr>
          <w:p>
            <w:r>
              <w:rPr>
                <w:b w:val="false"/>
                <w:bCs w:val="false"/>
                <w:sz w:val="18"/>
                <w:szCs w:val="18"/>
              </w:rPr>
              <w:t xml:space="preserve">signal_lineage/signal_registry_audit_log referenced before creation, guarded by unconditional RAISE EXCEPTION in two files</w:t>
            </w:r>
          </w:p>
        </w:tc>
      </w:tr>
      <w:tr>
        <w:tc>
          <w:tcPr>
            <w:tcW w:type="dxa" w:w="2600"/>
          </w:tcPr>
          <w:p>
            <w:r>
              <w:rPr>
                <w:b w:val="false"/>
                <w:bCs w:val="false"/>
                <w:sz w:val="18"/>
                <w:szCs w:val="18"/>
              </w:rPr>
              <w:t xml:space="preserve">Confirmed Schema-Resolution Fact</w:t>
            </w:r>
          </w:p>
        </w:tc>
        <w:tc>
          <w:tcPr>
            <w:tcW w:type="dxa" w:w="1200"/>
          </w:tcPr>
          <w:p>
            <w:r>
              <w:rPr>
                <w:b w:val="false"/>
                <w:bCs w:val="false"/>
                <w:sz w:val="18"/>
                <w:szCs w:val="18"/>
              </w:rPr>
              <w:t xml:space="preserve">2</w:t>
            </w:r>
          </w:p>
        </w:tc>
        <w:tc>
          <w:tcPr>
            <w:tcW w:type="dxa" w:w="5550"/>
          </w:tcPr>
          <w:p>
            <w:r>
              <w:rPr>
                <w:b w:val="false"/>
                <w:bCs w:val="false"/>
                <w:sz w:val="18"/>
                <w:szCs w:val="18"/>
              </w:rPr>
              <w:t xml:space="preserve">signal_category_hierarchy and signal_ontology_edges duplicate definitions; execution order now determines which definition deterministically wins</w:t>
            </w:r>
          </w:p>
        </w:tc>
      </w:tr>
      <w:tr>
        <w:tc>
          <w:tcPr>
            <w:tcW w:type="dxa" w:w="2600"/>
          </w:tcPr>
          <w:p>
            <w:r>
              <w:rPr>
                <w:b w:val="false"/>
                <w:bCs w:val="false"/>
                <w:sz w:val="18"/>
                <w:szCs w:val="18"/>
              </w:rPr>
              <w:t xml:space="preserve">Filename Ordering Hazard</w:t>
            </w:r>
          </w:p>
        </w:tc>
        <w:tc>
          <w:tcPr>
            <w:tcW w:type="dxa" w:w="1200"/>
          </w:tcPr>
          <w:p>
            <w:r>
              <w:rPr>
                <w:b w:val="false"/>
                <w:bCs w:val="false"/>
                <w:sz w:val="18"/>
                <w:szCs w:val="18"/>
              </w:rPr>
              <w:t xml:space="preserve">9 files</w:t>
            </w:r>
          </w:p>
        </w:tc>
        <w:tc>
          <w:tcPr>
            <w:tcW w:type="dxa" w:w="5550"/>
          </w:tcPr>
          <w:p>
            <w:r>
              <w:rPr>
                <w:b w:val="false"/>
                <w:bCs w:val="false"/>
                <w:sz w:val="18"/>
                <w:szCs w:val="18"/>
              </w:rPr>
              <w:t xml:space="preserve">Non-timestamped files sort after all 61 timestamped files purely as a string-sort artifact</w:t>
            </w:r>
          </w:p>
        </w:tc>
      </w:tr>
      <w:tr>
        <w:tc>
          <w:tcPr>
            <w:tcW w:type="dxa" w:w="2600"/>
          </w:tcPr>
          <w:p>
            <w:r>
              <w:rPr>
                <w:b w:val="false"/>
                <w:bCs w:val="false"/>
                <w:sz w:val="18"/>
                <w:szCs w:val="18"/>
              </w:rPr>
              <w:t xml:space="preserve">Non-Deterministic / CLI-Version-Dependent</w:t>
            </w:r>
          </w:p>
        </w:tc>
        <w:tc>
          <w:tcPr>
            <w:tcW w:type="dxa" w:w="1200"/>
          </w:tcPr>
          <w:p>
            <w:r>
              <w:rPr>
                <w:b w:val="false"/>
                <w:bCs w:val="false"/>
                <w:sz w:val="18"/>
                <w:szCs w:val="18"/>
              </w:rPr>
              <w:t xml:space="preserve">2 files</w:t>
            </w:r>
          </w:p>
        </w:tc>
        <w:tc>
          <w:tcPr>
            <w:tcW w:type="dxa" w:w="5550"/>
          </w:tcPr>
          <w:p>
            <w:r>
              <w:rPr>
                <w:b w:val="false"/>
                <w:bCs w:val="false"/>
                <w:sz w:val="18"/>
                <w:szCs w:val="18"/>
              </w:rPr>
              <w:t xml:space="preserve">Forward Migration SQL (no extension); add-phase4b-...-observability.migration.sql (double extension)</w:t>
            </w:r>
          </w:p>
        </w:tc>
      </w:tr>
      <w:tr>
        <w:tc>
          <w:tcPr>
            <w:tcW w:type="dxa" w:w="2600"/>
          </w:tcPr>
          <w:p>
            <w:r>
              <w:rPr>
                <w:b w:val="false"/>
                <w:bCs w:val="false"/>
                <w:sz w:val="18"/>
                <w:szCs w:val="18"/>
              </w:rPr>
              <w:t xml:space="preserve">Unresolved External Dependency</w:t>
            </w:r>
          </w:p>
        </w:tc>
        <w:tc>
          <w:tcPr>
            <w:tcW w:type="dxa" w:w="1200"/>
          </w:tcPr>
          <w:p>
            <w:r>
              <w:rPr>
                <w:b w:val="false"/>
                <w:bCs w:val="false"/>
                <w:sz w:val="18"/>
                <w:szCs w:val="18"/>
              </w:rPr>
              <w:t xml:space="preserve">1</w:t>
            </w:r>
          </w:p>
        </w:tc>
        <w:tc>
          <w:tcPr>
            <w:tcW w:type="dxa" w:w="5550"/>
          </w:tcPr>
          <w:p>
            <w:r>
              <w:rPr>
                <w:b w:val="false"/>
                <w:bCs w:val="false"/>
                <w:sz w:val="18"/>
                <w:szCs w:val="18"/>
              </w:rPr>
              <w:t xml:space="preserve">'governance_audit' role and 'Sprint 1B' migration referenced by Sprint_1C but not located in this repository</w:t>
            </w:r>
          </w:p>
        </w:tc>
      </w:tr>
      <w:tr>
        <w:tc>
          <w:tcPr>
            <w:tcW w:type="dxa" w:w="2600"/>
          </w:tcPr>
          <w:p>
            <w:r>
              <w:rPr>
                <w:b w:val="false"/>
                <w:bCs w:val="false"/>
                <w:sz w:val="18"/>
                <w:szCs w:val="18"/>
              </w:rPr>
              <w:t xml:space="preserve">Historical/Legacy Ordering</w:t>
            </w:r>
          </w:p>
        </w:tc>
        <w:tc>
          <w:tcPr>
            <w:tcW w:type="dxa" w:w="1200"/>
          </w:tcPr>
          <w:p>
            <w:r>
              <w:rPr>
                <w:b w:val="false"/>
                <w:bCs w:val="false"/>
                <w:sz w:val="18"/>
                <w:szCs w:val="18"/>
              </w:rPr>
              <w:t xml:space="preserve">6 files</w:t>
            </w:r>
          </w:p>
        </w:tc>
        <w:tc>
          <w:tcPr>
            <w:tcW w:type="dxa" w:w="5550"/>
          </w:tcPr>
          <w:p>
            <w:r>
              <w:rPr>
                <w:b w:val="false"/>
                <w:bCs w:val="false"/>
                <w:sz w:val="18"/>
                <w:szCs w:val="18"/>
              </w:rPr>
              <w:t xml:space="preserve">000–006 numeric-prefix legacy files predate the timestamp convention entirely but sort correctly by coincidence (numeric prefixes below all later timestamps)</w:t>
            </w:r>
          </w:p>
        </w:tc>
      </w:tr>
    </w:tbl>
    <w:p>
      <w:pPr>
        <w:pStyle w:val="Heading1"/>
        <w:spacing w:after="150" w:before="300"/>
      </w:pPr>
      <w:r>
        <w:t xml:space="preserve">12. Filename Ordering Assessment</w:t>
      </w:r>
    </w:p>
    <w:p>
      <w:pPr>
        <w:spacing w:after="120"/>
      </w:pPr>
      <w:r>
        <w:t xml:space="preserve">This review's central finding is entirely a filename-ordering problem: every object involved in the two confirmed violations (Section 9) is correctly designed, correctly guarded, and would execute without incident if the three 1A files simply carried a timestamp prefix placing them early in the chain (their own content markers — 'Phase 2A.1 · Sprint 1A · Database Foundation Layer' — indicate they were authored as foundational, early-phase work). The 9 non-standard files sort, under plain ASCII/lexicographic comparison, after all digit-timestamp-prefixed files because uppercase and lowercase letters (as in 'Sprint', 'add-', 'fn_', 'migration_', 'phase2_', 'supabase_') have higher character codes than the digits used in every timestamp prefix. This is a purely mechanical artifact of the naming convention, fully confirmed by direct inspection of the filenames in Section 3, not an inference.</w:t>
      </w:r>
    </w:p>
    <w:p>
      <w:pPr>
        <w:pStyle w:val="Heading1"/>
        <w:spacing w:after="150" w:before="300"/>
      </w:pPr>
      <w:r>
        <w:t xml:space="preserve">13. Cross-Domain Ordering Review</w:t>
      </w:r>
    </w:p>
    <w:p>
      <w:pPr>
        <w:spacing w:after="120"/>
      </w:pPr>
      <w:r>
        <w:t xml:space="preserve">Cross-domain references (Foundation → Governance, Foundation → Intelligence) are exactly where the confirmed violations occur: the Intelligence domain (20260608000001, position 53) and the Governance domain (20260616000005, position 59) both reach back into the Foundation domain (signal_lineage, signal_category_hierarchy — the 1A cluster) and find it not yet materialized. No cross-domain violation was found running in the other direction (an earlier domain depending on a later one), and no cross-domain violation was found between Governance and Academic, or between Academic and Student Runtime domains.</w:t>
      </w:r>
    </w:p>
    <w:p>
      <w:pPr>
        <w:pStyle w:val="Heading1"/>
        <w:spacing w:after="150" w:before="300"/>
      </w:pPr>
      <w:r>
        <w:t xml:space="preserve">14. Foundation Ordering Review</w:t>
      </w:r>
    </w:p>
    <w:p>
      <w:pPr>
        <w:spacing w:after="120"/>
      </w:pPr>
      <w:r>
        <w:t xml:space="preserve">The repository effectively has two foundations: the position-0 000_initial_schema.sql (correctly ordered, executes first) and the position-65/66 migration_1A_02/03 pair (misordered, executes last). Every confirmed violation in this review traces back to the second foundation being in the wrong position. This is consistent with, and sharpens, the Dependency Analysis's Section 21 (Critical Path Analysis) finding on the same subject.</w:t>
      </w:r>
    </w:p>
    <w:p>
      <w:pPr>
        <w:pStyle w:val="Heading1"/>
        <w:spacing w:after="150" w:before="300"/>
      </w:pPr>
      <w:r>
        <w:t xml:space="preserve">15. Governance Ordering Review</w:t>
      </w:r>
    </w:p>
    <w:p>
      <w:pPr>
        <w:spacing w:after="120"/>
      </w:pPr>
      <w:r>
        <w:t xml:space="preserve">The WP-DB-001 → 006 governance sequence (positions 54–59) is internally well-ordered: each file's guard clauses are satisfied by the file immediately before it, with one single exception — WP-DB-005 (position 59) also requires the external, misplaced signal_lineage table. Removing that one cross-domain dependency, this is the most rigorously self-verifying sequence in the entire repository.</w:t>
      </w:r>
    </w:p>
    <w:p>
      <w:pPr>
        <w:pStyle w:val="Heading1"/>
        <w:spacing w:after="150" w:before="300"/>
      </w:pPr>
      <w:r>
        <w:t xml:space="preserve">16. Runtime Ordering Review</w:t>
      </w:r>
    </w:p>
    <w:p>
      <w:pPr>
        <w:spacing w:after="120"/>
      </w:pPr>
      <w:r>
        <w:t xml:space="preserve">Runtime (role-ownership, session-role) ordering concerns are limited to the previously documented fn_approve_lineage_transition_DROP_CREATE.sql case (CREATE OR REPLACE silently no-op'd by role-ownership mismatch — see the Dependency Analysis, Section 20). This is a runtime fact that cannot be confirmed or refuted by static file-order analysis; it requires a live database connection to inspect function ownership (pg_proc.proowner) and is flagged here as requiring runtime verification, not as a confirmed ordering violation in the filename-order sense.</w:t>
      </w:r>
    </w:p>
    <w:p>
      <w:pPr>
        <w:pStyle w:val="Heading1"/>
        <w:spacing w:after="150" w:before="300"/>
      </w:pPr>
      <w:r>
        <w:t xml:space="preserve">17. Seed Ordering Review</w:t>
      </w:r>
    </w:p>
    <w:p>
      <w:pPr>
        <w:spacing w:after="120"/>
      </w:pPr>
      <w:r>
        <w:t xml:space="preserve">20260526000002_phase1a_seed_v1_india_taxonomy.sql and 20260526000005_phase1a_seed_board_region_map.sql (positions 40 and 43) both execute after their respective schema/table migrations within the same era — sound. migration_H1_01_signal_category_hierarchy_seed.sql (position 68) is the one seed migration confirmed to depend on a contested, dual-defined table (Section 9); its own success is now determined by the fact that the 20260608000001 (position 53) schema variant wins under the current order, meaning this seed will succeed only if its INSERT columns match that variant's columns (depth, applicable_domains, legacy_enum_value, accepts_signals, is_leaf) rather than the 1A cluster's variant (level, taxonomy_version). Whether they match is a direct textual question this review has not yet re-verified column-by-column and is flagged for the next stage.</w:t>
      </w:r>
    </w:p>
    <w:p>
      <w:pPr>
        <w:pStyle w:val="Heading1"/>
        <w:spacing w:after="150" w:before="300"/>
      </w:pPr>
      <w:r>
        <w:t xml:space="preserve">18. Validation Ordering Review</w:t>
      </w:r>
    </w:p>
    <w:p>
      <w:pPr>
        <w:spacing w:after="120"/>
      </w:pPr>
      <w:r>
        <w:t xml:space="preserve">As established in the Dependency Analysis (Section 18), no distinct validation-script artifact class exists in this repository; validation is inline (dependency guards, immutability checks, orphan-row guards). Every inline validation guard found in this review executes strictly after the object(s) it validates, within its own file, by construction — a DO block cannot run before the CREATE statements textually preceding it in the same file. The only validation-ordering concern is therefore identical to the object-ordering concern already documented in Section 9: the guards are correctly placed relative to their own file, but their file is incorrectly placed relative to the objects it depends on in other files.</w:t>
      </w:r>
    </w:p>
    <w:p>
      <w:pPr>
        <w:pStyle w:val="Heading1"/>
        <w:spacing w:after="150" w:before="300"/>
      </w:pPr>
      <w:r>
        <w:t xml:space="preserve">19. Execution Determinism Assessment</w:t>
      </w:r>
    </w:p>
    <w:p>
      <w:pPr>
        <w:spacing w:after="120"/>
      </w:pPr>
      <w:r>
        <w:t xml:space="preserve">Execution IS deterministic — the outcome of `supabase db reset` on this exact repository state is fully predictable — but the deterministic outcome is failure, not success. Every clean-database run will halt at position 59 (20260616000005_a10_governance_event_store.sql) with the exact exception text 'WP-DB-005 dependency guard FAILED: table "public.signal_lineage" does not exist...'. This is not non-deterministic or flaky behavior; it is a reliable, reproducible halt. Determinism and correctness are independent properties, and this chain has the former without the latter.</w:t>
      </w:r>
    </w:p>
    <w:p>
      <w:pPr>
        <w:pStyle w:val="Heading1"/>
        <w:spacing w:after="150" w:before="300"/>
      </w:pPr>
      <w:r>
        <w:t xml:space="preserve">20. Execution Risk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700"/>
            <w:shd w:fill="1F3864" w:val="clear"/>
          </w:tcPr>
          <w:p>
            <w:r>
              <w:rPr>
                <w:b/>
                <w:bCs/>
                <w:color w:val="FFFFFF"/>
                <w:sz w:val="18"/>
                <w:szCs w:val="18"/>
              </w:rPr>
              <w:t xml:space="preserve">Risk</w:t>
            </w:r>
          </w:p>
        </w:tc>
        <w:tc>
          <w:tcPr>
            <w:tcW w:type="dxa" w:w="1400"/>
            <w:shd w:fill="1F3864" w:val="clear"/>
          </w:tcPr>
          <w:p>
            <w:r>
              <w:rPr>
                <w:b/>
                <w:bCs/>
                <w:color w:val="FFFFFF"/>
                <w:sz w:val="18"/>
                <w:szCs w:val="18"/>
              </w:rPr>
              <w:t xml:space="preserve">Severity</w:t>
            </w:r>
          </w:p>
        </w:tc>
        <w:tc>
          <w:tcPr>
            <w:tcW w:type="dxa" w:w="3250"/>
            <w:shd w:fill="1F3864" w:val="clear"/>
          </w:tcPr>
          <w:p>
            <w:r>
              <w:rPr>
                <w:b/>
                <w:bCs/>
                <w:color w:val="FFFFFF"/>
                <w:sz w:val="18"/>
                <w:szCs w:val="18"/>
              </w:rPr>
              <w:t xml:space="preserve">Evidence classification</w:t>
            </w:r>
          </w:p>
        </w:tc>
      </w:tr>
      <w:tr>
        <w:tc>
          <w:tcPr>
            <w:tcW w:type="dxa" w:w="4700"/>
          </w:tcPr>
          <w:p>
            <w:r>
              <w:rPr>
                <w:b w:val="false"/>
                <w:bCs w:val="false"/>
                <w:sz w:val="18"/>
                <w:szCs w:val="18"/>
              </w:rPr>
              <w:t xml:space="preserve">Clean-database reset (`supabase db reset`) fails deterministically at position 59</w:t>
            </w:r>
          </w:p>
        </w:tc>
        <w:tc>
          <w:tcPr>
            <w:tcW w:type="dxa" w:w="1400"/>
          </w:tcPr>
          <w:p>
            <w:r>
              <w:rPr>
                <w:b w:val="false"/>
                <w:bCs w:val="false"/>
                <w:sz w:val="18"/>
                <w:szCs w:val="18"/>
              </w:rPr>
              <w:t xml:space="preserve">Critical</w:t>
            </w:r>
          </w:p>
        </w:tc>
        <w:tc>
          <w:tcPr>
            <w:tcW w:type="dxa" w:w="3250"/>
          </w:tcPr>
          <w:p>
            <w:r>
              <w:rPr>
                <w:b w:val="false"/>
                <w:bCs w:val="false"/>
                <w:sz w:val="18"/>
                <w:szCs w:val="18"/>
              </w:rPr>
              <w:t xml:space="preserve">Confirmed by repository execution model</w:t>
            </w:r>
          </w:p>
        </w:tc>
      </w:tr>
      <w:tr>
        <w:tc>
          <w:tcPr>
            <w:tcW w:type="dxa" w:w="4700"/>
          </w:tcPr>
          <w:p>
            <w:r>
              <w:rPr>
                <w:b w:val="false"/>
                <w:bCs w:val="false"/>
                <w:sz w:val="18"/>
                <w:szCs w:val="18"/>
              </w:rPr>
              <w:t xml:space="preserve">Sprint_1C_Migration_1C_01.sql would independently fail at position 62 if reached</w:t>
            </w:r>
          </w:p>
        </w:tc>
        <w:tc>
          <w:tcPr>
            <w:tcW w:type="dxa" w:w="1400"/>
          </w:tcPr>
          <w:p>
            <w:r>
              <w:rPr>
                <w:b w:val="false"/>
                <w:bCs w:val="false"/>
                <w:sz w:val="18"/>
                <w:szCs w:val="18"/>
              </w:rPr>
              <w:t xml:space="preserve">Critical</w:t>
            </w:r>
          </w:p>
        </w:tc>
        <w:tc>
          <w:tcPr>
            <w:tcW w:type="dxa" w:w="3250"/>
          </w:tcPr>
          <w:p>
            <w:r>
              <w:rPr>
                <w:b w:val="false"/>
                <w:bCs w:val="false"/>
                <w:sz w:val="18"/>
                <w:szCs w:val="18"/>
              </w:rPr>
              <w:t xml:space="preserve">Confirmed by repository execution model</w:t>
            </w:r>
          </w:p>
        </w:tc>
      </w:tr>
      <w:tr>
        <w:tc>
          <w:tcPr>
            <w:tcW w:type="dxa" w:w="4700"/>
          </w:tcPr>
          <w:p>
            <w:r>
              <w:rPr>
                <w:b w:val="false"/>
                <w:bCs w:val="false"/>
                <w:sz w:val="18"/>
                <w:szCs w:val="18"/>
              </w:rPr>
              <w:t xml:space="preserve">signal_category_hierarchy / signal_ontology_edges schema is order-dependent, not author-intended</w:t>
            </w:r>
          </w:p>
        </w:tc>
        <w:tc>
          <w:tcPr>
            <w:tcW w:type="dxa" w:w="1400"/>
          </w:tcPr>
          <w:p>
            <w:r>
              <w:rPr>
                <w:b w:val="false"/>
                <w:bCs w:val="false"/>
                <w:sz w:val="18"/>
                <w:szCs w:val="18"/>
              </w:rPr>
              <w:t xml:space="preserve">High</w:t>
            </w:r>
          </w:p>
        </w:tc>
        <w:tc>
          <w:tcPr>
            <w:tcW w:type="dxa" w:w="3250"/>
          </w:tcPr>
          <w:p>
            <w:r>
              <w:rPr>
                <w:b w:val="false"/>
                <w:bCs w:val="false"/>
                <w:sz w:val="18"/>
                <w:szCs w:val="18"/>
              </w:rPr>
              <w:t xml:space="preserve">Confirmed by dependency graph + execution order</w:t>
            </w:r>
          </w:p>
        </w:tc>
      </w:tr>
      <w:tr>
        <w:tc>
          <w:tcPr>
            <w:tcW w:type="dxa" w:w="4700"/>
          </w:tcPr>
          <w:p>
            <w:r>
              <w:rPr>
                <w:b w:val="false"/>
                <w:bCs w:val="false"/>
                <w:sz w:val="18"/>
                <w:szCs w:val="18"/>
              </w:rPr>
              <w:t xml:space="preserve">governance_audit role / Sprint 1B prerequisite for Sprint_1C is unresolved</w:t>
            </w:r>
          </w:p>
        </w:tc>
        <w:tc>
          <w:tcPr>
            <w:tcW w:type="dxa" w:w="1400"/>
          </w:tcPr>
          <w:p>
            <w:r>
              <w:rPr>
                <w:b w:val="false"/>
                <w:bCs w:val="false"/>
                <w:sz w:val="18"/>
                <w:szCs w:val="18"/>
              </w:rPr>
              <w:t xml:space="preserve">Medium</w:t>
            </w:r>
          </w:p>
        </w:tc>
        <w:tc>
          <w:tcPr>
            <w:tcW w:type="dxa" w:w="3250"/>
          </w:tcPr>
          <w:p>
            <w:r>
              <w:rPr>
                <w:b w:val="false"/>
                <w:bCs w:val="false"/>
                <w:sz w:val="18"/>
                <w:szCs w:val="18"/>
              </w:rPr>
              <w:t xml:space="preserve">Requires runtime verification</w:t>
            </w:r>
          </w:p>
        </w:tc>
      </w:tr>
      <w:tr>
        <w:tc>
          <w:tcPr>
            <w:tcW w:type="dxa" w:w="4700"/>
          </w:tcPr>
          <w:p>
            <w:r>
              <w:rPr>
                <w:b w:val="false"/>
                <w:bCs w:val="false"/>
                <w:sz w:val="18"/>
                <w:szCs w:val="18"/>
              </w:rPr>
              <w:t xml:space="preserve">Forward Migration SQL / double-extension file inclusion is CLI-version-dependent</w:t>
            </w:r>
          </w:p>
        </w:tc>
        <w:tc>
          <w:tcPr>
            <w:tcW w:type="dxa" w:w="1400"/>
          </w:tcPr>
          <w:p>
            <w:r>
              <w:rPr>
                <w:b w:val="false"/>
                <w:bCs w:val="false"/>
                <w:sz w:val="18"/>
                <w:szCs w:val="18"/>
              </w:rPr>
              <w:t xml:space="preserve">Medium</w:t>
            </w:r>
          </w:p>
        </w:tc>
        <w:tc>
          <w:tcPr>
            <w:tcW w:type="dxa" w:w="3250"/>
          </w:tcPr>
          <w:p>
            <w:r>
              <w:rPr>
                <w:b w:val="false"/>
                <w:bCs w:val="false"/>
                <w:sz w:val="18"/>
                <w:szCs w:val="18"/>
              </w:rPr>
              <w:t xml:space="preserve">Requires runtime verification</w:t>
            </w:r>
          </w:p>
        </w:tc>
      </w:tr>
      <w:tr>
        <w:tc>
          <w:tcPr>
            <w:tcW w:type="dxa" w:w="4700"/>
          </w:tcPr>
          <w:p>
            <w:r>
              <w:rPr>
                <w:b w:val="false"/>
                <w:bCs w:val="false"/>
                <w:sz w:val="18"/>
                <w:szCs w:val="18"/>
              </w:rPr>
              <w:t xml:space="preserve">fn_approve_lineage_transition() ownership-dependent CREATE OR REPLACE</w:t>
            </w:r>
          </w:p>
        </w:tc>
        <w:tc>
          <w:tcPr>
            <w:tcW w:type="dxa" w:w="1400"/>
          </w:tcPr>
          <w:p>
            <w:r>
              <w:rPr>
                <w:b w:val="false"/>
                <w:bCs w:val="false"/>
                <w:sz w:val="18"/>
                <w:szCs w:val="18"/>
              </w:rPr>
              <w:t xml:space="preserve">Medium</w:t>
            </w:r>
          </w:p>
        </w:tc>
        <w:tc>
          <w:tcPr>
            <w:tcW w:type="dxa" w:w="3250"/>
          </w:tcPr>
          <w:p>
            <w:r>
              <w:rPr>
                <w:b w:val="false"/>
                <w:bCs w:val="false"/>
                <w:sz w:val="18"/>
                <w:szCs w:val="18"/>
              </w:rPr>
              <w:t xml:space="preserve">Requires runtime verification (carried forward from Dependency Analysis)</w:t>
            </w:r>
          </w:p>
        </w:tc>
      </w:tr>
    </w:tbl>
    <w:p>
      <w:pPr>
        <w:pStyle w:val="Heading1"/>
        <w:spacing w:after="150" w:before="300"/>
      </w:pPr>
      <w:r>
        <w:t xml:space="preserve">21. Ordering Classification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F3864" w:val="clear"/>
          </w:tcPr>
          <w:p>
            <w:r>
              <w:rPr>
                <w:b/>
                <w:bCs/>
                <w:color w:val="FFFFFF"/>
                <w:sz w:val="18"/>
                <w:szCs w:val="18"/>
              </w:rPr>
              <w:t xml:space="preserve">Classification</w:t>
            </w:r>
          </w:p>
        </w:tc>
        <w:tc>
          <w:tcPr>
            <w:tcW w:type="dxa" w:w="6550"/>
            <w:shd w:fill="1F3864" w:val="clear"/>
          </w:tcPr>
          <w:p>
            <w:r>
              <w:rPr>
                <w:b/>
                <w:bCs/>
                <w:color w:val="FFFFFF"/>
                <w:sz w:val="18"/>
                <w:szCs w:val="18"/>
              </w:rPr>
              <w:t xml:space="preserve">Examples</w:t>
            </w:r>
          </w:p>
        </w:tc>
      </w:tr>
      <w:tr>
        <w:tc>
          <w:tcPr>
            <w:tcW w:type="dxa" w:w="2800"/>
          </w:tcPr>
          <w:p>
            <w:r>
              <w:rPr>
                <w:b w:val="false"/>
                <w:bCs w:val="false"/>
                <w:sz w:val="18"/>
                <w:szCs w:val="18"/>
              </w:rPr>
              <w:t xml:space="preserve">Confirmed Ordering Violation</w:t>
            </w:r>
          </w:p>
        </w:tc>
        <w:tc>
          <w:tcPr>
            <w:tcW w:type="dxa" w:w="6550"/>
          </w:tcPr>
          <w:p>
            <w:r>
              <w:rPr>
                <w:b w:val="false"/>
                <w:bCs w:val="false"/>
                <w:sz w:val="18"/>
                <w:szCs w:val="18"/>
              </w:rPr>
              <w:t xml:space="preserve">20260616000005 → signal_lineage; Sprint_1C_Migration_1C_01 → signal_lineage/signal_registry_audit_log/enums</w:t>
            </w:r>
          </w:p>
        </w:tc>
      </w:tr>
      <w:tr>
        <w:tc>
          <w:tcPr>
            <w:tcW w:type="dxa" w:w="2800"/>
          </w:tcPr>
          <w:p>
            <w:r>
              <w:rPr>
                <w:b w:val="false"/>
                <w:bCs w:val="false"/>
                <w:sz w:val="18"/>
                <w:szCs w:val="18"/>
              </w:rPr>
              <w:t xml:space="preserve">Filename Ordering / Coincidental Ordering</w:t>
            </w:r>
          </w:p>
        </w:tc>
        <w:tc>
          <w:tcPr>
            <w:tcW w:type="dxa" w:w="6550"/>
          </w:tcPr>
          <w:p>
            <w:r>
              <w:rPr>
                <w:b w:val="false"/>
                <w:bCs w:val="false"/>
                <w:sz w:val="18"/>
                <w:szCs w:val="18"/>
              </w:rPr>
              <w:t xml:space="preserve">All 9 non-standard-named files, positions 61–69</w:t>
            </w:r>
          </w:p>
        </w:tc>
      </w:tr>
      <w:tr>
        <w:tc>
          <w:tcPr>
            <w:tcW w:type="dxa" w:w="2800"/>
          </w:tcPr>
          <w:p>
            <w:r>
              <w:rPr>
                <w:b w:val="false"/>
                <w:bCs w:val="false"/>
                <w:sz w:val="18"/>
                <w:szCs w:val="18"/>
              </w:rPr>
              <w:t xml:space="preserve">Hidden Ordering</w:t>
            </w:r>
          </w:p>
        </w:tc>
        <w:tc>
          <w:tcPr>
            <w:tcW w:type="dxa" w:w="6550"/>
          </w:tcPr>
          <w:p>
            <w:r>
              <w:rPr>
                <w:b w:val="false"/>
                <w:bCs w:val="false"/>
                <w:sz w:val="18"/>
                <w:szCs w:val="18"/>
              </w:rPr>
              <w:t xml:space="preserve">signal_category_hierarchy / signal_ontology_edges dual-definition — invisible until execution order is established</w:t>
            </w:r>
          </w:p>
        </w:tc>
      </w:tr>
      <w:tr>
        <w:tc>
          <w:tcPr>
            <w:tcW w:type="dxa" w:w="2800"/>
          </w:tcPr>
          <w:p>
            <w:r>
              <w:rPr>
                <w:b w:val="false"/>
                <w:bCs w:val="false"/>
                <w:sz w:val="18"/>
                <w:szCs w:val="18"/>
              </w:rPr>
              <w:t xml:space="preserve">Fragile Ordering</w:t>
            </w:r>
          </w:p>
        </w:tc>
        <w:tc>
          <w:tcPr>
            <w:tcW w:type="dxa" w:w="6550"/>
          </w:tcPr>
          <w:p>
            <w:r>
              <w:rPr>
                <w:b w:val="false"/>
                <w:bCs w:val="false"/>
                <w:sz w:val="18"/>
                <w:szCs w:val="18"/>
              </w:rPr>
              <w:t xml:space="preserve">20260608000001_intelligence_foundation_layer.sql — currently succeeds only because it happens to sort before the competing 1A definition, not by design</w:t>
            </w:r>
          </w:p>
        </w:tc>
      </w:tr>
      <w:tr>
        <w:tc>
          <w:tcPr>
            <w:tcW w:type="dxa" w:w="2800"/>
          </w:tcPr>
          <w:p>
            <w:r>
              <w:rPr>
                <w:b w:val="false"/>
                <w:bCs w:val="false"/>
                <w:sz w:val="18"/>
                <w:szCs w:val="18"/>
              </w:rPr>
              <w:t xml:space="preserve">Legacy Ordering</w:t>
            </w:r>
          </w:p>
        </w:tc>
        <w:tc>
          <w:tcPr>
            <w:tcW w:type="dxa" w:w="6550"/>
          </w:tcPr>
          <w:p>
            <w:r>
              <w:rPr>
                <w:b w:val="false"/>
                <w:bCs w:val="false"/>
                <w:sz w:val="18"/>
                <w:szCs w:val="18"/>
              </w:rPr>
              <w:t xml:space="preserve">000–006 numeric-prefix files — correct only because digit prefixes sort below all other characters</w:t>
            </w:r>
          </w:p>
        </w:tc>
      </w:tr>
      <w:tr>
        <w:tc>
          <w:tcPr>
            <w:tcW w:type="dxa" w:w="2800"/>
          </w:tcPr>
          <w:p>
            <w:r>
              <w:rPr>
                <w:b w:val="false"/>
                <w:bCs w:val="false"/>
                <w:sz w:val="18"/>
                <w:szCs w:val="18"/>
              </w:rPr>
              <w:t xml:space="preserve">Non-Deterministic Ordering</w:t>
            </w:r>
          </w:p>
        </w:tc>
        <w:tc>
          <w:tcPr>
            <w:tcW w:type="dxa" w:w="6550"/>
          </w:tcPr>
          <w:p>
            <w:r>
              <w:rPr>
                <w:b w:val="false"/>
                <w:bCs w:val="false"/>
                <w:sz w:val="18"/>
                <w:szCs w:val="18"/>
              </w:rPr>
              <w:t xml:space="preserve">None confirmed — see Section 19; this chain's failure is deterministic, not non-deterministic</w:t>
            </w:r>
          </w:p>
        </w:tc>
      </w:tr>
      <w:tr>
        <w:tc>
          <w:tcPr>
            <w:tcW w:type="dxa" w:w="2800"/>
          </w:tcPr>
          <w:p>
            <w:r>
              <w:rPr>
                <w:b w:val="false"/>
                <w:bCs w:val="false"/>
                <w:sz w:val="18"/>
                <w:szCs w:val="18"/>
              </w:rPr>
              <w:t xml:space="preserve">Execution Drift</w:t>
            </w:r>
          </w:p>
        </w:tc>
        <w:tc>
          <w:tcPr>
            <w:tcW w:type="dxa" w:w="6550"/>
          </w:tcPr>
          <w:p>
            <w:r>
              <w:rPr>
                <w:b w:val="false"/>
                <w:bCs w:val="false"/>
                <w:sz w:val="18"/>
                <w:szCs w:val="18"/>
              </w:rPr>
              <w:t xml:space="preserve">The RECONSTRUCTED trio (20260601000001/2/3) — evidence of a prior drift-and-repair cycle, now stable within its own era</w:t>
            </w:r>
          </w:p>
        </w:tc>
      </w:tr>
      <w:tr>
        <w:tc>
          <w:tcPr>
            <w:tcW w:type="dxa" w:w="2800"/>
          </w:tcPr>
          <w:p>
            <w:r>
              <w:rPr>
                <w:b w:val="false"/>
                <w:bCs w:val="false"/>
                <w:sz w:val="18"/>
                <w:szCs w:val="18"/>
              </w:rPr>
              <w:t xml:space="preserve">Blocking Ordering</w:t>
            </w:r>
          </w:p>
        </w:tc>
        <w:tc>
          <w:tcPr>
            <w:tcW w:type="dxa" w:w="6550"/>
          </w:tcPr>
          <w:p>
            <w:r>
              <w:rPr>
                <w:b w:val="false"/>
                <w:bCs w:val="false"/>
                <w:sz w:val="18"/>
                <w:szCs w:val="18"/>
              </w:rPr>
              <w:t xml:space="preserve">Position 59 (20260616000005) — halts all subsequent execution in a single clean-reset run</w:t>
            </w:r>
          </w:p>
        </w:tc>
      </w:tr>
      <w:tr>
        <w:tc>
          <w:tcPr>
            <w:tcW w:type="dxa" w:w="2800"/>
          </w:tcPr>
          <w:p>
            <w:r>
              <w:rPr>
                <w:b w:val="false"/>
                <w:bCs w:val="false"/>
                <w:sz w:val="18"/>
                <w:szCs w:val="18"/>
              </w:rPr>
              <w:t xml:space="preserve">Weak Ordering</w:t>
            </w:r>
          </w:p>
        </w:tc>
        <w:tc>
          <w:tcPr>
            <w:tcW w:type="dxa" w:w="6550"/>
          </w:tcPr>
          <w:p>
            <w:r>
              <w:rPr>
                <w:b w:val="false"/>
                <w:bCs w:val="false"/>
                <w:sz w:val="18"/>
                <w:szCs w:val="18"/>
              </w:rPr>
              <w:t xml:space="preserve">add-phase4b-governance-observability.migration.sql, fn_approve_lineage_transition_DROP_CREATE.sql — unconventional names, no confirmed content-level violation found</w:t>
            </w:r>
          </w:p>
        </w:tc>
      </w:tr>
      <w:tr>
        <w:tc>
          <w:tcPr>
            <w:tcW w:type="dxa" w:w="2800"/>
          </w:tcPr>
          <w:p>
            <w:r>
              <w:rPr>
                <w:b w:val="false"/>
                <w:bCs w:val="false"/>
                <w:sz w:val="18"/>
                <w:szCs w:val="18"/>
              </w:rPr>
              <w:t xml:space="preserve">Redundant Ordering</w:t>
            </w:r>
          </w:p>
        </w:tc>
        <w:tc>
          <w:tcPr>
            <w:tcW w:type="dxa" w:w="6550"/>
          </w:tcPr>
          <w:p>
            <w:r>
              <w:rPr>
                <w:b w:val="false"/>
                <w:bCs w:val="false"/>
                <w:sz w:val="18"/>
                <w:szCs w:val="18"/>
              </w:rPr>
              <w:t xml:space="preserve">Repeated extension/enum declarations across files (see Dependency Analysis Section 20) — idempotent, not blocking</w:t>
            </w:r>
          </w:p>
        </w:tc>
      </w:tr>
    </w:tbl>
    <w:p>
      <w:pPr>
        <w:pStyle w:val="Heading1"/>
        <w:spacing w:after="150" w:before="300"/>
      </w:pPr>
      <w:r>
        <w:t xml:space="preserve">22. Enterprise Conclusions</w:t>
      </w:r>
    </w:p>
    <w:p>
      <w:pPr>
        <w:spacing w:after="120"/>
      </w:pPr>
      <w:r>
        <w:t xml:space="preserve">This review answers the question posed by the work package directly: the current Supabase migration execution order is NOT capable of deterministically reconstructing the canonical HireRise database via `supabase db reset`. Failure is deterministic, reproducible, and traceable to a single root mechanical cause — three files (migration_1A_01_enums.sql, migration_1A_02_core_tables.sql, migration_1A_03_and_04.sql) that were authored as the earliest foundational layer but do not carry the timestamp prefix that would place them there — with two independent, author-written guard clauses in later migrations confirming the exact dependency being violated in their own text. A secondary, previously open question from the Dependency Analysis (which of two competing signal_category_hierarchy / signal_ontology_edges schemas is authoritative) is now resolved as a direct consequence of establishing execution order, though not in a way that reflects either author's evident intent. No reconciliation, renaming, or reordering is proposed here, per this work package's scope; this report is submitted as the authoritative execution-order baseline for the next governance stage, WP-DB-01 — Canonical Schema Comparison.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2026-07-07T01:53:51.549Z</dcterms:created>
  <dcterms:modified xsi:type="dcterms:W3CDTF">2026-07-07T01:53:51.561Z</dcterms:modified>
</cp:coreProperties>
</file>

<file path=docProps/custom.xml><?xml version="1.0" encoding="utf-8"?>
<Properties xmlns="http://schemas.openxmlformats.org/officeDocument/2006/custom-properties" xmlns:vt="http://schemas.openxmlformats.org/officeDocument/2006/docPropsVTypes"/>
</file>