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31</w:t>
        <w:rPr>
          <w:sz w:val="20"/>
        </w:rPr>
      </w:r>
    </w:p>
    <w:p>
      <w:pPr>
        <w:pStyle w:val="Normal"/>
        <w:spacing w:before="0" w:after="75" w:line="240" w:lineRule="auto"/>
        <w:keepNext w:val="0"/>
        <w:ind w:left="340" w:firstLine="0"/>
        <w:tabs>
          <w:tab w:val="right" w:leader="dot" w:pos="8990"/>
        </w:tabs>
      </w:pPr>
      <w:r>
        <w:t>3.4.3 Use Case 3 by Chai Muyang</w:t>
        <w:tab/>
        <w:t>34</w:t>
        <w:rPr>
          <w:sz w:val="20"/>
        </w:rPr>
      </w:r>
    </w:p>
    <w:p>
      <w:pPr>
        <w:pStyle w:val="Normal"/>
        <w:spacing w:before="0" w:after="75" w:line="240" w:lineRule="auto"/>
        <w:keepNext w:val="0"/>
        <w:ind w:left="340" w:firstLine="0"/>
        <w:tabs>
          <w:tab w:val="right" w:leader="dot" w:pos="8990"/>
        </w:tabs>
      </w:pPr>
      <w:r>
        <w:t>3.4.4 Use Case 4 by Lu Junyi</w:t>
        <w:tab/>
        <w:t>38</w:t>
        <w:rPr>
          <w:sz w:val="20"/>
        </w:rPr>
      </w:r>
    </w:p>
    <w:p>
      <w:pPr>
        <w:pStyle w:val="Normal"/>
        <w:spacing w:before="0" w:after="75" w:line="240" w:lineRule="auto"/>
        <w:keepNext w:val="0"/>
        <w:ind w:left="340" w:firstLine="0"/>
        <w:tabs>
          <w:tab w:val="right" w:leader="dot" w:pos="8990"/>
        </w:tabs>
      </w:pPr>
      <w:r>
        <w:t>3.4.5 Use Case 5 by Lu Junyi</w:t>
        <w:tab/>
        <w:t>50</w:t>
        <w:rPr>
          <w:sz w:val="20"/>
        </w:rPr>
      </w:r>
    </w:p>
    <w:p>
      <w:pPr>
        <w:pStyle w:val="Normal"/>
        <w:spacing w:before="0" w:after="75" w:line="240" w:lineRule="auto"/>
        <w:keepNext w:val="0"/>
        <w:ind w:left="340" w:firstLine="0"/>
        <w:tabs>
          <w:tab w:val="right" w:leader="dot" w:pos="8990"/>
        </w:tabs>
      </w:pPr>
      <w:r>
        <w:t>3.4.6 Use Case 6 by Huang Haoyang</w:t>
        <w:tab/>
        <w:t>54</w:t>
        <w:rPr>
          <w:sz w:val="20"/>
        </w:rPr>
      </w:r>
    </w:p>
    <w:p>
      <w:pPr>
        <w:pStyle w:val="Normal"/>
        <w:spacing w:before="0" w:after="75" w:line="240" w:lineRule="auto"/>
        <w:keepNext w:val="0"/>
        <w:ind w:left="340" w:firstLine="0"/>
        <w:tabs>
          <w:tab w:val="right" w:leader="dot" w:pos="8990"/>
        </w:tabs>
      </w:pPr>
      <w:r>
        <w:t>3.4.7 Use Case 7 by Luo Runzhou</w:t>
        <w:tab/>
        <w:t>63</w:t>
        <w:rPr>
          <w:sz w:val="20"/>
        </w:rPr>
      </w:r>
    </w:p>
    <w:p>
      <w:pPr>
        <w:pStyle w:val="Normal"/>
        <w:spacing w:before="0" w:after="75" w:line="240" w:lineRule="auto"/>
        <w:keepNext w:val="0"/>
        <w:ind w:left="170" w:firstLine="0"/>
        <w:tabs>
          <w:tab w:val="right" w:leader="dot" w:pos="8990"/>
        </w:tabs>
      </w:pPr>
      <w:r>
        <w:t>3.5 Design Problems and Patterns</w:t>
        <w:tab/>
        <w:t>71</w:t>
        <w:rPr>
          <w:sz w:val="20"/>
        </w:rPr>
      </w:r>
    </w:p>
    <w:p>
      <w:pPr>
        <w:pStyle w:val="Normal"/>
        <w:spacing w:before="0" w:after="75" w:line="240" w:lineRule="auto"/>
        <w:keepNext w:val="0"/>
        <w:ind w:left="340" w:firstLine="0"/>
        <w:tabs>
          <w:tab w:val="right" w:leader="dot" w:pos="8990"/>
        </w:tabs>
      </w:pPr>
      <w:r>
        <w:t>3.5.1 DP01 Event cancellation collaboration by Lu Junyi</w:t>
        <w:tab/>
        <w:t>72</w:t>
        <w:rPr>
          <w:sz w:val="20"/>
        </w:rPr>
      </w:r>
    </w:p>
    <w:p>
      <w:pPr>
        <w:pStyle w:val="Normal"/>
        <w:spacing w:before="0" w:after="75" w:line="240" w:lineRule="auto"/>
        <w:keepNext w:val="0"/>
        <w:ind w:left="340" w:firstLine="0"/>
        <w:tabs>
          <w:tab w:val="right" w:leader="dot" w:pos="8990"/>
        </w:tabs>
      </w:pPr>
      <w:r>
        <w:t>3.5.2 DP02 Replaceable credential verification by Hu Jia</w:t>
        <w:tab/>
        <w:t>74</w:t>
        <w:rPr>
          <w:sz w:val="20"/>
        </w:rPr>
      </w:r>
    </w:p>
    <w:p>
      <w:pPr>
        <w:pStyle w:val="Normal"/>
        <w:spacing w:before="0" w:after="75" w:line="240" w:lineRule="auto"/>
        <w:keepNext w:val="0"/>
        <w:ind w:left="340" w:firstLine="0"/>
        <w:tabs>
          <w:tab w:val="right" w:leader="dot" w:pos="8990"/>
        </w:tabs>
      </w:pPr>
      <w:r>
        <w:t>3.5.3 DP03 Role-change notification separation by Chai Muyang</w:t>
        <w:tab/>
        <w:t>76</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78</w:t>
        <w:rPr>
          <w:sz w:val="20"/>
        </w:rPr>
      </w:r>
    </w:p>
    <w:p>
      <w:pPr>
        <w:pStyle w:val="Normal"/>
        <w:spacing w:before="0" w:after="75" w:line="240" w:lineRule="auto"/>
        <w:keepNext w:val="0"/>
        <w:ind w:left="340" w:firstLine="0"/>
        <w:tabs>
          <w:tab w:val="right" w:leader="dot" w:pos="8990"/>
        </w:tabs>
      </w:pPr>
      <w:r>
        <w:t>3.5.5 DP05 Ticket lifecycle behaviour by Luo Runzhou</w:t>
        <w:tab/>
        <w:t>80</w:t>
        <w:rPr>
          <w:sz w:val="20"/>
        </w:rPr>
      </w:r>
    </w:p>
    <w:p>
      <w:pPr>
        <w:pStyle w:val="Normal"/>
        <w:spacing w:before="0" w:after="75" w:line="240" w:lineRule="auto"/>
        <w:keepNext w:val="0"/>
        <w:ind w:left="170" w:firstLine="0"/>
        <w:tabs>
          <w:tab w:val="right" w:leader="dot" w:pos="8990"/>
        </w:tabs>
      </w:pPr>
      <w:r>
        <w:t>3.6 Database Schemas</w:t>
        <w:tab/>
        <w:t>82</w:t>
        <w:rPr>
          <w:sz w:val="20"/>
        </w:rPr>
      </w:r>
    </w:p>
    <w:p>
      <w:pPr>
        <w:pStyle w:val="Normal"/>
        <w:spacing w:before="0" w:after="75" w:line="240" w:lineRule="auto"/>
        <w:keepNext w:val="0"/>
        <w:ind w:left="340" w:firstLine="0"/>
        <w:tabs>
          <w:tab w:val="right" w:leader="dot" w:pos="8990"/>
        </w:tabs>
      </w:pPr>
      <w:r>
        <w:t>3.6.1 Admission and Supporting Data</w:t>
        <w:tab/>
        <w:t>83</w:t>
        <w:rPr>
          <w:sz w:val="20"/>
        </w:rPr>
      </w:r>
    </w:p>
    <w:p>
      <w:pPr>
        <w:pStyle w:val="Normal"/>
        <w:spacing w:before="0" w:after="75" w:line="240" w:lineRule="auto"/>
        <w:keepNext w:val="0"/>
        <w:ind w:left="340" w:firstLine="0"/>
        <w:tabs>
          <w:tab w:val="right" w:leader="dot" w:pos="8990"/>
        </w:tabs>
      </w:pPr>
      <w:r>
        <w:t>3.6.2 Constraints and Transaction Design</w:t>
        <w:tab/>
        <w:t>84</w:t>
        <w:rPr>
          <w:sz w:val="20"/>
        </w:rPr>
      </w:r>
    </w:p>
    <w:p>
      <w:pPr>
        <w:pStyle w:val="Normal"/>
        <w:spacing w:before="0" w:after="75" w:line="240" w:lineRule="auto"/>
        <w:keepNext w:val="0"/>
        <w:ind w:left="340" w:firstLine="0"/>
        <w:tabs>
          <w:tab w:val="right" w:leader="dot" w:pos="8990"/>
        </w:tabs>
      </w:pPr>
      <w:r>
        <w:t>3.6.3 Complete Entity Relationship Diagram</w:t>
        <w:tab/>
        <w:t>85</w:t>
        <w:rPr>
          <w:sz w:val="20"/>
        </w:rPr>
      </w:r>
    </w:p>
    <w:p>
      <w:pPr>
        <w:pStyle w:val="Normal"/>
        <w:spacing w:before="0" w:after="75" w:line="240" w:lineRule="auto"/>
        <w:keepNext w:val="0"/>
        <w:ind w:left="0" w:firstLine="0"/>
        <w:tabs>
          <w:tab w:val="right" w:leader="dot" w:pos="8990"/>
        </w:tabs>
      </w:pPr>
      <w:r>
        <w:t>4. DevSecOps and Development Lifecycle</w:t>
        <w:tab/>
        <w:t>86</w:t>
        <w:rPr>
          <w:sz w:val="20"/>
        </w:rPr>
      </w:r>
    </w:p>
    <w:p>
      <w:pPr>
        <w:pStyle w:val="Normal"/>
        <w:spacing w:before="0" w:after="75" w:line="240" w:lineRule="auto"/>
        <w:keepNext w:val="0"/>
        <w:ind w:left="170" w:firstLine="0"/>
        <w:tabs>
          <w:tab w:val="right" w:leader="dot" w:pos="8990"/>
        </w:tabs>
      </w:pPr>
      <w:r>
        <w:t>4.1 Source Control Strategy</w:t>
        <w:tab/>
        <w:t>86</w:t>
        <w:rPr>
          <w:sz w:val="20"/>
        </w:rPr>
      </w:r>
    </w:p>
    <w:p>
      <w:pPr>
        <w:pStyle w:val="Normal"/>
        <w:spacing w:before="0" w:after="75" w:line="240" w:lineRule="auto"/>
        <w:keepNext w:val="0"/>
        <w:ind w:left="170" w:firstLine="0"/>
        <w:tabs>
          <w:tab w:val="right" w:leader="dot" w:pos="8990"/>
        </w:tabs>
      </w:pPr>
      <w:r>
        <w:t>4.2 Continuous Integration</w:t>
        <w:tab/>
        <w:t>87</w:t>
        <w:rPr>
          <w:sz w:val="20"/>
        </w:rPr>
      </w:r>
    </w:p>
    <w:p>
      <w:pPr>
        <w:pStyle w:val="Normal"/>
        <w:spacing w:before="0" w:after="75" w:line="240" w:lineRule="auto"/>
        <w:keepNext w:val="0"/>
        <w:ind w:left="340" w:firstLine="0"/>
        <w:tabs>
          <w:tab w:val="right" w:leader="dot" w:pos="8990"/>
        </w:tabs>
      </w:pPr>
      <w:r>
        <w:t>4.2.1 Test Strategy and Functional Results</w:t>
        <w:tab/>
        <w:t>88</w:t>
        <w:rPr>
          <w:sz w:val="20"/>
        </w:rPr>
      </w:r>
    </w:p>
    <w:p>
      <w:pPr>
        <w:pStyle w:val="Normal"/>
        <w:spacing w:before="0" w:after="75" w:line="240" w:lineRule="auto"/>
        <w:keepNext w:val="0"/>
        <w:ind w:left="340" w:firstLine="0"/>
        <w:tabs>
          <w:tab w:val="right" w:leader="dot" w:pos="8990"/>
        </w:tabs>
      </w:pPr>
      <w:r>
        <w:t>4.2.2 Performance Evaluation</w:t>
        <w:tab/>
        <w:t>89</w:t>
        <w:rPr>
          <w:sz w:val="20"/>
        </w:rPr>
      </w:r>
    </w:p>
    <w:p>
      <w:pPr>
        <w:pStyle w:val="Normal"/>
        <w:spacing w:before="0" w:after="75" w:line="240" w:lineRule="auto"/>
        <w:keepNext w:val="0"/>
        <w:ind w:left="340" w:firstLine="0"/>
        <w:tabs>
          <w:tab w:val="right" w:leader="dot" w:pos="8990"/>
        </w:tabs>
      </w:pPr>
      <w:r>
        <w:t>4.2.3 Security and Operational Verification</w:t>
        <w:tab/>
        <w:t>90</w:t>
        <w:rPr>
          <w:sz w:val="20"/>
        </w:rPr>
      </w:r>
    </w:p>
    <w:p>
      <w:pPr>
        <w:pStyle w:val="Normal"/>
        <w:spacing w:before="0" w:after="75" w:line="240" w:lineRule="auto"/>
        <w:keepNext w:val="0"/>
        <w:ind w:left="340" w:firstLine="0"/>
        <w:tabs>
          <w:tab w:val="right" w:leader="dot" w:pos="8990"/>
        </w:tabs>
      </w:pPr>
      <w:r>
        <w:t>4.2.4 Verification Artifacts and Provenance</w:t>
        <w:tab/>
        <w:t>91</w:t>
        <w:rPr>
          <w:sz w:val="20"/>
        </w:rPr>
      </w:r>
    </w:p>
    <w:p>
      <w:pPr>
        <w:pStyle w:val="Normal"/>
        <w:spacing w:before="0" w:after="75" w:line="240" w:lineRule="auto"/>
        <w:keepNext w:val="0"/>
        <w:ind w:left="170" w:firstLine="0"/>
        <w:tabs>
          <w:tab w:val="right" w:leader="dot" w:pos="8990"/>
        </w:tabs>
      </w:pPr>
      <w:r>
        <w:t>4.3 Continuous Delivery</w:t>
        <w:tab/>
        <w:t>92</w:t>
        <w:rPr>
          <w:sz w:val="20"/>
        </w:rPr>
      </w:r>
    </w:p>
    <w:p>
      <w:pPr>
        <w:pStyle w:val="Normal"/>
        <w:spacing w:before="0" w:after="75" w:line="240" w:lineRule="auto"/>
        <w:keepNext w:val="0"/>
        <w:ind w:left="340" w:firstLine="0"/>
        <w:tabs>
          <w:tab w:val="right" w:leader="dot" w:pos="8990"/>
        </w:tabs>
      </w:pPr>
      <w:r>
        <w:t>4.3.1 Deployed Workflow Evidence</w:t>
        <w:tab/>
        <w:t>93</w:t>
        <w:rPr>
          <w:sz w:val="20"/>
        </w:rPr>
      </w:r>
    </w:p>
    <w:p>
      <w:pPr>
        <w:pStyle w:val="Normal"/>
        <w:spacing w:before="0" w:after="75" w:line="240" w:lineRule="auto"/>
        <w:keepNext w:val="0"/>
        <w:ind w:left="0" w:firstLine="0"/>
        <w:tabs>
          <w:tab w:val="right" w:leader="dot" w:pos="8990"/>
        </w:tabs>
      </w:pPr>
      <w:r>
        <w:t>5. Individual Members Activity Contribution Summary</w:t>
        <w:tab/>
        <w:t>94</w:t>
        <w:rPr>
          <w:sz w:val="20"/>
        </w:rPr>
      </w:r>
    </w:p>
    <w:p>
      <w:pPr>
        <w:pStyle w:val="Normal"/>
        <w:spacing w:before="0" w:after="75" w:line="240" w:lineRule="auto"/>
        <w:keepNext w:val="0"/>
        <w:ind w:left="170" w:firstLine="0"/>
        <w:tabs>
          <w:tab w:val="right" w:leader="dot" w:pos="8990"/>
        </w:tabs>
      </w:pPr>
      <w:r>
        <w:t>5.1 Lu Junyi</w:t>
        <w:tab/>
        <w:t>94</w:t>
        <w:rPr>
          <w:sz w:val="20"/>
        </w:rPr>
      </w:r>
    </w:p>
    <w:p>
      <w:pPr>
        <w:pStyle w:val="Normal"/>
        <w:spacing w:before="0" w:after="75" w:line="240" w:lineRule="auto"/>
        <w:keepNext w:val="0"/>
        <w:ind w:left="170" w:firstLine="0"/>
        <w:tabs>
          <w:tab w:val="right" w:leader="dot" w:pos="8990"/>
        </w:tabs>
      </w:pPr>
      <w:r>
        <w:t>5.2 Hu Jia</w:t>
        <w:tab/>
        <w:t>94</w:t>
        <w:rPr>
          <w:sz w:val="20"/>
        </w:rPr>
      </w:r>
    </w:p>
    <w:p>
      <w:pPr>
        <w:pStyle w:val="Normal"/>
        <w:spacing w:before="0" w:after="75" w:line="240" w:lineRule="auto"/>
        <w:keepNext w:val="0"/>
        <w:ind w:left="170" w:firstLine="0"/>
        <w:tabs>
          <w:tab w:val="right" w:leader="dot" w:pos="8990"/>
        </w:tabs>
      </w:pPr>
      <w:r>
        <w:t>5.3 Chai Muyang</w:t>
        <w:tab/>
        <w:t>94</w:t>
        <w:rPr>
          <w:sz w:val="20"/>
        </w:rPr>
      </w:r>
    </w:p>
    <w:p>
      <w:pPr>
        <w:pStyle w:val="Normal"/>
        <w:spacing w:before="0" w:after="75" w:line="240" w:lineRule="auto"/>
        <w:keepNext w:val="0"/>
        <w:ind w:left="170" w:firstLine="0"/>
        <w:tabs>
          <w:tab w:val="right" w:leader="dot" w:pos="8990"/>
        </w:tabs>
      </w:pPr>
      <w:r>
        <w:t>5.4 Huang Haoyang</w:t>
        <w:tab/>
        <w:t>94</w:t>
        <w:rPr>
          <w:sz w:val="20"/>
        </w:rPr>
      </w:r>
    </w:p>
    <w:p>
      <w:pPr>
        <w:pStyle w:val="Normal"/>
        <w:spacing w:before="0" w:after="75" w:line="240" w:lineRule="auto"/>
        <w:keepNext w:val="0"/>
        <w:ind w:left="170" w:firstLine="0"/>
        <w:tabs>
          <w:tab w:val="right" w:leader="dot" w:pos="8990"/>
        </w:tabs>
      </w:pPr>
      <w:r>
        <w:t>5.5 Luo Runzhou</w:t>
        <w:tab/>
        <w:t>94</w:t>
        <w:rPr>
          <w:sz w:val="20"/>
        </w:rPr>
      </w:r>
    </w:p>
    <w:p>
      <w:pPr>
        <w:pStyle w:val="Normal"/>
        <w:spacing w:before="0" w:after="75" w:line="240" w:lineRule="auto"/>
        <w:keepNext w:val="0"/>
        <w:ind w:left="170" w:firstLine="0"/>
        <w:tabs>
          <w:tab w:val="right" w:leader="dot" w:pos="8990"/>
        </w:tabs>
      </w:pPr>
      <w:r>
        <w:t>5.6 Team Reflection and Conclusion</w:t>
        <w:tab/>
        <w:t>95</w:t>
        <w:rPr>
          <w:sz w:val="20"/>
        </w:rPr>
      </w:r>
    </w:p>
    <w:p>
      <w:pPr>
        <w:pStyle w:val="Normal"/>
        <w:spacing w:before="0" w:after="75" w:line="240" w:lineRule="auto"/>
        <w:keepNext w:val="0"/>
        <w:ind w:left="0" w:firstLine="0"/>
        <w:tabs>
          <w:tab w:val="right" w:leader="dot" w:pos="8990"/>
        </w:tabs>
      </w:pPr>
      <w:r>
        <w:t>Appendix A Verification Artifacts</w:t>
        <w:tab/>
        <w:t>96</w:t>
        <w:rPr>
          <w:sz w:val="20"/>
        </w:rPr>
      </w:r>
    </w:p>
    <w:p>
      <w:pPr>
        <w:pStyle w:val="Normal"/>
        <w:spacing w:before="0" w:after="75" w:line="240" w:lineRule="auto"/>
        <w:keepNext w:val="0"/>
        <w:ind w:left="170" w:firstLine="0"/>
        <w:tabs>
          <w:tab w:val="right" w:leader="dot" w:pos="8990"/>
        </w:tabs>
      </w:pPr>
      <w:r>
        <w:t>A.1 Lint and Automated Test Output</w:t>
        <w:tab/>
        <w:t>96</w:t>
        <w:rPr>
          <w:sz w:val="20"/>
        </w:rPr>
      </w:r>
    </w:p>
    <w:p>
      <w:pPr>
        <w:pStyle w:val="Normal"/>
        <w:spacing w:before="0" w:after="75" w:line="240" w:lineRule="auto"/>
        <w:keepNext w:val="0"/>
        <w:ind w:left="170" w:firstLine="0"/>
        <w:tabs>
          <w:tab w:val="right" w:leader="dot" w:pos="8990"/>
        </w:tabs>
      </w:pPr>
      <w:r>
        <w:t>A.2 Static Security and Container Results</w:t>
        <w:tab/>
        <w:t>97</w:t>
        <w:rPr>
          <w:sz w:val="20"/>
        </w:rPr>
      </w:r>
    </w:p>
    <w:p>
      <w:pPr>
        <w:pStyle w:val="Normal"/>
        <w:spacing w:before="0" w:after="75" w:line="240" w:lineRule="auto"/>
        <w:keepNext w:val="0"/>
        <w:ind w:left="170" w:firstLine="0"/>
        <w:tabs>
          <w:tab w:val="right" w:leader="dot" w:pos="8990"/>
        </w:tabs>
      </w:pPr>
      <w:r>
        <w:t>A.3 Saved DAST Results</w:t>
        <w:tab/>
        <w:t>98</w:t>
        <w:rPr>
          <w:sz w:val="20"/>
        </w:rPr>
      </w:r>
    </w:p>
    <w:p>
      <w:pPr>
        <w:pStyle w:val="Normal"/>
        <w:spacing w:before="0" w:after="75" w:line="240" w:lineRule="auto"/>
        <w:keepNext w:val="0"/>
        <w:ind w:left="170" w:firstLine="0"/>
        <w:tabs>
          <w:tab w:val="right" w:leader="dot" w:pos="8990"/>
        </w:tabs>
      </w:pPr>
      <w:r>
        <w:t>A.4 Performance Results and Stock Audit</w:t>
        <w:tab/>
        <w:t>99</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29.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30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33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34 and 35.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36 and 37 separately model private pre-registration; Figures 38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44.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41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42 and 43 from admission in Figures 44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14 and event-cancellation flow in Figure 26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13,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14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26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33.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to distinguish alternatives, repeated work, early rejection and referenced interactions. Solid message arrows request an operation; dashed arrows return an outcome. Some analysis lifelines group related business entities shown separately in the class view. Grouped design lifelines collect the stated persistence, public API or synchronous listener collaborators to keep large flows readable; they are abstractions rather than additional implementation classes. Class diagrams select key collaborators;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and Design Class Models</w:t>
      </w:r>
    </w:p>
    <w:p>
      <w:pPr>
        <w:keepNext w:val="0"/>
        <w:widowControl/>
        <w:spacing w:line="259" w:lineRule="auto" w:before="0" w:after="120"/>
        <w:numPr>
          <w:numId w:val="0"/>
        </w:numPr>
      </w:pPr>
      <w:r>
        <w:rPr>
          <w:rFonts w:ascii="Arial" w:hAnsi="Arial"/>
          <w:b w:val="0"/>
          <w:color w:val="000000"/>
          <w:sz w:val="22"/>
        </w:rPr>
        <w:t>TS1 maps RegistrationControl to AuthService behind the HTTP boundary. TS2 makes account creation transactional and retains database uniqueness as the final check against competing registrations. TS5 delegates password encoding to PasswordEncoder. The browser’s automatic login is a separate UC02 interaction, so login failure does not undo a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1248282"/>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5669280" cy="1248282"/>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620222"/>
            <wp:docPr id="63" name="Picture 63"/>
            <wp:cNvGraphicFramePr>
              <a:graphicFrameLocks noChangeAspect="1"/>
            </wp:cNvGraphicFramePr>
            <a:graphic>
              <a:graphicData uri="http://schemas.openxmlformats.org/drawingml/2006/picture">
                <pic:pic>
                  <pic:nvPicPr>
                    <pic:cNvPr id="0" name="UC01_d_class.png"/>
                    <pic:cNvPicPr/>
                  </pic:nvPicPr>
                  <pic:blipFill>
                    <a:blip r:embed="rId78"/>
                    <a:stretch>
                      <a:fillRect/>
                    </a:stretch>
                  </pic:blipFill>
                  <pic:spPr>
                    <a:xfrm>
                      <a:off x="0" y="0"/>
                      <a:ext cx="5669280" cy="2620222"/>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design class model.</w:t>
      </w:r>
    </w:p>
    <w:p>
      <w:pPr>
        <w:pStyle w:val="Heading4"/>
        <w:keepNext/>
        <w:pageBreakBefore w:val="0"/>
        <w:widowControl/>
        <w:spacing w:line="259" w:lineRule="auto" w:before="120" w:after="120"/>
        <w:numPr>
          <w:numId w:val="0"/>
        </w:numPr>
      </w:pPr>
      <w:r>
        <w:rPr>
          <w:rFonts w:ascii="Arial" w:hAnsi="Arial"/>
          <w:b/>
          <w:color w:val="000000"/>
          <w:sz w:val="22"/>
        </w:rPr>
        <w:t>3.4.1.2 Registration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5311" cy="6995159"/>
            <wp:docPr id="64" name="Picture 64"/>
            <wp:cNvGraphicFramePr>
              <a:graphicFrameLocks noChangeAspect="1"/>
            </wp:cNvGraphicFramePr>
            <a:graphic>
              <a:graphicData uri="http://schemas.openxmlformats.org/drawingml/2006/picture">
                <pic:pic>
                  <pic:nvPicPr>
                    <pic:cNvPr id="0" name="UC01_a_register.png"/>
                    <pic:cNvPicPr/>
                  </pic:nvPicPr>
                  <pic:blipFill>
                    <a:blip r:embed="rId79"/>
                    <a:stretch>
                      <a:fillRect/>
                    </a:stretch>
                  </pic:blipFill>
                  <pic:spPr>
                    <a:xfrm>
                      <a:off x="0" y="0"/>
                      <a:ext cx="5525311"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analysis sequence for registration.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2570"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440257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and Design Class Models</w:t>
      </w:r>
    </w:p>
    <w:p>
      <w:pPr>
        <w:keepNext w:val="0"/>
        <w:widowControl/>
        <w:spacing w:line="259" w:lineRule="auto" w:before="0" w:after="120"/>
        <w:numPr>
          <w:numId w:val="0"/>
        </w:numPr>
      </w:pPr>
      <w:r>
        <w:rPr>
          <w:rFonts w:ascii="Arial" w:hAnsi="Arial"/>
          <w:b w:val="0"/>
          <w:color w:val="000000"/>
          <w:sz w:val="22"/>
        </w:rPr>
        <w:t>TS1 separates HTTP handling, account validation and token issuance. TS5 delegates password matching to PasswordEncoder. TS3 applies to subsequent protected requests: the common entry in Figures 46 and 47 checks token validity and intersects token roles with the active account’s current roles. Login failure creates no token; new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023483"/>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5669280" cy="202348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2616590"/>
            <wp:docPr id="67" name="Picture 67"/>
            <wp:cNvGraphicFramePr>
              <a:graphicFrameLocks noChangeAspect="1"/>
            </wp:cNvGraphicFramePr>
            <a:graphic>
              <a:graphicData uri="http://schemas.openxmlformats.org/drawingml/2006/picture">
                <pic:pic>
                  <pic:nvPicPr>
                    <pic:cNvPr id="0" name="UC02_d_class.png"/>
                    <pic:cNvPicPr/>
                  </pic:nvPicPr>
                  <pic:blipFill>
                    <a:blip r:embed="rId82"/>
                    <a:stretch>
                      <a:fillRect/>
                    </a:stretch>
                  </pic:blipFill>
                  <pic:spPr>
                    <a:xfrm>
                      <a:off x="0" y="0"/>
                      <a:ext cx="5669280" cy="261659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design class model.</w:t>
      </w:r>
    </w:p>
    <w:p>
      <w:pPr>
        <w:pStyle w:val="Heading4"/>
        <w:keepNext/>
        <w:pageBreakBefore w:val="0"/>
        <w:widowControl/>
        <w:spacing w:line="259" w:lineRule="auto" w:before="120" w:after="120"/>
        <w:numPr>
          <w:numId w:val="0"/>
        </w:numPr>
      </w:pPr>
      <w:r>
        <w:rPr>
          <w:rFonts w:ascii="Arial" w:hAnsi="Arial"/>
          <w:b/>
          <w:color w:val="000000"/>
          <w:sz w:val="22"/>
        </w:rPr>
        <w:t>3.4.2.2 Login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30021"/>
            <wp:docPr id="68" name="Picture 68"/>
            <wp:cNvGraphicFramePr>
              <a:graphicFrameLocks noChangeAspect="1"/>
            </wp:cNvGraphicFramePr>
            <a:graphic>
              <a:graphicData uri="http://schemas.openxmlformats.org/drawingml/2006/picture">
                <pic:pic>
                  <pic:nvPicPr>
                    <pic:cNvPr id="0" name="UC02_a_login.png"/>
                    <pic:cNvPicPr/>
                  </pic:nvPicPr>
                  <pic:blipFill>
                    <a:blip r:embed="rId83"/>
                    <a:stretch>
                      <a:fillRect/>
                    </a:stretch>
                  </pic:blipFill>
                  <pic:spPr>
                    <a:xfrm>
                      <a:off x="0" y="0"/>
                      <a:ext cx="5669280" cy="663002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analysis sequence for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12254"/>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7122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and Design Class Models</w:t>
      </w:r>
    </w:p>
    <w:p>
      <w:pPr>
        <w:keepNext w:val="0"/>
        <w:widowControl/>
        <w:spacing w:line="259" w:lineRule="auto" w:before="0" w:after="120"/>
        <w:numPr>
          <w:numId w:val="0"/>
        </w:numPr>
      </w:pPr>
      <w:r>
        <w:rPr>
          <w:rFonts w:ascii="Arial" w:hAnsi="Arial"/>
          <w:b w:val="0"/>
          <w:color w:val="000000"/>
          <w:sz w:val="22"/>
        </w:rPr>
        <w:t>TS1 separates the administration boundary from role policy. TS3 requires effective ADMIN before dispatch. TS2 serializes role assignments before checking the last active administrator and keeps the update transactional. TS4 publishes UserRolesChanged only for a real change; its synchronous listener writes the private notification in that transaction. An unchanged request emits no new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66928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669280" cy="566928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64801"/>
            <wp:docPr id="71" name="Picture 71"/>
            <wp:cNvGraphicFramePr>
              <a:graphicFrameLocks noChangeAspect="1"/>
            </wp:cNvGraphicFramePr>
            <a:graphic>
              <a:graphicData uri="http://schemas.openxmlformats.org/drawingml/2006/picture">
                <pic:pic>
                  <pic:nvPicPr>
                    <pic:cNvPr id="0" name="UC03_d_class.png"/>
                    <pic:cNvPicPr/>
                  </pic:nvPicPr>
                  <pic:blipFill>
                    <a:blip r:embed="rId86"/>
                    <a:stretch>
                      <a:fillRect/>
                    </a:stretch>
                  </pic:blipFill>
                  <pic:spPr>
                    <a:xfrm>
                      <a:off x="0" y="0"/>
                      <a:ext cx="5669280" cy="546480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design class model.</w:t>
      </w:r>
    </w:p>
    <w:p>
      <w:pPr>
        <w:pStyle w:val="Heading4"/>
        <w:keepNext/>
        <w:pageBreakBefore w:val="0"/>
        <w:widowControl/>
        <w:spacing w:line="259" w:lineRule="auto" w:before="120" w:after="120"/>
        <w:numPr>
          <w:numId w:val="0"/>
        </w:numPr>
      </w:pPr>
      <w:r>
        <w:rPr>
          <w:rFonts w:ascii="Arial" w:hAnsi="Arial"/>
          <w:b/>
          <w:color w:val="000000"/>
          <w:sz w:val="22"/>
        </w:rPr>
        <w:t>3.4.3.2 User Search and Role Change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26966" cy="6995160"/>
            <wp:docPr id="72" name="Picture 72"/>
            <wp:cNvGraphicFramePr>
              <a:graphicFrameLocks noChangeAspect="1"/>
            </wp:cNvGraphicFramePr>
            <a:graphic>
              <a:graphicData uri="http://schemas.openxmlformats.org/drawingml/2006/picture">
                <pic:pic>
                  <pic:nvPicPr>
                    <pic:cNvPr id="0" name="UC03_a_manage.png"/>
                    <pic:cNvPicPr/>
                  </pic:nvPicPr>
                  <pic:blipFill>
                    <a:blip r:embed="rId87"/>
                    <a:stretch>
                      <a:fillRect/>
                    </a:stretch>
                  </pic:blipFill>
                  <pic:spPr>
                    <a:xfrm>
                      <a:off x="0" y="0"/>
                      <a:ext cx="5426966"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analysis sequence for finding users and changing roles.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2780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42780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and Design Class Models</w:t>
      </w:r>
    </w:p>
    <w:p>
      <w:pPr>
        <w:keepNext w:val="0"/>
        <w:widowControl/>
        <w:spacing w:line="259" w:lineRule="auto" w:before="0" w:after="120"/>
        <w:numPr>
          <w:numId w:val="0"/>
        </w:numPr>
      </w:pPr>
      <w:r>
        <w:rPr>
          <w:rFonts w:ascii="Arial" w:hAnsi="Arial"/>
          <w:b w:val="0"/>
          <w:color w:val="000000"/>
          <w:sz w:val="22"/>
        </w:rPr>
        <w:t>TS1 separates organizer HTTP boundaries from lifecycle and ticket-configuration services. TS3 combines an effective ORGANIZER/ADMIN role with ownership; ADMIN does not bypass ownership. TS2 adds event locking, version checks and transaction boundaries. TS4 dispatches validation, copy, update and cancellation reactions synchronously. Draft creation and ticket configuration are separate transactions; publication/copy/cancellation each commits its required effects together. The selected class view omits the ticket controller and secondary listeners; their explicit interactions appear in the corresponding sequences. DP01 further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83038"/>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5669280" cy="558303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192175"/>
            <wp:docPr id="75" name="Picture 75"/>
            <wp:cNvGraphicFramePr>
              <a:graphicFrameLocks noChangeAspect="1"/>
            </wp:cNvGraphicFramePr>
            <a:graphic>
              <a:graphicData uri="http://schemas.openxmlformats.org/drawingml/2006/picture">
                <pic:pic>
                  <pic:nvPicPr>
                    <pic:cNvPr id="0" name="UC04_d_class.png"/>
                    <pic:cNvPicPr/>
                  </pic:nvPicPr>
                  <pic:blipFill>
                    <a:blip r:embed="rId90"/>
                    <a:stretch>
                      <a:fillRect/>
                    </a:stretch>
                  </pic:blipFill>
                  <pic:spPr>
                    <a:xfrm>
                      <a:off x="0" y="0"/>
                      <a:ext cx="5669280" cy="619217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design class model.</w:t>
      </w:r>
    </w:p>
    <w:p>
      <w:pPr>
        <w:pStyle w:val="Heading4"/>
        <w:keepNext/>
        <w:pageBreakBefore w:val="0"/>
        <w:widowControl/>
        <w:spacing w:line="259" w:lineRule="auto" w:before="120" w:after="120"/>
        <w:numPr>
          <w:numId w:val="0"/>
        </w:numPr>
      </w:pPr>
      <w:r>
        <w:rPr>
          <w:rFonts w:ascii="Arial" w:hAnsi="Arial"/>
          <w:b/>
          <w:color w:val="000000"/>
          <w:sz w:val="22"/>
        </w:rPr>
        <w:t>3.4.4.2 Draft Creation and Ticket Configuration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7066" cy="6995159"/>
            <wp:docPr id="76" name="Picture 76"/>
            <wp:cNvGraphicFramePr>
              <a:graphicFrameLocks noChangeAspect="1"/>
            </wp:cNvGraphicFramePr>
            <a:graphic>
              <a:graphicData uri="http://schemas.openxmlformats.org/drawingml/2006/picture">
                <pic:pic>
                  <pic:nvPicPr>
                    <pic:cNvPr id="0" name="UC04_a_create.png"/>
                    <pic:cNvPicPr/>
                  </pic:nvPicPr>
                  <pic:blipFill>
                    <a:blip r:embed="rId91"/>
                    <a:stretch>
                      <a:fillRect/>
                    </a:stretch>
                  </pic:blipFill>
                  <pic:spPr>
                    <a:xfrm>
                      <a:off x="0" y="0"/>
                      <a:ext cx="554706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creating and configuring a draft.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80006"/>
            <wp:docPr id="77" name="Picture 77"/>
            <wp:cNvGraphicFramePr>
              <a:graphicFrameLocks noChangeAspect="1"/>
            </wp:cNvGraphicFramePr>
            <a:graphic>
              <a:graphicData uri="http://schemas.openxmlformats.org/drawingml/2006/picture">
                <pic:pic>
                  <pic:nvPicPr>
                    <pic:cNvPr id="0" name="UC04_d_create.png"/>
                    <pic:cNvPicPr/>
                  </pic:nvPicPr>
                  <pic:blipFill>
                    <a:blip r:embed="rId92"/>
                    <a:stretch>
                      <a:fillRect/>
                    </a:stretch>
                  </pic:blipFill>
                  <pic:spPr>
                    <a:xfrm>
                      <a:off x="0" y="0"/>
                      <a:ext cx="5669280" cy="638000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design sequence for creating and configuring a draft.</w:t>
      </w:r>
    </w:p>
    <w:p>
      <w:pPr>
        <w:pStyle w:val="Heading4"/>
        <w:keepNext/>
        <w:pageBreakBefore w:val="0"/>
        <w:widowControl/>
        <w:spacing w:line="259" w:lineRule="auto" w:before="120" w:after="120"/>
        <w:numPr>
          <w:numId w:val="0"/>
        </w:numPr>
      </w:pPr>
      <w:r>
        <w:rPr>
          <w:rFonts w:ascii="Arial" w:hAnsi="Arial"/>
          <w:b/>
          <w:color w:val="000000"/>
          <w:sz w:val="22"/>
        </w:rPr>
        <w:t>3.4.4.3 Publication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81478"/>
            <wp:docPr id="78" name="Picture 78"/>
            <wp:cNvGraphicFramePr>
              <a:graphicFrameLocks noChangeAspect="1"/>
            </wp:cNvGraphicFramePr>
            <a:graphic>
              <a:graphicData uri="http://schemas.openxmlformats.org/drawingml/2006/picture">
                <pic:pic>
                  <pic:nvPicPr>
                    <pic:cNvPr id="0" name="UC04_a_publish.png"/>
                    <pic:cNvPicPr/>
                  </pic:nvPicPr>
                  <pic:blipFill>
                    <a:blip r:embed="rId93"/>
                    <a:stretch>
                      <a:fillRect/>
                    </a:stretch>
                  </pic:blipFill>
                  <pic:spPr>
                    <a:xfrm>
                      <a:off x="0" y="0"/>
                      <a:ext cx="5669280" cy="548147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publishing an event.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76137"/>
            <wp:docPr id="79" name="Picture 79"/>
            <wp:cNvGraphicFramePr>
              <a:graphicFrameLocks noChangeAspect="1"/>
            </wp:cNvGraphicFramePr>
            <a:graphic>
              <a:graphicData uri="http://schemas.openxmlformats.org/drawingml/2006/picture">
                <pic:pic>
                  <pic:nvPicPr>
                    <pic:cNvPr id="0" name="UC04_d_publish.png"/>
                    <pic:cNvPicPr/>
                  </pic:nvPicPr>
                  <pic:blipFill>
                    <a:blip r:embed="rId94"/>
                    <a:stretch>
                      <a:fillRect/>
                    </a:stretch>
                  </pic:blipFill>
                  <pic:spPr>
                    <a:xfrm>
                      <a:off x="0" y="0"/>
                      <a:ext cx="5669280" cy="63761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design sequence for publishing an event.</w:t>
      </w:r>
    </w:p>
    <w:p>
      <w:pPr>
        <w:pStyle w:val="Heading4"/>
        <w:keepNext/>
        <w:pageBreakBefore w:val="0"/>
        <w:widowControl/>
        <w:spacing w:line="259" w:lineRule="auto" w:before="120" w:after="120"/>
        <w:numPr>
          <w:numId w:val="0"/>
        </w:numPr>
      </w:pPr>
      <w:r>
        <w:rPr>
          <w:rFonts w:ascii="Arial" w:hAnsi="Arial"/>
          <w:b/>
          <w:color w:val="000000"/>
          <w:sz w:val="22"/>
        </w:rPr>
        <w:t>3.4.4.4 Event Editing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49144"/>
            <wp:docPr id="80" name="Picture 80"/>
            <wp:cNvGraphicFramePr>
              <a:graphicFrameLocks noChangeAspect="1"/>
            </wp:cNvGraphicFramePr>
            <a:graphic>
              <a:graphicData uri="http://schemas.openxmlformats.org/drawingml/2006/picture">
                <pic:pic>
                  <pic:nvPicPr>
                    <pic:cNvPr id="0" name="UC04_a_edit.png"/>
                    <pic:cNvPicPr/>
                  </pic:nvPicPr>
                  <pic:blipFill>
                    <a:blip r:embed="rId95"/>
                    <a:stretch>
                      <a:fillRect/>
                    </a:stretch>
                  </pic:blipFill>
                  <pic:spPr>
                    <a:xfrm>
                      <a:off x="0" y="0"/>
                      <a:ext cx="5669280" cy="46491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analysis sequence for editing an event.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08232"/>
            <wp:docPr id="81" name="Picture 81"/>
            <wp:cNvGraphicFramePr>
              <a:graphicFrameLocks noChangeAspect="1"/>
            </wp:cNvGraphicFramePr>
            <a:graphic>
              <a:graphicData uri="http://schemas.openxmlformats.org/drawingml/2006/picture">
                <pic:pic>
                  <pic:nvPicPr>
                    <pic:cNvPr id="0" name="UC04_d_edit.png"/>
                    <pic:cNvPicPr/>
                  </pic:nvPicPr>
                  <pic:blipFill>
                    <a:blip r:embed="rId96"/>
                    <a:stretch>
                      <a:fillRect/>
                    </a:stretch>
                  </pic:blipFill>
                  <pic:spPr>
                    <a:xfrm>
                      <a:off x="0" y="0"/>
                      <a:ext cx="5669280" cy="6608232"/>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editing an event.</w:t>
      </w:r>
    </w:p>
    <w:p>
      <w:pPr>
        <w:pStyle w:val="Heading4"/>
        <w:keepNext/>
        <w:pageBreakBefore w:val="0"/>
        <w:widowControl/>
        <w:spacing w:line="259" w:lineRule="auto" w:before="120" w:after="120"/>
        <w:numPr>
          <w:numId w:val="0"/>
        </w:numPr>
      </w:pPr>
      <w:r>
        <w:rPr>
          <w:rFonts w:ascii="Arial" w:hAnsi="Arial"/>
          <w:b/>
          <w:color w:val="000000"/>
          <w:sz w:val="22"/>
        </w:rPr>
        <w:t>3.4.4.5 Event Copy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62088"/>
            <wp:docPr id="82" name="Picture 82"/>
            <wp:cNvGraphicFramePr>
              <a:graphicFrameLocks noChangeAspect="1"/>
            </wp:cNvGraphicFramePr>
            <a:graphic>
              <a:graphicData uri="http://schemas.openxmlformats.org/drawingml/2006/picture">
                <pic:pic>
                  <pic:nvPicPr>
                    <pic:cNvPr id="0" name="UC04_a_copy.png"/>
                    <pic:cNvPicPr/>
                  </pic:nvPicPr>
                  <pic:blipFill>
                    <a:blip r:embed="rId97"/>
                    <a:stretch>
                      <a:fillRect/>
                    </a:stretch>
                  </pic:blipFill>
                  <pic:spPr>
                    <a:xfrm>
                      <a:off x="0" y="0"/>
                      <a:ext cx="5669280" cy="55620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analysis sequence for copying an event.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381444"/>
            <wp:docPr id="83" name="Picture 83"/>
            <wp:cNvGraphicFramePr>
              <a:graphicFrameLocks noChangeAspect="1"/>
            </wp:cNvGraphicFramePr>
            <a:graphic>
              <a:graphicData uri="http://schemas.openxmlformats.org/drawingml/2006/picture">
                <pic:pic>
                  <pic:nvPicPr>
                    <pic:cNvPr id="0" name="UC04_d_copy.png"/>
                    <pic:cNvPicPr/>
                  </pic:nvPicPr>
                  <pic:blipFill>
                    <a:blip r:embed="rId98"/>
                    <a:stretch>
                      <a:fillRect/>
                    </a:stretch>
                  </pic:blipFill>
                  <pic:spPr>
                    <a:xfrm>
                      <a:off x="0" y="0"/>
                      <a:ext cx="5669280" cy="53814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copying an event.</w:t>
      </w:r>
    </w:p>
    <w:p>
      <w:pPr>
        <w:pStyle w:val="Heading4"/>
        <w:keepNext/>
        <w:pageBreakBefore w:val="0"/>
        <w:widowControl/>
        <w:spacing w:line="259" w:lineRule="auto" w:before="120" w:after="120"/>
        <w:numPr>
          <w:numId w:val="0"/>
        </w:numPr>
      </w:pPr>
      <w:r>
        <w:rPr>
          <w:rFonts w:ascii="Arial" w:hAnsi="Arial"/>
          <w:b/>
          <w:color w:val="000000"/>
          <w:sz w:val="22"/>
        </w:rPr>
        <w:t>3.4.4.6 Event Cancellation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06710"/>
            <wp:docPr id="84" name="Picture 84"/>
            <wp:cNvGraphicFramePr>
              <a:graphicFrameLocks noChangeAspect="1"/>
            </wp:cNvGraphicFramePr>
            <a:graphic>
              <a:graphicData uri="http://schemas.openxmlformats.org/drawingml/2006/picture">
                <pic:pic>
                  <pic:nvPicPr>
                    <pic:cNvPr id="0" name="UC04_a_cancel.png"/>
                    <pic:cNvPicPr/>
                  </pic:nvPicPr>
                  <pic:blipFill>
                    <a:blip r:embed="rId99"/>
                    <a:stretch>
                      <a:fillRect/>
                    </a:stretch>
                  </pic:blipFill>
                  <pic:spPr>
                    <a:xfrm>
                      <a:off x="0" y="0"/>
                      <a:ext cx="5669280" cy="6206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analysis sequence for cancelling an event.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59761"/>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25976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and Design Class Models</w:t>
      </w:r>
    </w:p>
    <w:p>
      <w:pPr>
        <w:keepNext w:val="0"/>
        <w:widowControl/>
        <w:spacing w:line="259" w:lineRule="auto" w:before="0" w:after="120"/>
        <w:numPr>
          <w:numId w:val="0"/>
        </w:numPr>
      </w:pPr>
      <w:r>
        <w:rPr>
          <w:rFonts w:ascii="Arial" w:hAnsi="Arial"/>
          <w:b w:val="0"/>
          <w:color w:val="000000"/>
          <w:sz w:val="22"/>
        </w:rPr>
        <w:t>TS1 maps BrowsingControl to EventBrowseService and TicketTypeBrowseService, with public controllers, repositories and public view records. Query validation precedes searches, and detail/ticket requests each recheck publication. Empty search results and unavailable details are different alternatives. These read-only snapshots never reserve stock; UC06 revalidates when booking.</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776011"/>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5669280" cy="477601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04861" cy="6995159"/>
            <wp:docPr id="87" name="Picture 87"/>
            <wp:cNvGraphicFramePr>
              <a:graphicFrameLocks noChangeAspect="1"/>
            </wp:cNvGraphicFramePr>
            <a:graphic>
              <a:graphicData uri="http://schemas.openxmlformats.org/drawingml/2006/picture">
                <pic:pic>
                  <pic:nvPicPr>
                    <pic:cNvPr id="0" name="UC05_d_class.png"/>
                    <pic:cNvPicPr/>
                  </pic:nvPicPr>
                  <pic:blipFill>
                    <a:blip r:embed="rId102"/>
                    <a:stretch>
                      <a:fillRect/>
                    </a:stretch>
                  </pic:blipFill>
                  <pic:spPr>
                    <a:xfrm>
                      <a:off x="0" y="0"/>
                      <a:ext cx="5504861"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design class model.</w:t>
      </w:r>
    </w:p>
    <w:p>
      <w:pPr>
        <w:pStyle w:val="Heading4"/>
        <w:keepNext/>
        <w:pageBreakBefore w:val="0"/>
        <w:widowControl/>
        <w:spacing w:line="259" w:lineRule="auto" w:before="120" w:after="120"/>
        <w:numPr>
          <w:numId w:val="0"/>
        </w:numPr>
      </w:pPr>
      <w:r>
        <w:rPr>
          <w:rFonts w:ascii="Arial" w:hAnsi="Arial"/>
          <w:b/>
          <w:color w:val="000000"/>
          <w:sz w:val="22"/>
        </w:rPr>
        <w:t>3.4.5.2 Event Search and Detail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371088" cy="6995159"/>
            <wp:docPr id="88" name="Picture 88"/>
            <wp:cNvGraphicFramePr>
              <a:graphicFrameLocks noChangeAspect="1"/>
            </wp:cNvGraphicFramePr>
            <a:graphic>
              <a:graphicData uri="http://schemas.openxmlformats.org/drawingml/2006/picture">
                <pic:pic>
                  <pic:nvPicPr>
                    <pic:cNvPr id="0" name="UC05_a_browse.png"/>
                    <pic:cNvPicPr/>
                  </pic:nvPicPr>
                  <pic:blipFill>
                    <a:blip r:embed="rId103"/>
                    <a:stretch>
                      <a:fillRect/>
                    </a:stretch>
                  </pic:blipFill>
                  <pic:spPr>
                    <a:xfrm>
                      <a:off x="0" y="0"/>
                      <a:ext cx="537108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analysis sequence for searching and selecting event details.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8510"/>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3985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and Design Class Models</w:t>
      </w:r>
    </w:p>
    <w:p>
      <w:pPr>
        <w:keepNext w:val="0"/>
        <w:widowControl/>
        <w:spacing w:line="259" w:lineRule="auto" w:before="0" w:after="120"/>
        <w:numPr>
          <w:numId w:val="0"/>
        </w:numPr>
      </w:pPr>
      <w:r>
        <w:rPr>
          <w:rFonts w:ascii="Arial" w:hAnsi="Arial"/>
          <w:b w:val="0"/>
          <w:color w:val="000000"/>
          <w:sz w:val="22"/>
        </w:rPr>
        <w:t>TS1 separates booking/pre-registration HTTP boundaries from their services. TS3 enforces ATTENDEE and ownership. TS2 introduces request-key serialization before the event lock, persistent uniqueness, and an atomic booking transaction; matching replay exits before reservation. Cancellation starts with the event lock and releases inventory at most once. TS4 keeps confirmation/cancellation listeners synchronous, while TS5 shares BookingInfoValidator field strategies with pre-registration. In Figure 35, the persistence group denotes BookingRequestLock, BookingRepository and PreRegistrationRepository; public APIs denote EventAccessService and TicketReservationService; listeners denote BookingConfirmationListener and BookingNotificationListener. Ticket-state and notification internals are expanded in UC07 and Section 3.5.</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563079"/>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5669280" cy="456307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39933"/>
            <wp:docPr id="91" name="Picture 91"/>
            <wp:cNvGraphicFramePr>
              <a:graphicFrameLocks noChangeAspect="1"/>
            </wp:cNvGraphicFramePr>
            <a:graphic>
              <a:graphicData uri="http://schemas.openxmlformats.org/drawingml/2006/picture">
                <pic:pic>
                  <pic:nvPicPr>
                    <pic:cNvPr id="0" name="UC06_d_class.png"/>
                    <pic:cNvPicPr/>
                  </pic:nvPicPr>
                  <pic:blipFill>
                    <a:blip r:embed="rId106"/>
                    <a:stretch>
                      <a:fillRect/>
                    </a:stretch>
                  </pic:blipFill>
                  <pic:spPr>
                    <a:xfrm>
                      <a:off x="0" y="0"/>
                      <a:ext cx="5669280" cy="463993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design class model.</w:t>
      </w:r>
    </w:p>
    <w:p>
      <w:pPr>
        <w:pStyle w:val="Heading4"/>
        <w:keepNext/>
        <w:pageBreakBefore w:val="0"/>
        <w:widowControl/>
        <w:spacing w:line="259" w:lineRule="auto" w:before="120" w:after="120"/>
        <w:numPr>
          <w:numId w:val="0"/>
        </w:numPr>
      </w:pPr>
      <w:r>
        <w:rPr>
          <w:rFonts w:ascii="Arial" w:hAnsi="Arial"/>
          <w:b/>
          <w:color w:val="000000"/>
          <w:sz w:val="22"/>
        </w:rPr>
        <w:t>3.4.6.2 Booking and Retry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00426" cy="6995159"/>
            <wp:docPr id="92" name="Picture 92"/>
            <wp:cNvGraphicFramePr>
              <a:graphicFrameLocks noChangeAspect="1"/>
            </wp:cNvGraphicFramePr>
            <a:graphic>
              <a:graphicData uri="http://schemas.openxmlformats.org/drawingml/2006/picture">
                <pic:pic>
                  <pic:nvPicPr>
                    <pic:cNvPr id="0" name="UC06_a_book.png"/>
                    <pic:cNvPicPr/>
                  </pic:nvPicPr>
                  <pic:blipFill>
                    <a:blip r:embed="rId107"/>
                    <a:stretch>
                      <a:fillRect/>
                    </a:stretch>
                  </pic:blipFill>
                  <pic:spPr>
                    <a:xfrm>
                      <a:off x="0" y="0"/>
                      <a:ext cx="490042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booking and retry outcomes.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844840"/>
            <wp:docPr id="93" name="Picture 93"/>
            <wp:cNvGraphicFramePr>
              <a:graphicFrameLocks noChangeAspect="1"/>
            </wp:cNvGraphicFramePr>
            <a:graphic>
              <a:graphicData uri="http://schemas.openxmlformats.org/drawingml/2006/picture">
                <pic:pic>
                  <pic:nvPicPr>
                    <pic:cNvPr id="0" name="UC06_d_book.png"/>
                    <pic:cNvPicPr/>
                  </pic:nvPicPr>
                  <pic:blipFill>
                    <a:blip r:embed="rId108"/>
                    <a:stretch>
                      <a:fillRect/>
                    </a:stretch>
                  </pic:blipFill>
                  <pic:spPr>
                    <a:xfrm>
                      <a:off x="0" y="0"/>
                      <a:ext cx="5669280" cy="68448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design sequence for booking and idempotent retries.</w:t>
      </w:r>
    </w:p>
    <w:p>
      <w:pPr>
        <w:pStyle w:val="Heading4"/>
        <w:keepNext/>
        <w:pageBreakBefore w:val="0"/>
        <w:widowControl/>
        <w:spacing w:line="259" w:lineRule="auto" w:before="120" w:after="120"/>
        <w:numPr>
          <w:numId w:val="0"/>
        </w:numPr>
      </w:pPr>
      <w:r>
        <w:rPr>
          <w:rFonts w:ascii="Arial" w:hAnsi="Arial"/>
          <w:b/>
          <w:color w:val="000000"/>
          <w:sz w:val="22"/>
        </w:rPr>
        <w:t>3.4.6.3 Private Pre Registration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11557"/>
            <wp:docPr id="94" name="Picture 94"/>
            <wp:cNvGraphicFramePr>
              <a:graphicFrameLocks noChangeAspect="1"/>
            </wp:cNvGraphicFramePr>
            <a:graphic>
              <a:graphicData uri="http://schemas.openxmlformats.org/drawingml/2006/picture">
                <pic:pic>
                  <pic:nvPicPr>
                    <pic:cNvPr id="0" name="UC06_a_preregister.png"/>
                    <pic:cNvPicPr/>
                  </pic:nvPicPr>
                  <pic:blipFill>
                    <a:blip r:embed="rId109"/>
                    <a:stretch>
                      <a:fillRect/>
                    </a:stretch>
                  </pic:blipFill>
                  <pic:spPr>
                    <a:xfrm>
                      <a:off x="0" y="0"/>
                      <a:ext cx="5669280" cy="521155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analysis sequence for private pre-registration.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96325"/>
            <wp:docPr id="95" name="Picture 95"/>
            <wp:cNvGraphicFramePr>
              <a:graphicFrameLocks noChangeAspect="1"/>
            </wp:cNvGraphicFramePr>
            <a:graphic>
              <a:graphicData uri="http://schemas.openxmlformats.org/drawingml/2006/picture">
                <pic:pic>
                  <pic:nvPicPr>
                    <pic:cNvPr id="0" name="UC06_d_preregister.png"/>
                    <pic:cNvPicPr/>
                  </pic:nvPicPr>
                  <pic:blipFill>
                    <a:blip r:embed="rId110"/>
                    <a:stretch>
                      <a:fillRect/>
                    </a:stretch>
                  </pic:blipFill>
                  <pic:spPr>
                    <a:xfrm>
                      <a:off x="0" y="0"/>
                      <a:ext cx="5669280" cy="519632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private pre-registration.</w:t>
      </w:r>
    </w:p>
    <w:p>
      <w:pPr>
        <w:pStyle w:val="Heading4"/>
        <w:keepNext/>
        <w:pageBreakBefore w:val="0"/>
        <w:widowControl/>
        <w:spacing w:line="259" w:lineRule="auto" w:before="120" w:after="120"/>
        <w:numPr>
          <w:numId w:val="0"/>
        </w:numPr>
      </w:pPr>
      <w:r>
        <w:rPr>
          <w:rFonts w:ascii="Arial" w:hAnsi="Arial"/>
          <w:b/>
          <w:color w:val="000000"/>
          <w:sz w:val="22"/>
        </w:rPr>
        <w:t>3.4.6.4 Personal Booking Cancellation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38993" cy="6995160"/>
            <wp:docPr id="96" name="Picture 96"/>
            <wp:cNvGraphicFramePr>
              <a:graphicFrameLocks noChangeAspect="1"/>
            </wp:cNvGraphicFramePr>
            <a:graphic>
              <a:graphicData uri="http://schemas.openxmlformats.org/drawingml/2006/picture">
                <pic:pic>
                  <pic:nvPicPr>
                    <pic:cNvPr id="0" name="UC06_a_cancel.png"/>
                    <pic:cNvPicPr/>
                  </pic:nvPicPr>
                  <pic:blipFill>
                    <a:blip r:embed="rId111"/>
                    <a:stretch>
                      <a:fillRect/>
                    </a:stretch>
                  </pic:blipFill>
                  <pic:spPr>
                    <a:xfrm>
                      <a:off x="0" y="0"/>
                      <a:ext cx="5438993"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analysis sequence for cancelling an owned booking.</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2949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72949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3.4.6.5 Analysis and Design Comparison</w:t>
      </w:r>
    </w:p>
    <w:p>
      <w:pPr>
        <w:keepNext w:val="0"/>
        <w:widowControl/>
        <w:spacing w:line="259" w:lineRule="auto" w:before="0" w:after="120"/>
        <w:numPr>
          <w:numId w:val="0"/>
        </w:numPr>
      </w:pPr>
      <w:r>
        <w:rPr>
          <w:rFonts w:ascii="Arial" w:hAnsi="Arial"/>
          <w:b w:val="0"/>
          <w:color w:val="000000"/>
          <w:sz w:val="22"/>
        </w:rPr>
        <w:t>Table 12 compares the same booking responsibility at the two abstraction levels. Figure 34 names the attendee, boundary, reservation control and business information; Figure 35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and Design Class Models</w:t>
      </w:r>
    </w:p>
    <w:p>
      <w:pPr>
        <w:keepNext w:val="0"/>
        <w:widowControl/>
        <w:spacing w:line="259" w:lineRule="auto" w:before="0" w:after="120"/>
        <w:numPr>
          <w:numId w:val="0"/>
        </w:numPr>
      </w:pPr>
      <w:r>
        <w:rPr>
          <w:rFonts w:ascii="Arial" w:hAnsi="Arial"/>
          <w:b w:val="0"/>
          <w:color w:val="000000"/>
          <w:sz w:val="22"/>
        </w:rPr>
        <w:t>TS3 combines effective STAFF with current event assignment and the admission window. TS2 gives verification a current event lock, and commits an admission status change with its unique audit record. TS5 delegates ticket operations to TicketState. CheckInController retains boundary and transaction orchestration, including cross-table JdbcTemplate queries; this is the documented TS1 separation exception. Verify returns current status without mutation. Admission repeats all guards and rejects VOID/CHECKED_IN tickets; later event cancellation preserves historical audit records.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356146"/>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33561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17894"/>
            <wp:docPr id="99" name="Picture 99"/>
            <wp:cNvGraphicFramePr>
              <a:graphicFrameLocks noChangeAspect="1"/>
            </wp:cNvGraphicFramePr>
            <a:graphic>
              <a:graphicData uri="http://schemas.openxmlformats.org/drawingml/2006/picture">
                <pic:pic>
                  <pic:nvPicPr>
                    <pic:cNvPr id="0" name="UC07_d_class.png"/>
                    <pic:cNvPicPr/>
                  </pic:nvPicPr>
                  <pic:blipFill>
                    <a:blip r:embed="rId114"/>
                    <a:stretch>
                      <a:fillRect/>
                    </a:stretch>
                  </pic:blipFill>
                  <pic:spPr>
                    <a:xfrm>
                      <a:off x="0" y="0"/>
                      <a:ext cx="5669280" cy="511789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design class model.</w:t>
      </w:r>
    </w:p>
    <w:p>
      <w:pPr>
        <w:pStyle w:val="Heading4"/>
        <w:keepNext/>
        <w:pageBreakBefore w:val="0"/>
        <w:widowControl/>
        <w:spacing w:line="259" w:lineRule="auto" w:before="120" w:after="120"/>
        <w:numPr>
          <w:numId w:val="0"/>
        </w:numPr>
      </w:pPr>
      <w:r>
        <w:rPr>
          <w:rFonts w:ascii="Arial" w:hAnsi="Arial"/>
          <w:b/>
          <w:color w:val="000000"/>
          <w:sz w:val="22"/>
        </w:rPr>
        <w:t>3.4.7.2 Ticket Verification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66914"/>
            <wp:docPr id="100" name="Picture 100"/>
            <wp:cNvGraphicFramePr>
              <a:graphicFrameLocks noChangeAspect="1"/>
            </wp:cNvGraphicFramePr>
            <a:graphic>
              <a:graphicData uri="http://schemas.openxmlformats.org/drawingml/2006/picture">
                <pic:pic>
                  <pic:nvPicPr>
                    <pic:cNvPr id="0" name="UC07_a_verify.png"/>
                    <pic:cNvPicPr/>
                  </pic:nvPicPr>
                  <pic:blipFill>
                    <a:blip r:embed="rId115"/>
                    <a:stretch>
                      <a:fillRect/>
                    </a:stretch>
                  </pic:blipFill>
                  <pic:spPr>
                    <a:xfrm>
                      <a:off x="0" y="0"/>
                      <a:ext cx="5669280" cy="636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verifying ticket status.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89769" cy="6995159"/>
            <wp:docPr id="101" name="Picture 101"/>
            <wp:cNvGraphicFramePr>
              <a:graphicFrameLocks noChangeAspect="1"/>
            </wp:cNvGraphicFramePr>
            <a:graphic>
              <a:graphicData uri="http://schemas.openxmlformats.org/drawingml/2006/picture">
                <pic:pic>
                  <pic:nvPicPr>
                    <pic:cNvPr id="0" name="UC07_d_verify.png"/>
                    <pic:cNvPicPr/>
                  </pic:nvPicPr>
                  <pic:blipFill>
                    <a:blip r:embed="rId116"/>
                    <a:stretch>
                      <a:fillRect/>
                    </a:stretch>
                  </pic:blipFill>
                  <pic:spPr>
                    <a:xfrm>
                      <a:off x="0" y="0"/>
                      <a:ext cx="4789769"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sequence for read-only verification.</w:t>
      </w:r>
    </w:p>
    <w:p>
      <w:pPr>
        <w:pStyle w:val="Heading4"/>
        <w:keepNext/>
        <w:pageBreakBefore w:val="0"/>
        <w:widowControl/>
        <w:spacing w:line="259" w:lineRule="auto" w:before="120" w:after="120"/>
        <w:numPr>
          <w:numId w:val="0"/>
        </w:numPr>
      </w:pPr>
      <w:r>
        <w:rPr>
          <w:rFonts w:ascii="Arial" w:hAnsi="Arial"/>
          <w:b/>
          <w:color w:val="000000"/>
          <w:sz w:val="22"/>
        </w:rPr>
        <w:t>3.4.7.3 Admission Flow</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06914"/>
            <wp:docPr id="102" name="Picture 102"/>
            <wp:cNvGraphicFramePr>
              <a:graphicFrameLocks noChangeAspect="1"/>
            </wp:cNvGraphicFramePr>
            <a:graphic>
              <a:graphicData uri="http://schemas.openxmlformats.org/drawingml/2006/picture">
                <pic:pic>
                  <pic:nvPicPr>
                    <pic:cNvPr id="0" name="UC07_a_admit.png"/>
                    <pic:cNvPicPr/>
                  </pic:nvPicPr>
                  <pic:blipFill>
                    <a:blip r:embed="rId117"/>
                    <a:stretch>
                      <a:fillRect/>
                    </a:stretch>
                  </pic:blipFill>
                  <pic:spPr>
                    <a:xfrm>
                      <a:off x="0" y="0"/>
                      <a:ext cx="5669280" cy="600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analysis sequence for confirming admission.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683891"/>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6838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12796"/>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551279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pStyle w:val="Heading4"/>
        <w:keepNext/>
        <w:pageBreakBefore/>
        <w:widowControl/>
        <w:spacing w:line="259" w:lineRule="auto" w:before="120" w:after="120"/>
        <w:numPr>
          <w:numId w:val="0"/>
        </w:numPr>
      </w:pPr>
      <w:r>
        <w:rPr>
          <w:rFonts w:ascii="Arial" w:hAnsi="Arial"/>
          <w:b/>
          <w:color w:val="000000"/>
          <w:sz w:val="22"/>
        </w:rPr>
        <w:t>3.4.7.4 Shared Authorization Entry</w:t>
      </w:r>
    </w:p>
    <w:p>
      <w:pPr>
        <w:keepNext w:val="0"/>
        <w:widowControl/>
        <w:spacing w:line="259" w:lineRule="auto" w:before="0" w:after="120"/>
        <w:numPr>
          <w:numId w:val="0"/>
        </w:numPr>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47. Authorization entry before admission; method guards and resource policy are separate checks.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