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55" w:rsidRPr="00822D55" w:rsidRDefault="00822D55" w:rsidP="00822D55">
      <w:pPr>
        <w:spacing w:after="0"/>
        <w:jc w:val="center"/>
        <w:rPr>
          <w:b/>
          <w:sz w:val="36"/>
          <w:szCs w:val="36"/>
        </w:rPr>
      </w:pPr>
      <w:r w:rsidRPr="00822D55">
        <w:rPr>
          <w:b/>
          <w:sz w:val="36"/>
          <w:szCs w:val="36"/>
        </w:rPr>
        <w:t>GDPR Privacy Notice: Talk Action 2018</w:t>
      </w:r>
    </w:p>
    <w:p w:rsidR="00822D55" w:rsidRPr="00047A9D" w:rsidRDefault="00822D55" w:rsidP="00822D55">
      <w:pPr>
        <w:spacing w:after="0"/>
        <w:jc w:val="center"/>
        <w:rPr>
          <w:b/>
        </w:rPr>
      </w:pPr>
    </w:p>
    <w:p w:rsidR="00822D55" w:rsidRPr="00047A9D" w:rsidRDefault="00822D55" w:rsidP="00822D55">
      <w:pPr>
        <w:spacing w:after="0"/>
      </w:pPr>
      <w:r w:rsidRPr="00047A9D">
        <w:t>We provide individuals with all the following privacy information: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name and contact details of our organisation.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name and contact details of our representative (if applicable).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contact details of our data protection officer (if applicable).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purposes of the processing.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lawful basis for the processing.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legitimate interests for the processing (if applicable).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categories of personal data obtained (if the personal data is not obtained from the individual it relates to).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recipients or categories of recipients of the personal data.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details of transfers of the personal data to any third countries or international organisations (if applicable).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retention periods for the personal data.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rights available to individuals in respect of the processing.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right to withdraw consent (if applicable).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right to lodge a complaint with a supervisory authority.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source of the personal data (if the personal data is not obtained from the individual it relates to).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details of whether individuals are under a statutory or contractual obligation to provide the personal data (if applicable, and if the personal data is collected from the individual it relates to).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The</w:t>
      </w:r>
      <w:proofErr w:type="gramEnd"/>
      <w:r w:rsidRPr="00047A9D">
        <w:t xml:space="preserve"> details of the existence of automated decision-making, including profiling (if applicable).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t>When to provide it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We</w:t>
      </w:r>
      <w:proofErr w:type="gramEnd"/>
      <w:r w:rsidRPr="00047A9D">
        <w:t xml:space="preserve"> provide individuals with privacy information at the time we collect their personal data from them.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t>If we obtain personal data from a source other than the individual it relates to, we provide them with privacy information: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within</w:t>
      </w:r>
      <w:proofErr w:type="gramEnd"/>
      <w:r w:rsidRPr="00047A9D">
        <w:t xml:space="preserve"> a reasonable of period of obtaining the personal data and no later than one month;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if</w:t>
      </w:r>
      <w:proofErr w:type="gramEnd"/>
      <w:r w:rsidRPr="00047A9D">
        <w:t xml:space="preserve"> we plan to communicate with the individual, at the latest, when the first communication takes </w:t>
      </w:r>
      <w:r w:rsidRPr="00047A9D">
        <w:lastRenderedPageBreak/>
        <w:t>place; or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if</w:t>
      </w:r>
      <w:proofErr w:type="gramEnd"/>
      <w:r w:rsidRPr="00047A9D">
        <w:t xml:space="preserve"> we plan to disclose the data to someone else, at the latest, when the data is disclosed.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t>How to provide it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t xml:space="preserve">We provide the information in a way that is: 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concise</w:t>
      </w:r>
      <w:proofErr w:type="gramEnd"/>
      <w:r w:rsidRPr="00047A9D">
        <w:t>;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transparent</w:t>
      </w:r>
      <w:proofErr w:type="gramEnd"/>
      <w:r w:rsidRPr="00047A9D">
        <w:t>;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intelligible</w:t>
      </w:r>
      <w:proofErr w:type="gramEnd"/>
      <w:r w:rsidRPr="00047A9D">
        <w:t>;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easily</w:t>
      </w:r>
      <w:proofErr w:type="gramEnd"/>
      <w:r w:rsidRPr="00047A9D">
        <w:t xml:space="preserve"> accessible; and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uses clear and plain language.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t>Changes to the information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We</w:t>
      </w:r>
      <w:proofErr w:type="gramEnd"/>
      <w:r w:rsidRPr="00047A9D">
        <w:t xml:space="preserve"> regularly review and, where necessary, update our privacy information.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If we plan to use personal data for a new purpose, we update our privacy information and communicate the changes to individuals before starting any new processing.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t>Best practice – drafting the information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We</w:t>
      </w:r>
      <w:proofErr w:type="gramEnd"/>
      <w:r w:rsidRPr="00047A9D">
        <w:t xml:space="preserve"> undertake an information audit to find out what personal data we hold and what we do with it.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We</w:t>
      </w:r>
      <w:proofErr w:type="gramEnd"/>
      <w:r w:rsidRPr="00047A9D">
        <w:t xml:space="preserve"> put ourselves in the position of the people we’re collecting information about.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We</w:t>
      </w:r>
      <w:proofErr w:type="gramEnd"/>
      <w:r w:rsidRPr="00047A9D">
        <w:t xml:space="preserve"> carry out user testing to evaluate how effective our privacy information is.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t>Best practice – delivering the information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t>When providing our privacy information to individuals, we use a combination of appropriate techniques, such as: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a</w:t>
      </w:r>
      <w:proofErr w:type="gramEnd"/>
      <w:r w:rsidRPr="00047A9D">
        <w:t xml:space="preserve"> layered approach;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dashboards</w:t>
      </w:r>
      <w:proofErr w:type="gramEnd"/>
      <w:r w:rsidRPr="00047A9D">
        <w:t>;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just-in-time notices;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icons</w:t>
      </w:r>
      <w:proofErr w:type="gramEnd"/>
      <w:r w:rsidRPr="00047A9D">
        <w:t>; and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  <w:r w:rsidRPr="00047A9D">
        <w:rPr>
          <w:rFonts w:eastAsia="MS Gothic" w:hAnsi="MS Gothic" w:cs="MS Gothic"/>
        </w:rPr>
        <w:t>☐</w:t>
      </w:r>
      <w:r w:rsidRPr="00047A9D">
        <w:t xml:space="preserve"> </w:t>
      </w:r>
      <w:proofErr w:type="gramStart"/>
      <w:r w:rsidRPr="00047A9D">
        <w:t>mobile</w:t>
      </w:r>
      <w:proofErr w:type="gramEnd"/>
      <w:r w:rsidRPr="00047A9D">
        <w:t xml:space="preserve"> and smart device functionalities.</w:t>
      </w:r>
    </w:p>
    <w:p w:rsidR="00822D55" w:rsidRPr="00047A9D" w:rsidRDefault="00822D55" w:rsidP="00822D55">
      <w:pPr>
        <w:spacing w:after="0"/>
      </w:pPr>
    </w:p>
    <w:p w:rsidR="00822D55" w:rsidRPr="00047A9D" w:rsidRDefault="00822D55" w:rsidP="00822D55">
      <w:pPr>
        <w:spacing w:after="0"/>
      </w:pPr>
    </w:p>
    <w:p w:rsidR="00EB4707" w:rsidRPr="00822D55" w:rsidRDefault="00EB4707" w:rsidP="00822D55">
      <w:pPr>
        <w:spacing w:after="0"/>
      </w:pPr>
    </w:p>
    <w:sectPr w:rsidR="00EB4707" w:rsidRPr="00822D55" w:rsidSect="00B36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F0F7A"/>
    <w:multiLevelType w:val="multilevel"/>
    <w:tmpl w:val="F8D216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E0435DC"/>
    <w:multiLevelType w:val="multilevel"/>
    <w:tmpl w:val="D6F2AD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01E0511"/>
    <w:multiLevelType w:val="multilevel"/>
    <w:tmpl w:val="11C071E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9D00790"/>
    <w:multiLevelType w:val="multilevel"/>
    <w:tmpl w:val="DDBE4A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61054F75"/>
    <w:multiLevelType w:val="multilevel"/>
    <w:tmpl w:val="2820C9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64A25647"/>
    <w:multiLevelType w:val="multilevel"/>
    <w:tmpl w:val="76C4B6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8985C41"/>
    <w:multiLevelType w:val="multilevel"/>
    <w:tmpl w:val="D81677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E771DC5"/>
    <w:multiLevelType w:val="multilevel"/>
    <w:tmpl w:val="7214DB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414DE"/>
    <w:rsid w:val="00822D55"/>
    <w:rsid w:val="00D414DE"/>
    <w:rsid w:val="00EB4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4DE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Open Sans" w:eastAsia="Open Sans" w:hAnsi="Open Sans" w:cs="Open Sans"/>
      <w:color w:val="43475B"/>
      <w:lang w:eastAsia="en-GB"/>
    </w:rPr>
  </w:style>
  <w:style w:type="paragraph" w:styleId="Heading2">
    <w:name w:val="heading 2"/>
    <w:basedOn w:val="normal0"/>
    <w:next w:val="normal0"/>
    <w:link w:val="Heading2Char"/>
    <w:rsid w:val="00D414DE"/>
    <w:pPr>
      <w:keepNext/>
      <w:keepLines/>
      <w:spacing w:before="400" w:after="0"/>
      <w:outlineLvl w:val="1"/>
    </w:pPr>
    <w:rPr>
      <w:rFonts w:ascii="Raleway" w:eastAsia="Raleway" w:hAnsi="Raleway" w:cs="Raleway"/>
      <w:color w:val="434343"/>
      <w:sz w:val="40"/>
      <w:szCs w:val="40"/>
    </w:rPr>
  </w:style>
  <w:style w:type="paragraph" w:styleId="Heading3">
    <w:name w:val="heading 3"/>
    <w:basedOn w:val="normal0"/>
    <w:next w:val="normal0"/>
    <w:link w:val="Heading3Char"/>
    <w:rsid w:val="00D414DE"/>
    <w:pPr>
      <w:keepNext/>
      <w:keepLines/>
      <w:spacing w:before="400" w:after="0"/>
      <w:outlineLvl w:val="2"/>
    </w:pPr>
    <w:rPr>
      <w:rFonts w:ascii="Raleway" w:eastAsia="Raleway" w:hAnsi="Raleway" w:cs="Raleway"/>
      <w:b/>
      <w:color w:val="43434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414DE"/>
    <w:rPr>
      <w:rFonts w:ascii="Raleway" w:eastAsia="Raleway" w:hAnsi="Raleway" w:cs="Raleway"/>
      <w:color w:val="434343"/>
      <w:sz w:val="40"/>
      <w:szCs w:val="40"/>
      <w:lang w:eastAsia="en-GB"/>
    </w:rPr>
  </w:style>
  <w:style w:type="character" w:customStyle="1" w:styleId="Heading3Char">
    <w:name w:val="Heading 3 Char"/>
    <w:basedOn w:val="DefaultParagraphFont"/>
    <w:link w:val="Heading3"/>
    <w:rsid w:val="00D414DE"/>
    <w:rPr>
      <w:rFonts w:ascii="Raleway" w:eastAsia="Raleway" w:hAnsi="Raleway" w:cs="Raleway"/>
      <w:b/>
      <w:color w:val="434343"/>
      <w:sz w:val="24"/>
      <w:szCs w:val="24"/>
      <w:lang w:eastAsia="en-GB"/>
    </w:rPr>
  </w:style>
  <w:style w:type="paragraph" w:customStyle="1" w:styleId="normal0">
    <w:name w:val="normal"/>
    <w:rsid w:val="00D414DE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Open Sans" w:eastAsia="Open Sans" w:hAnsi="Open Sans" w:cs="Open Sans"/>
      <w:color w:val="43475B"/>
      <w:lang w:eastAsia="en-GB"/>
    </w:rPr>
  </w:style>
  <w:style w:type="paragraph" w:styleId="Title">
    <w:name w:val="Title"/>
    <w:basedOn w:val="normal0"/>
    <w:next w:val="normal0"/>
    <w:link w:val="TitleChar"/>
    <w:rsid w:val="00D414DE"/>
    <w:pPr>
      <w:spacing w:before="480" w:after="120"/>
    </w:pPr>
    <w:rPr>
      <w:rFonts w:ascii="Raleway" w:eastAsia="Raleway" w:hAnsi="Raleway" w:cs="Raleway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D414DE"/>
    <w:rPr>
      <w:rFonts w:ascii="Raleway" w:eastAsia="Raleway" w:hAnsi="Raleway" w:cs="Raleway"/>
      <w:color w:val="43475B"/>
      <w:sz w:val="60"/>
      <w:szCs w:val="60"/>
      <w:lang w:eastAsia="en-GB"/>
    </w:rPr>
  </w:style>
  <w:style w:type="paragraph" w:styleId="Subtitle">
    <w:name w:val="Subtitle"/>
    <w:basedOn w:val="normal0"/>
    <w:next w:val="normal0"/>
    <w:link w:val="SubtitleChar"/>
    <w:rsid w:val="00D414DE"/>
    <w:pPr>
      <w:keepNext/>
      <w:keepLines/>
      <w:spacing w:after="80"/>
    </w:pPr>
    <w:rPr>
      <w:rFonts w:ascii="Raleway" w:eastAsia="Raleway" w:hAnsi="Raleway" w:cs="Raleway"/>
      <w:color w:val="999999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D414DE"/>
    <w:rPr>
      <w:rFonts w:ascii="Raleway" w:eastAsia="Raleway" w:hAnsi="Raleway" w:cs="Raleway"/>
      <w:color w:val="999999"/>
      <w:sz w:val="36"/>
      <w:szCs w:val="3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2533</Characters>
  <Application>Microsoft Office Word</Application>
  <DocSecurity>0</DocSecurity>
  <Lines>21</Lines>
  <Paragraphs>5</Paragraphs>
  <ScaleCrop>false</ScaleCrop>
  <Company>Microsoft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ELLIOTT</dc:creator>
  <cp:lastModifiedBy>JONATHAN ELLIOTT</cp:lastModifiedBy>
  <cp:revision>2</cp:revision>
  <dcterms:created xsi:type="dcterms:W3CDTF">2018-08-16T11:15:00Z</dcterms:created>
  <dcterms:modified xsi:type="dcterms:W3CDTF">2018-08-16T11:17:00Z</dcterms:modified>
</cp:coreProperties>
</file>