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docx_img_1.png"/>
                    <pic:cNvPicPr/>
                  </pic:nvPicPr>
                  <pic:blipFill>
                    <a:blip r:embed="rId9"/>
                    <a:stretch>
                      <a:fillRect/>
                    </a:stretch>
                  </pic:blipFill>
                  <pic:spPr>
                    <a:xfrm>
                      <a:off x="0" y="0"/>
                      <a:ext cx="1645920" cy="1645920"/>
                    </a:xfrm>
                    <a:prstGeom prst="rect"/>
                  </pic:spPr>
                </pic:pic>
              </a:graphicData>
            </a:graphic>
          </wp:inline>
        </w:drawing>
      </w:r>
    </w:p>
    <w:p>
      <w:pPr>
        <w:spacing w:before="120" w:after="80"/>
        <w:jc w:val="center"/>
      </w:pPr>
      <w:r>
        <w:rPr>
          <w:rFonts w:ascii="Arial" w:hAnsi="Arial"/>
          <w:b/>
          <w:color w:val="0F2043"/>
          <w:sz w:val="40"/>
        </w:rPr>
        <w:t>FINANCIAL LITERACY PROGRAMME FOR RURAL YOUTH</w:t>
      </w:r>
    </w:p>
    <w:p>
      <w:pPr>
        <w:spacing w:after="280"/>
        <w:jc w:val="center"/>
      </w:pPr>
      <w:r>
        <w:rPr>
          <w:rFonts w:ascii="Arial" w:hAnsi="Arial"/>
          <w:b/>
          <w:color w:val="2F3E46"/>
          <w:sz w:val="24"/>
        </w:rPr>
        <w:t>A COMMUNITY PROJECT REPORT</w:t>
        <w:br/>
        <w:t>(PS090 · Domain: Education)</w:t>
      </w:r>
    </w:p>
    <w:p>
      <w:pPr>
        <w:spacing w:after="280"/>
        <w:jc w:val="center"/>
      </w:pPr>
      <w:r>
        <w:rPr>
          <w:color w:val="212529"/>
          <w:sz w:val="20"/>
        </w:rPr>
        <w:t>Submitted in partial fulfillment of the requirements for the award of the degree of</w:t>
        <w:br/>
      </w:r>
      <w:r>
        <w:rPr>
          <w:b/>
          <w:color w:val="0F2043"/>
          <w:sz w:val="24"/>
        </w:rPr>
        <w:t>BACHELOR OF TECHNOLOGY</w:t>
        <w:br/>
        <w:t>in</w:t>
        <w:br/>
        <w:t>COMPUTER SCIENCE AND ENGINEERING</w:t>
      </w:r>
    </w:p>
    <w:p>
      <w:pPr>
        <w:spacing w:after="280"/>
        <w:jc w:val="center"/>
      </w:pPr>
      <w:r>
        <w:rPr>
          <w:b/>
          <w:sz w:val="20"/>
        </w:rPr>
        <w:t>BY</w:t>
        <w:br/>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F5F7FA"/>
            <w:tcMar>
              <w:top w:w="80" w:type="dxa"/>
              <w:bottom w:w="80" w:type="dxa"/>
              <w:left w:w="100" w:type="dxa"/>
              <w:right w:w="100" w:type="dxa"/>
            </w:tcMar>
          </w:tcPr>
          <w:p>
            <w:r>
              <w:rPr>
                <w:b/>
                <w:color w:val="0F2043"/>
              </w:rPr>
              <w:t>Student Name</w:t>
            </w:r>
          </w:p>
        </w:tc>
        <w:tc>
          <w:tcPr>
            <w:tcW w:type="dxa" w:w="3120"/>
            <w:shd w:fill="F5F7FA"/>
            <w:tcMar>
              <w:top w:w="80" w:type="dxa"/>
              <w:bottom w:w="80" w:type="dxa"/>
              <w:left w:w="100" w:type="dxa"/>
              <w:right w:w="100" w:type="dxa"/>
            </w:tcMar>
          </w:tcPr>
          <w:p>
            <w:r>
              <w:rPr>
                <w:b/>
                <w:color w:val="0F2043"/>
              </w:rPr>
              <w:t>Roll Number</w:t>
            </w:r>
          </w:p>
        </w:tc>
        <w:tc>
          <w:tcPr>
            <w:tcW w:type="dxa" w:w="3120"/>
            <w:shd w:fill="F5F7FA"/>
            <w:tcMar>
              <w:top w:w="80" w:type="dxa"/>
              <w:bottom w:w="80" w:type="dxa"/>
              <w:left w:w="100" w:type="dxa"/>
              <w:right w:w="100" w:type="dxa"/>
            </w:tcMar>
          </w:tcPr>
          <w:p>
            <w:r>
              <w:rPr>
                <w:b/>
                <w:color w:val="0F2043"/>
              </w:rPr>
              <w:t>Project Role</w:t>
            </w:r>
          </w:p>
        </w:tc>
      </w:tr>
      <w:tr>
        <w:tc>
          <w:tcPr>
            <w:tcW w:type="dxa" w:w="3120"/>
            <w:tcMar>
              <w:top w:w="60" w:type="dxa"/>
              <w:bottom w:w="60" w:type="dxa"/>
              <w:left w:w="100" w:type="dxa"/>
              <w:right w:w="100" w:type="dxa"/>
            </w:tcMar>
          </w:tcPr>
          <w:p>
            <w:r>
              <w:rPr>
                <w:sz w:val="20"/>
              </w:rPr>
              <w:t>PITTA VENKATA SURI REDDY</w:t>
            </w:r>
          </w:p>
        </w:tc>
        <w:tc>
          <w:tcPr>
            <w:tcW w:type="dxa" w:w="3120"/>
            <w:tcMar>
              <w:top w:w="60" w:type="dxa"/>
              <w:bottom w:w="60" w:type="dxa"/>
              <w:left w:w="100" w:type="dxa"/>
              <w:right w:w="100" w:type="dxa"/>
            </w:tcMar>
          </w:tcPr>
          <w:p>
            <w:r>
              <w:rPr>
                <w:sz w:val="20"/>
              </w:rPr>
              <w:t>24331A05N4</w:t>
            </w:r>
          </w:p>
        </w:tc>
        <w:tc>
          <w:tcPr>
            <w:tcW w:type="dxa" w:w="3120"/>
            <w:tcMar>
              <w:top w:w="60" w:type="dxa"/>
              <w:bottom w:w="60" w:type="dxa"/>
              <w:left w:w="100" w:type="dxa"/>
              <w:right w:w="100" w:type="dxa"/>
            </w:tcMar>
          </w:tcPr>
          <w:p>
            <w:r>
              <w:rPr>
                <w:sz w:val="20"/>
              </w:rPr>
              <w:t>Batch Leader</w:t>
            </w:r>
          </w:p>
        </w:tc>
      </w:tr>
      <w:tr>
        <w:tc>
          <w:tcPr>
            <w:tcW w:type="dxa" w:w="3120"/>
            <w:tcMar>
              <w:top w:w="60" w:type="dxa"/>
              <w:bottom w:w="60" w:type="dxa"/>
              <w:left w:w="100" w:type="dxa"/>
              <w:right w:w="100" w:type="dxa"/>
            </w:tcMar>
          </w:tcPr>
          <w:p>
            <w:r>
              <w:rPr>
                <w:sz w:val="20"/>
              </w:rPr>
              <w:t>PONTAPALLI ROHITH</w:t>
            </w:r>
          </w:p>
        </w:tc>
        <w:tc>
          <w:tcPr>
            <w:tcW w:type="dxa" w:w="3120"/>
            <w:tcMar>
              <w:top w:w="60" w:type="dxa"/>
              <w:bottom w:w="60" w:type="dxa"/>
              <w:left w:w="100" w:type="dxa"/>
              <w:right w:w="100" w:type="dxa"/>
            </w:tcMar>
          </w:tcPr>
          <w:p>
            <w:r>
              <w:rPr>
                <w:sz w:val="20"/>
              </w:rPr>
              <w:t>24331A05N6</w:t>
            </w:r>
          </w:p>
        </w:tc>
        <w:tc>
          <w:tcPr>
            <w:tcW w:type="dxa" w:w="3120"/>
            <w:tcMar>
              <w:top w:w="60" w:type="dxa"/>
              <w:bottom w:w="60" w:type="dxa"/>
              <w:left w:w="100" w:type="dxa"/>
              <w:right w:w="100" w:type="dxa"/>
            </w:tcMar>
          </w:tcPr>
          <w:p>
            <w:r>
              <w:rPr>
                <w:sz w:val="20"/>
              </w:rPr>
              <w:t>Team Member</w:t>
            </w:r>
          </w:p>
        </w:tc>
      </w:tr>
      <w:tr>
        <w:tc>
          <w:tcPr>
            <w:tcW w:type="dxa" w:w="3120"/>
            <w:tcMar>
              <w:top w:w="60" w:type="dxa"/>
              <w:bottom w:w="60" w:type="dxa"/>
              <w:left w:w="100" w:type="dxa"/>
              <w:right w:w="100" w:type="dxa"/>
            </w:tcMar>
          </w:tcPr>
          <w:p>
            <w:r>
              <w:rPr>
                <w:sz w:val="20"/>
              </w:rPr>
              <w:t>PENTAKOTA LALITH LAKSHYA</w:t>
            </w:r>
          </w:p>
        </w:tc>
        <w:tc>
          <w:tcPr>
            <w:tcW w:type="dxa" w:w="3120"/>
            <w:tcMar>
              <w:top w:w="60" w:type="dxa"/>
              <w:bottom w:w="60" w:type="dxa"/>
              <w:left w:w="100" w:type="dxa"/>
              <w:right w:w="100" w:type="dxa"/>
            </w:tcMar>
          </w:tcPr>
          <w:p>
            <w:r>
              <w:rPr>
                <w:sz w:val="20"/>
              </w:rPr>
              <w:t>24331A05M8</w:t>
            </w:r>
          </w:p>
        </w:tc>
        <w:tc>
          <w:tcPr>
            <w:tcW w:type="dxa" w:w="3120"/>
            <w:tcMar>
              <w:top w:w="60" w:type="dxa"/>
              <w:bottom w:w="60" w:type="dxa"/>
              <w:left w:w="100" w:type="dxa"/>
              <w:right w:w="100" w:type="dxa"/>
            </w:tcMar>
          </w:tcPr>
          <w:p>
            <w:r>
              <w:rPr>
                <w:sz w:val="20"/>
              </w:rPr>
              <w:t>Team Member</w:t>
            </w:r>
          </w:p>
        </w:tc>
      </w:tr>
      <w:tr>
        <w:tc>
          <w:tcPr>
            <w:tcW w:type="dxa" w:w="3120"/>
            <w:tcMar>
              <w:top w:w="60" w:type="dxa"/>
              <w:bottom w:w="60" w:type="dxa"/>
              <w:left w:w="100" w:type="dxa"/>
              <w:right w:w="100" w:type="dxa"/>
            </w:tcMar>
          </w:tcPr>
          <w:p>
            <w:r>
              <w:rPr>
                <w:sz w:val="20"/>
              </w:rPr>
              <w:t>POLAKI LIKITHA</w:t>
            </w:r>
          </w:p>
        </w:tc>
        <w:tc>
          <w:tcPr>
            <w:tcW w:type="dxa" w:w="3120"/>
            <w:tcMar>
              <w:top w:w="60" w:type="dxa"/>
              <w:bottom w:w="60" w:type="dxa"/>
              <w:left w:w="100" w:type="dxa"/>
              <w:right w:w="100" w:type="dxa"/>
            </w:tcMar>
          </w:tcPr>
          <w:p>
            <w:r>
              <w:rPr>
                <w:sz w:val="20"/>
              </w:rPr>
              <w:t>25335A0520</w:t>
            </w:r>
          </w:p>
        </w:tc>
        <w:tc>
          <w:tcPr>
            <w:tcW w:type="dxa" w:w="3120"/>
            <w:tcMar>
              <w:top w:w="60" w:type="dxa"/>
              <w:bottom w:w="60" w:type="dxa"/>
              <w:left w:w="100" w:type="dxa"/>
              <w:right w:w="100" w:type="dxa"/>
            </w:tcMar>
          </w:tcPr>
          <w:p>
            <w:r>
              <w:rPr>
                <w:sz w:val="20"/>
              </w:rPr>
              <w:t>Team Member</w:t>
            </w:r>
          </w:p>
        </w:tc>
      </w:tr>
    </w:tbl>
    <w:p>
      <w:pPr>
        <w:spacing w:before="320" w:after="320"/>
        <w:jc w:val="center"/>
      </w:pPr>
      <w:r>
        <w:rPr>
          <w:b/>
          <w:sz w:val="20"/>
        </w:rPr>
        <w:t>Under the Guidance of</w:t>
        <w:br/>
      </w:r>
      <w:r>
        <w:rPr>
          <w:b/>
          <w:color w:val="2F3E46"/>
          <w:sz w:val="22"/>
        </w:rPr>
        <w:t>Dr. P. Rama Santosh Naidu &amp; Mr. R. Ravi Kumar</w:t>
        <w:br/>
      </w:r>
      <w:r>
        <w:rPr>
          <w:sz w:val="20"/>
        </w:rPr>
        <w:t>Project In-Charges, Department of Computer Science &amp; Engineering</w:t>
      </w:r>
    </w:p>
    <w:p>
      <w:pPr>
        <w:spacing w:after="80"/>
        <w:jc w:val="center"/>
      </w:pPr>
      <w:r>
        <w:rPr>
          <w:b/>
          <w:color w:val="0F2043"/>
          <w:sz w:val="22"/>
        </w:rPr>
        <w:t>DEPARTMENT OF COMPUTER SCIENCE AND ENGINEERING</w:t>
        <w:br/>
      </w:r>
      <w:r>
        <w:rPr>
          <w:b/>
          <w:color w:val="2F3E46"/>
          <w:sz w:val="22"/>
        </w:rPr>
        <w:t>MAHARAJ VIJAYARAM GAJAPATHI RAJ COLLEGE OF ENGINEERING (AUTONOMOUS)</w:t>
        <w:br/>
      </w:r>
      <w:r>
        <w:rPr>
          <w:color w:val="6C757D"/>
          <w:sz w:val="19"/>
        </w:rPr>
        <w:t>(Approved by AICTE, New Delhi, permanently affiliated to JNTUGV, Vizianagaram)</w:t>
        <w:br/>
        <w:t>Vizianagaram - 535005, Andhra Pradesh, India</w:t>
        <w:br/>
        <w:t>OCTOBER, 2026</w:t>
      </w:r>
    </w:p>
    <w:p>
      <w:r>
        <w:br w:type="page"/>
      </w:r>
    </w:p>
    <w:p>
      <w:pPr>
        <w:keepNext/>
        <w:spacing w:before="360" w:after="120"/>
      </w:pPr>
      <w:r>
        <w:rPr>
          <w:rFonts w:ascii="Arial" w:hAnsi="Arial"/>
          <w:b/>
          <w:color w:val="0F2043"/>
          <w:sz w:val="32"/>
        </w:rPr>
        <w:t>CERTIFICATE</w:t>
      </w:r>
    </w:p>
    <w:p>
      <w:pPr>
        <w:spacing w:after="120" w:line="276" w:lineRule="auto"/>
      </w:pPr>
      <w:r>
        <w:rPr>
          <w:rFonts w:ascii="Calibri" w:hAnsi="Calibri"/>
          <w:color w:val="212529"/>
          <w:sz w:val="22"/>
        </w:rPr>
        <w:t>This is to certify that the project report entitled "Financial Literacy Programme for Rural Youth" (PS090) submitted by PITTA VENKATA SURI REDDY (24331A05N4), PONTAPALLI ROHITH (24331A05N6), PENTAKOTA LALITH LAKSHYA (24331A05M8), and POLAKI LIKITHA (25335A0520) in partial fulfillment for the award of the degree of Bachelor of Technology in Computer Science and Engineering is a record of bonafide community project work carried out by them under our supervision during the academic year 2026.</w:t>
      </w:r>
    </w:p>
    <w:p>
      <w:pPr>
        <w:spacing w:after="120" w:line="276" w:lineRule="auto"/>
      </w:pPr>
      <w:r>
        <w:rPr>
          <w:rFonts w:ascii="Calibri" w:hAnsi="Calibri"/>
          <w:color w:val="212529"/>
          <w:sz w:val="22"/>
        </w:rPr>
        <w:t>Community Partner: Govt. Junior College, Vizianagaram Town (College Code: 02197, U-DISE: 28122800110). Target Beneficiaries: 37 Class XII rural students. Session Date: 26-09-2026.</w:t>
      </w:r>
    </w:p>
    <w:p>
      <w:pPr>
        <w:spacing w:before="720" w:after="480"/>
      </w:pPr>
      <w:r>
        <w:rPr>
          <w:b/>
        </w:rPr>
        <w:t>_______________________                    _______________________</w:t>
        <w:br/>
      </w:r>
      <w:r>
        <w:rPr>
          <w:sz w:val="20"/>
        </w:rPr>
        <w:t>Dr. P. Rama Santosh Naidu                               Mr. R. Ravi Kumar</w:t>
        <w:br/>
        <w:t>Project In-Charge, Dept. of CSE                        Project In-Charge, Dept. of CSE</w:t>
        <w:br/>
        <w:br/>
        <w:br/>
        <w:t>_______________________</w:t>
        <w:br/>
        <w:t>Head of the Department</w:t>
        <w:br/>
        <w:t>Department of Computer Science &amp; Engineering</w:t>
        <w:br/>
        <w:t>MVGR College of Engineering (A), Vizianagaram</w:t>
      </w:r>
    </w:p>
    <w:p>
      <w:r>
        <w:br w:type="page"/>
      </w:r>
    </w:p>
    <w:p>
      <w:pPr>
        <w:keepNext/>
        <w:spacing w:before="360" w:after="120"/>
      </w:pPr>
      <w:r>
        <w:rPr>
          <w:rFonts w:ascii="Arial" w:hAnsi="Arial"/>
          <w:b/>
          <w:color w:val="0F2043"/>
          <w:sz w:val="32"/>
        </w:rPr>
        <w:t>DECLARATION</w:t>
      </w:r>
    </w:p>
    <w:p>
      <w:pPr>
        <w:spacing w:after="120" w:line="276" w:lineRule="auto"/>
      </w:pPr>
      <w:r>
        <w:rPr>
          <w:rFonts w:ascii="Calibri" w:hAnsi="Calibri"/>
          <w:color w:val="212529"/>
          <w:sz w:val="22"/>
        </w:rPr>
        <w:t>We hereby declare that the work presented in this report entitled "Financial Literacy Programme for Rural Youth" (PS090) has been carried out by us under the Department of Computer Science &amp; Engineering, MVGR College of Engineering (Autonomous), Vizianagaram. The contents incorporated in this report are based on original fieldwork conducted at Govt. Junior College, Vizianagaram Town on 26-09-2026 and have not been submitted for the award of any other degree or diploma in any other institution.</w:t>
      </w:r>
    </w:p>
    <w:p>
      <w:pPr>
        <w:spacing w:before="360"/>
      </w:pPr>
      <w:r>
        <w:rPr>
          <w:b/>
          <w:sz w:val="21"/>
        </w:rPr>
        <w:t>Pitta Venkata Suri Reddy (24331A05N4)</w:t>
        <w:br/>
        <w:t>Pontapalli Rohith (24331A05N6)</w:t>
        <w:br/>
        <w:t>Pentakota Lalith Lakshya (24331A05M8)</w:t>
        <w:br/>
        <w:t>Polaki Likitha (25335A0520)</w:t>
      </w:r>
    </w:p>
    <w:p>
      <w:pPr>
        <w:keepNext/>
        <w:spacing w:before="360" w:after="120"/>
      </w:pPr>
      <w:r>
        <w:rPr>
          <w:rFonts w:ascii="Arial" w:hAnsi="Arial"/>
          <w:b/>
          <w:color w:val="0F2043"/>
          <w:sz w:val="32"/>
        </w:rPr>
        <w:t>ACKNOWLEDGEMENTS</w:t>
      </w:r>
    </w:p>
    <w:p>
      <w:pPr>
        <w:spacing w:after="120" w:line="276" w:lineRule="auto"/>
      </w:pPr>
      <w:r>
        <w:rPr>
          <w:rFonts w:ascii="Calibri" w:hAnsi="Calibri"/>
          <w:color w:val="212529"/>
          <w:sz w:val="22"/>
        </w:rPr>
        <w:t>We express our sincere gratitude to our Project In-Charges, Dr. P. Rama Santosh Naidu and Mr. R. Ravi Kumar, for their invaluable guidance, encouragement, and continuous supervision throughout this community project. We extend our respectful thanks to Dr. Aruna Srinivas, Head of the Department of CSE, and the management of MVGR College of Engineering (Autonomous) for providing the academic framework and administrative support needed to execute this initiative.</w:t>
      </w:r>
    </w:p>
    <w:p>
      <w:pPr>
        <w:spacing w:after="120" w:line="276" w:lineRule="auto"/>
      </w:pPr>
      <w:r>
        <w:rPr>
          <w:rFonts w:ascii="Calibri" w:hAnsi="Calibri"/>
          <w:color w:val="212529"/>
          <w:sz w:val="22"/>
        </w:rPr>
        <w:t>We convey our deepest appreciation to our community partner, Government Junior College, Vizianagaram Town (College Code: 02197), including the Principal, teaching staff, and non-teaching personnel, for granting formal permission and facilitating the awareness session on 26-09-2026. Most importantly, we thank the 37 participating Class XII students whose enthusiastic involvement, active participation during module presentations, and completion of pre/post assessments made this project a success.</w:t>
      </w:r>
    </w:p>
    <w:p>
      <w:r>
        <w:br w:type="page"/>
      </w:r>
    </w:p>
    <w:p>
      <w:pPr>
        <w:keepNext/>
        <w:spacing w:before="360" w:after="120"/>
      </w:pPr>
      <w:r>
        <w:rPr>
          <w:rFonts w:ascii="Arial" w:hAnsi="Arial"/>
          <w:b/>
          <w:color w:val="0F2043"/>
          <w:sz w:val="32"/>
        </w:rPr>
        <w:t>ABSTRACT</w:t>
      </w:r>
    </w:p>
    <w:p>
      <w:pPr>
        <w:spacing w:after="120" w:line="276" w:lineRule="auto"/>
      </w:pPr>
      <w:r>
        <w:rPr>
          <w:rFonts w:ascii="Calibri" w:hAnsi="Calibri"/>
          <w:color w:val="212529"/>
          <w:sz w:val="22"/>
        </w:rPr>
        <w:t>The Financial Literacy Programme for Rural Youth (PS090) is a community project under the Education domain executed by BATCH-13D (Section D), Department of Computer Science &amp; Engineering, MVGR College of Engineering (Autonomous). The programme addressed a critical societal gap: rural Class XII students increasingly adopt smartphones and digital payment applications (UPI) but lack formal training in financial safety, banking mechanisms, government schemes, and personal budgeting.</w:t>
      </w:r>
    </w:p>
    <w:p>
      <w:pPr>
        <w:spacing w:after="120" w:line="276" w:lineRule="auto"/>
      </w:pPr>
      <w:r>
        <w:rPr>
          <w:rFonts w:ascii="Calibri" w:hAnsi="Calibri"/>
          <w:color w:val="212529"/>
          <w:sz w:val="22"/>
        </w:rPr>
        <w:t>The project was executed in collaboration with Govt. Junior College, Vizianagaram Town (U-DISE Code: 28122800110) on 26-09-2026 (an approved non-working day). A structured 4-module curriculum was delivered to 37 Class XII students, covering: (1) Savings &amp; Banking, (2) UPI &amp; Digital Payment Safety, (3) Insurance &amp; Government Schemes, and (4) Financial Planning &amp; Budgeting. Knowledge gain was measured using a matched 15-mark multiple-choice question (MCQ) pre-test and an identical post-test.</w:t>
      </w:r>
    </w:p>
    <w:p>
      <w:pPr>
        <w:spacing w:after="120" w:line="276" w:lineRule="auto"/>
      </w:pPr>
      <w:r>
        <w:rPr>
          <w:rFonts w:ascii="Calibri" w:hAnsi="Calibri"/>
          <w:color w:val="212529"/>
          <w:sz w:val="22"/>
        </w:rPr>
        <w:t>Key Outcomes &amp; Results:</w:t>
      </w:r>
    </w:p>
    <w:p>
      <w:pPr>
        <w:pStyle w:val="ListBullet"/>
        <w:spacing w:after="60" w:line="276" w:lineRule="auto"/>
      </w:pPr>
      <w:r>
        <w:rPr>
          <w:rFonts w:ascii="Calibri" w:hAnsi="Calibri"/>
          <w:b/>
          <w:color w:val="212529"/>
          <w:sz w:val="22"/>
        </w:rPr>
        <w:t xml:space="preserve">Beneficiaries: </w:t>
      </w:r>
      <w:r>
        <w:rPr>
          <w:rFonts w:ascii="Calibri" w:hAnsi="Calibri"/>
          <w:color w:val="212529"/>
          <w:sz w:val="22"/>
        </w:rPr>
        <w:t>37 out of 37 students (100% participation rate) completed both baseline and post-evaluation assessments.</w:t>
      </w:r>
    </w:p>
    <w:p>
      <w:pPr>
        <w:pStyle w:val="ListBullet"/>
        <w:spacing w:after="60" w:line="276" w:lineRule="auto"/>
      </w:pPr>
      <w:r>
        <w:rPr>
          <w:rFonts w:ascii="Calibri" w:hAnsi="Calibri"/>
          <w:b/>
          <w:color w:val="212529"/>
          <w:sz w:val="22"/>
        </w:rPr>
        <w:t xml:space="preserve">Score Gain: </w:t>
      </w:r>
      <w:r>
        <w:rPr>
          <w:rFonts w:ascii="Calibri" w:hAnsi="Calibri"/>
          <w:color w:val="212529"/>
          <w:sz w:val="22"/>
        </w:rPr>
        <w:t>Class average score increased from 5.1 / 15 (34%) in the pre-test to 12.9 / 15 (86%) in the post-test, demonstrating a statistically significant +7.8 mark gain (+152% knowledge improvement).</w:t>
      </w:r>
    </w:p>
    <w:p>
      <w:pPr>
        <w:pStyle w:val="ListBullet"/>
        <w:spacing w:after="60" w:line="276" w:lineRule="auto"/>
      </w:pPr>
      <w:r>
        <w:rPr>
          <w:rFonts w:ascii="Calibri" w:hAnsi="Calibri"/>
          <w:b/>
          <w:color w:val="212529"/>
          <w:sz w:val="22"/>
        </w:rPr>
        <w:t xml:space="preserve">Performance Redistribution: </w:t>
      </w:r>
      <w:r>
        <w:rPr>
          <w:rFonts w:ascii="Calibri" w:hAnsi="Calibri"/>
          <w:color w:val="212529"/>
          <w:sz w:val="22"/>
        </w:rPr>
        <w:t>Before the session, 59% of students scored below 40% (0-5 marks) and 0% scored above 80%. After the session, 78% of students (29/37) achieved 80-100% (12-15 marks).</w:t>
      </w:r>
    </w:p>
    <w:p>
      <w:pPr>
        <w:pStyle w:val="ListBullet"/>
        <w:spacing w:after="60" w:line="276" w:lineRule="auto"/>
      </w:pPr>
      <w:r>
        <w:rPr>
          <w:rFonts w:ascii="Calibri" w:hAnsi="Calibri"/>
          <w:b/>
          <w:color w:val="212529"/>
          <w:sz w:val="22"/>
        </w:rPr>
        <w:t xml:space="preserve">Uniform Improvement: </w:t>
      </w:r>
      <w:r>
        <w:rPr>
          <w:rFonts w:ascii="Calibri" w:hAnsi="Calibri"/>
          <w:color w:val="212529"/>
          <w:sz w:val="22"/>
        </w:rPr>
        <w:t>100% of participating students (37/37) demonstrated individual score improvements, lifting the minimum class score from 3/15 to 11/15.</w:t>
      </w:r>
    </w:p>
    <w:p>
      <w:pPr>
        <w:pStyle w:val="ListBullet"/>
        <w:spacing w:after="60" w:line="276" w:lineRule="auto"/>
      </w:pPr>
      <w:r>
        <w:rPr>
          <w:rFonts w:ascii="Calibri" w:hAnsi="Calibri"/>
          <w:b/>
          <w:color w:val="212529"/>
          <w:sz w:val="22"/>
        </w:rPr>
        <w:t xml:space="preserve">Community Deliverable: </w:t>
      </w:r>
      <w:r>
        <w:rPr>
          <w:rFonts w:ascii="Calibri" w:hAnsi="Calibri"/>
          <w:color w:val="212529"/>
          <w:sz w:val="22"/>
        </w:rPr>
        <w:t>Distributed actionable personal finance reference handouts to all 37 students to ensure long-term retention and family awareness.</w:t>
      </w:r>
    </w:p>
    <w:p>
      <w:pPr>
        <w:spacing w:after="120" w:line="276" w:lineRule="auto"/>
      </w:pPr>
      <w:r>
        <w:rPr>
          <w:rFonts w:ascii="Calibri" w:hAnsi="Calibri"/>
          <w:color w:val="212529"/>
          <w:sz w:val="22"/>
        </w:rPr>
        <w:t>Keywords: Financial literacy, rural youth, Class XII students, UPI safety, digital payment fraud, government schemes, PM Scholarship, pre-test post-test evaluation, community project, MVGR CSE, PS090, Vizianagaram.</w:t>
      </w:r>
    </w:p>
    <w:p>
      <w:r>
        <w:br w:type="page"/>
      </w:r>
    </w:p>
    <w:p>
      <w:pPr>
        <w:keepNext/>
        <w:spacing w:before="360" w:after="120"/>
      </w:pPr>
      <w:r>
        <w:rPr>
          <w:rFonts w:ascii="Arial" w:hAnsi="Arial"/>
          <w:b/>
          <w:color w:val="0F2043"/>
          <w:sz w:val="32"/>
        </w:rPr>
        <w:t>TABLE OF CONTENTS</w:t>
      </w:r>
    </w:p>
    <w:tbl>
      <w:tblPr>
        <w:tblW w:type="auto" w:w="0"/>
        <w:jc w:val="center"/>
        <w:tblLook w:firstColumn="1" w:firstRow="1" w:lastColumn="0" w:lastRow="0" w:noHBand="0" w:noVBand="1" w:val="04A0"/>
        <w:tblBorders>
          <w:top w:val="single" w:sz="2" w:space="0" w:color="E0E0E0"/>
          <w:bottom w:val="single" w:sz="2" w:space="0" w:color="E0E0E0"/>
          <w:insideH w:val="single" w:sz="2" w:space="0" w:color="E0E0E0"/>
          <w:insideV w:val="none"/>
          <w:left w:val="none"/>
          <w:right w:val="none"/>
        </w:tblBorders>
      </w:tblPr>
      <w:tblGrid>
        <w:gridCol w:w="4680"/>
        <w:gridCol w:w="4680"/>
      </w:tblGrid>
      <w:tr>
        <w:tc>
          <w:tcPr>
            <w:tcW w:type="dxa" w:w="4680"/>
            <w:tcMar>
              <w:top w:w="30" w:type="dxa"/>
              <w:bottom w:w="30" w:type="dxa"/>
              <w:left w:w="50" w:type="dxa"/>
              <w:right w:w="50" w:type="dxa"/>
            </w:tcMar>
          </w:tcPr>
          <w:p>
            <w:r>
              <w:rPr>
                <w:b/>
                <w:sz w:val="20"/>
              </w:rPr>
              <w:t>Certificate</w:t>
            </w:r>
          </w:p>
        </w:tc>
        <w:tc>
          <w:tcPr>
            <w:tcW w:type="dxa" w:w="4680"/>
            <w:tcMar>
              <w:top w:w="30" w:type="dxa"/>
              <w:bottom w:w="30" w:type="dxa"/>
              <w:left w:w="50" w:type="dxa"/>
              <w:right w:w="50" w:type="dxa"/>
            </w:tcMar>
          </w:tcPr>
          <w:p>
            <w:pPr>
              <w:jc w:val="right"/>
            </w:pPr>
            <w:r>
              <w:rPr>
                <w:b/>
                <w:sz w:val="20"/>
              </w:rPr>
              <w:t>2</w:t>
            </w:r>
          </w:p>
        </w:tc>
      </w:tr>
      <w:tr>
        <w:tc>
          <w:tcPr>
            <w:tcW w:type="dxa" w:w="4680"/>
            <w:tcMar>
              <w:top w:w="30" w:type="dxa"/>
              <w:bottom w:w="30" w:type="dxa"/>
              <w:left w:w="50" w:type="dxa"/>
              <w:right w:w="50" w:type="dxa"/>
            </w:tcMar>
          </w:tcPr>
          <w:p>
            <w:r>
              <w:rPr>
                <w:sz w:val="20"/>
              </w:rPr>
              <w:t>Declaration &amp; Acknowledgements</w:t>
            </w:r>
          </w:p>
        </w:tc>
        <w:tc>
          <w:tcPr>
            <w:tcW w:type="dxa" w:w="4680"/>
            <w:tcMar>
              <w:top w:w="30" w:type="dxa"/>
              <w:bottom w:w="30" w:type="dxa"/>
              <w:left w:w="50" w:type="dxa"/>
              <w:right w:w="50" w:type="dxa"/>
            </w:tcMar>
          </w:tcPr>
          <w:p>
            <w:pPr>
              <w:jc w:val="right"/>
            </w:pPr>
            <w:r>
              <w:rPr>
                <w:sz w:val="20"/>
              </w:rPr>
              <w:t>3</w:t>
            </w:r>
          </w:p>
        </w:tc>
      </w:tr>
      <w:tr>
        <w:tc>
          <w:tcPr>
            <w:tcW w:type="dxa" w:w="4680"/>
            <w:tcMar>
              <w:top w:w="30" w:type="dxa"/>
              <w:bottom w:w="30" w:type="dxa"/>
              <w:left w:w="50" w:type="dxa"/>
              <w:right w:w="50" w:type="dxa"/>
            </w:tcMar>
          </w:tcPr>
          <w:p>
            <w:r>
              <w:rPr>
                <w:b/>
                <w:sz w:val="20"/>
              </w:rPr>
              <w:t>Abstract</w:t>
            </w:r>
          </w:p>
        </w:tc>
        <w:tc>
          <w:tcPr>
            <w:tcW w:type="dxa" w:w="4680"/>
            <w:tcMar>
              <w:top w:w="30" w:type="dxa"/>
              <w:bottom w:w="30" w:type="dxa"/>
              <w:left w:w="50" w:type="dxa"/>
              <w:right w:w="50" w:type="dxa"/>
            </w:tcMar>
          </w:tcPr>
          <w:p>
            <w:pPr>
              <w:jc w:val="right"/>
            </w:pPr>
            <w:r>
              <w:rPr>
                <w:b/>
                <w:sz w:val="20"/>
              </w:rPr>
              <w:t>4</w:t>
            </w:r>
          </w:p>
        </w:tc>
      </w:tr>
      <w:tr>
        <w:tc>
          <w:tcPr>
            <w:tcW w:type="dxa" w:w="4680"/>
            <w:tcMar>
              <w:top w:w="30" w:type="dxa"/>
              <w:bottom w:w="30" w:type="dxa"/>
              <w:left w:w="50" w:type="dxa"/>
              <w:right w:w="50" w:type="dxa"/>
            </w:tcMar>
          </w:tcPr>
          <w:p>
            <w:r>
              <w:rPr>
                <w:sz w:val="20"/>
              </w:rPr>
              <w:t>List of Figures &amp; Tables</w:t>
            </w:r>
          </w:p>
        </w:tc>
        <w:tc>
          <w:tcPr>
            <w:tcW w:type="dxa" w:w="4680"/>
            <w:tcMar>
              <w:top w:w="30" w:type="dxa"/>
              <w:bottom w:w="30" w:type="dxa"/>
              <w:left w:w="50" w:type="dxa"/>
              <w:right w:w="50" w:type="dxa"/>
            </w:tcMar>
          </w:tcPr>
          <w:p>
            <w:pPr>
              <w:jc w:val="right"/>
            </w:pPr>
            <w:r>
              <w:rPr>
                <w:sz w:val="20"/>
              </w:rPr>
              <w:t>6</w:t>
            </w:r>
          </w:p>
        </w:tc>
      </w:tr>
      <w:tr>
        <w:tc>
          <w:tcPr>
            <w:tcW w:type="dxa" w:w="4680"/>
            <w:tcMar>
              <w:top w:w="30" w:type="dxa"/>
              <w:bottom w:w="30" w:type="dxa"/>
              <w:left w:w="50" w:type="dxa"/>
              <w:right w:w="50" w:type="dxa"/>
            </w:tcMar>
          </w:tcPr>
          <w:p>
            <w:r>
              <w:rPr>
                <w:b/>
                <w:sz w:val="20"/>
              </w:rPr>
              <w:t>Chapter 1: Introduction</w:t>
            </w:r>
          </w:p>
        </w:tc>
        <w:tc>
          <w:tcPr>
            <w:tcW w:type="dxa" w:w="4680"/>
            <w:tcMar>
              <w:top w:w="30" w:type="dxa"/>
              <w:bottom w:w="30" w:type="dxa"/>
              <w:left w:w="50" w:type="dxa"/>
              <w:right w:w="50" w:type="dxa"/>
            </w:tcMar>
          </w:tcPr>
          <w:p>
            <w:pPr>
              <w:jc w:val="right"/>
            </w:pPr>
            <w:r>
              <w:rPr>
                <w:b/>
                <w:sz w:val="20"/>
              </w:rPr>
              <w:t>7</w:t>
            </w:r>
          </w:p>
        </w:tc>
      </w:tr>
      <w:tr>
        <w:tc>
          <w:tcPr>
            <w:tcW w:type="dxa" w:w="4680"/>
            <w:tcMar>
              <w:top w:w="30" w:type="dxa"/>
              <w:bottom w:w="30" w:type="dxa"/>
              <w:left w:w="50" w:type="dxa"/>
              <w:right w:w="50" w:type="dxa"/>
            </w:tcMar>
          </w:tcPr>
          <w:p>
            <w:r>
              <w:rPr>
                <w:sz w:val="20"/>
              </w:rPr>
              <w:t xml:space="preserve">  1.1 Background &amp; Context</w:t>
            </w:r>
          </w:p>
        </w:tc>
        <w:tc>
          <w:tcPr>
            <w:tcW w:type="dxa" w:w="4680"/>
            <w:tcMar>
              <w:top w:w="30" w:type="dxa"/>
              <w:bottom w:w="30" w:type="dxa"/>
              <w:left w:w="50" w:type="dxa"/>
              <w:right w:w="50" w:type="dxa"/>
            </w:tcMar>
          </w:tcPr>
          <w:p>
            <w:pPr>
              <w:jc w:val="right"/>
            </w:pPr>
            <w:r>
              <w:rPr>
                <w:sz w:val="20"/>
              </w:rPr>
              <w:t>7</w:t>
            </w:r>
          </w:p>
        </w:tc>
      </w:tr>
      <w:tr>
        <w:tc>
          <w:tcPr>
            <w:tcW w:type="dxa" w:w="4680"/>
            <w:tcMar>
              <w:top w:w="30" w:type="dxa"/>
              <w:bottom w:w="30" w:type="dxa"/>
              <w:left w:w="50" w:type="dxa"/>
              <w:right w:w="50" w:type="dxa"/>
            </w:tcMar>
          </w:tcPr>
          <w:p>
            <w:r>
              <w:rPr>
                <w:sz w:val="20"/>
              </w:rPr>
              <w:t xml:space="preserve">  1.2 Need for the Project</w:t>
            </w:r>
          </w:p>
        </w:tc>
        <w:tc>
          <w:tcPr>
            <w:tcW w:type="dxa" w:w="4680"/>
            <w:tcMar>
              <w:top w:w="30" w:type="dxa"/>
              <w:bottom w:w="30" w:type="dxa"/>
              <w:left w:w="50" w:type="dxa"/>
              <w:right w:w="50" w:type="dxa"/>
            </w:tcMar>
          </w:tcPr>
          <w:p>
            <w:pPr>
              <w:jc w:val="right"/>
            </w:pPr>
            <w:r>
              <w:rPr>
                <w:sz w:val="20"/>
              </w:rPr>
              <w:t>7</w:t>
            </w:r>
          </w:p>
        </w:tc>
      </w:tr>
      <w:tr>
        <w:tc>
          <w:tcPr>
            <w:tcW w:type="dxa" w:w="4680"/>
            <w:tcMar>
              <w:top w:w="30" w:type="dxa"/>
              <w:bottom w:w="30" w:type="dxa"/>
              <w:left w:w="50" w:type="dxa"/>
              <w:right w:w="50" w:type="dxa"/>
            </w:tcMar>
          </w:tcPr>
          <w:p>
            <w:r>
              <w:rPr>
                <w:sz w:val="20"/>
              </w:rPr>
              <w:t xml:space="preserve">  1.3 Target Community &amp; Beneficiaries</w:t>
            </w:r>
          </w:p>
        </w:tc>
        <w:tc>
          <w:tcPr>
            <w:tcW w:type="dxa" w:w="4680"/>
            <w:tcMar>
              <w:top w:w="30" w:type="dxa"/>
              <w:bottom w:w="30" w:type="dxa"/>
              <w:left w:w="50" w:type="dxa"/>
              <w:right w:w="50" w:type="dxa"/>
            </w:tcMar>
          </w:tcPr>
          <w:p>
            <w:pPr>
              <w:jc w:val="right"/>
            </w:pPr>
            <w:r>
              <w:rPr>
                <w:sz w:val="20"/>
              </w:rPr>
              <w:t>8</w:t>
            </w:r>
          </w:p>
        </w:tc>
      </w:tr>
      <w:tr>
        <w:tc>
          <w:tcPr>
            <w:tcW w:type="dxa" w:w="4680"/>
            <w:tcMar>
              <w:top w:w="30" w:type="dxa"/>
              <w:bottom w:w="30" w:type="dxa"/>
              <w:left w:w="50" w:type="dxa"/>
              <w:right w:w="50" w:type="dxa"/>
            </w:tcMar>
          </w:tcPr>
          <w:p>
            <w:r>
              <w:rPr>
                <w:sz w:val="20"/>
              </w:rPr>
              <w:t xml:space="preserve">  1.4 Motivation</w:t>
            </w:r>
          </w:p>
        </w:tc>
        <w:tc>
          <w:tcPr>
            <w:tcW w:type="dxa" w:w="4680"/>
            <w:tcMar>
              <w:top w:w="30" w:type="dxa"/>
              <w:bottom w:w="30" w:type="dxa"/>
              <w:left w:w="50" w:type="dxa"/>
              <w:right w:w="50" w:type="dxa"/>
            </w:tcMar>
          </w:tcPr>
          <w:p>
            <w:pPr>
              <w:jc w:val="right"/>
            </w:pPr>
            <w:r>
              <w:rPr>
                <w:sz w:val="20"/>
              </w:rPr>
              <w:t>8</w:t>
            </w:r>
          </w:p>
        </w:tc>
      </w:tr>
      <w:tr>
        <w:tc>
          <w:tcPr>
            <w:tcW w:type="dxa" w:w="4680"/>
            <w:tcMar>
              <w:top w:w="30" w:type="dxa"/>
              <w:bottom w:w="30" w:type="dxa"/>
              <w:left w:w="50" w:type="dxa"/>
              <w:right w:w="50" w:type="dxa"/>
            </w:tcMar>
          </w:tcPr>
          <w:p>
            <w:r>
              <w:rPr>
                <w:b/>
                <w:sz w:val="20"/>
              </w:rPr>
              <w:t>Chapter 2: Problem Identification &amp; Proposal</w:t>
            </w:r>
          </w:p>
        </w:tc>
        <w:tc>
          <w:tcPr>
            <w:tcW w:type="dxa" w:w="4680"/>
            <w:tcMar>
              <w:top w:w="30" w:type="dxa"/>
              <w:bottom w:w="30" w:type="dxa"/>
              <w:left w:w="50" w:type="dxa"/>
              <w:right w:w="50" w:type="dxa"/>
            </w:tcMar>
          </w:tcPr>
          <w:p>
            <w:pPr>
              <w:jc w:val="right"/>
            </w:pPr>
            <w:r>
              <w:rPr>
                <w:b/>
                <w:sz w:val="20"/>
              </w:rPr>
              <w:t>9</w:t>
            </w:r>
          </w:p>
        </w:tc>
      </w:tr>
      <w:tr>
        <w:tc>
          <w:tcPr>
            <w:tcW w:type="dxa" w:w="4680"/>
            <w:tcMar>
              <w:top w:w="30" w:type="dxa"/>
              <w:bottom w:w="30" w:type="dxa"/>
              <w:left w:w="50" w:type="dxa"/>
              <w:right w:w="50" w:type="dxa"/>
            </w:tcMar>
          </w:tcPr>
          <w:p>
            <w:r>
              <w:rPr>
                <w:sz w:val="20"/>
              </w:rPr>
              <w:t xml:space="preserve">  2.1 Baseline Survey Findings</w:t>
            </w:r>
          </w:p>
        </w:tc>
        <w:tc>
          <w:tcPr>
            <w:tcW w:type="dxa" w:w="4680"/>
            <w:tcMar>
              <w:top w:w="30" w:type="dxa"/>
              <w:bottom w:w="30" w:type="dxa"/>
              <w:left w:w="50" w:type="dxa"/>
              <w:right w:w="50" w:type="dxa"/>
            </w:tcMar>
          </w:tcPr>
          <w:p>
            <w:pPr>
              <w:jc w:val="right"/>
            </w:pPr>
            <w:r>
              <w:rPr>
                <w:sz w:val="20"/>
              </w:rPr>
              <w:t>9</w:t>
            </w:r>
          </w:p>
        </w:tc>
      </w:tr>
      <w:tr>
        <w:tc>
          <w:tcPr>
            <w:tcW w:type="dxa" w:w="4680"/>
            <w:tcMar>
              <w:top w:w="30" w:type="dxa"/>
              <w:bottom w:w="30" w:type="dxa"/>
              <w:left w:w="50" w:type="dxa"/>
              <w:right w:w="50" w:type="dxa"/>
            </w:tcMar>
          </w:tcPr>
          <w:p>
            <w:r>
              <w:rPr>
                <w:sz w:val="20"/>
              </w:rPr>
              <w:t xml:space="preserve">  2.2 Finalized Problem Statement</w:t>
            </w:r>
          </w:p>
        </w:tc>
        <w:tc>
          <w:tcPr>
            <w:tcW w:type="dxa" w:w="4680"/>
            <w:tcMar>
              <w:top w:w="30" w:type="dxa"/>
              <w:bottom w:w="30" w:type="dxa"/>
              <w:left w:w="50" w:type="dxa"/>
              <w:right w:w="50" w:type="dxa"/>
            </w:tcMar>
          </w:tcPr>
          <w:p>
            <w:pPr>
              <w:jc w:val="right"/>
            </w:pPr>
            <w:r>
              <w:rPr>
                <w:sz w:val="20"/>
              </w:rPr>
              <w:t>9</w:t>
            </w:r>
          </w:p>
        </w:tc>
      </w:tr>
      <w:tr>
        <w:tc>
          <w:tcPr>
            <w:tcW w:type="dxa" w:w="4680"/>
            <w:tcMar>
              <w:top w:w="30" w:type="dxa"/>
              <w:bottom w:w="30" w:type="dxa"/>
              <w:left w:w="50" w:type="dxa"/>
              <w:right w:w="50" w:type="dxa"/>
            </w:tcMar>
          </w:tcPr>
          <w:p>
            <w:r>
              <w:rPr>
                <w:sz w:val="20"/>
              </w:rPr>
              <w:t xml:space="preserve">  2.3 Project Objectives</w:t>
            </w:r>
          </w:p>
        </w:tc>
        <w:tc>
          <w:tcPr>
            <w:tcW w:type="dxa" w:w="4680"/>
            <w:tcMar>
              <w:top w:w="30" w:type="dxa"/>
              <w:bottom w:w="30" w:type="dxa"/>
              <w:left w:w="50" w:type="dxa"/>
              <w:right w:w="50" w:type="dxa"/>
            </w:tcMar>
          </w:tcPr>
          <w:p>
            <w:pPr>
              <w:jc w:val="right"/>
            </w:pPr>
            <w:r>
              <w:rPr>
                <w:sz w:val="20"/>
              </w:rPr>
              <w:t>10</w:t>
            </w:r>
          </w:p>
        </w:tc>
      </w:tr>
      <w:tr>
        <w:tc>
          <w:tcPr>
            <w:tcW w:type="dxa" w:w="4680"/>
            <w:tcMar>
              <w:top w:w="30" w:type="dxa"/>
              <w:bottom w:w="30" w:type="dxa"/>
              <w:left w:w="50" w:type="dxa"/>
              <w:right w:w="50" w:type="dxa"/>
            </w:tcMar>
          </w:tcPr>
          <w:p>
            <w:r>
              <w:rPr>
                <w:b/>
                <w:sz w:val="20"/>
              </w:rPr>
              <w:t>Chapter 3: Planning &amp; Strategy</w:t>
            </w:r>
          </w:p>
        </w:tc>
        <w:tc>
          <w:tcPr>
            <w:tcW w:type="dxa" w:w="4680"/>
            <w:tcMar>
              <w:top w:w="30" w:type="dxa"/>
              <w:bottom w:w="30" w:type="dxa"/>
              <w:left w:w="50" w:type="dxa"/>
              <w:right w:w="50" w:type="dxa"/>
            </w:tcMar>
          </w:tcPr>
          <w:p>
            <w:pPr>
              <w:jc w:val="right"/>
            </w:pPr>
            <w:r>
              <w:rPr>
                <w:b/>
                <w:sz w:val="20"/>
              </w:rPr>
              <w:t>11</w:t>
            </w:r>
          </w:p>
        </w:tc>
      </w:tr>
      <w:tr>
        <w:tc>
          <w:tcPr>
            <w:tcW w:type="dxa" w:w="4680"/>
            <w:tcMar>
              <w:top w:w="30" w:type="dxa"/>
              <w:bottom w:w="30" w:type="dxa"/>
              <w:left w:w="50" w:type="dxa"/>
              <w:right w:w="50" w:type="dxa"/>
            </w:tcMar>
          </w:tcPr>
          <w:p>
            <w:r>
              <w:rPr>
                <w:sz w:val="20"/>
              </w:rPr>
              <w:t xml:space="preserve">  3.1 Stakeholders &amp; Partnership</w:t>
            </w:r>
          </w:p>
        </w:tc>
        <w:tc>
          <w:tcPr>
            <w:tcW w:type="dxa" w:w="4680"/>
            <w:tcMar>
              <w:top w:w="30" w:type="dxa"/>
              <w:bottom w:w="30" w:type="dxa"/>
              <w:left w:w="50" w:type="dxa"/>
              <w:right w:w="50" w:type="dxa"/>
            </w:tcMar>
          </w:tcPr>
          <w:p>
            <w:pPr>
              <w:jc w:val="right"/>
            </w:pPr>
            <w:r>
              <w:rPr>
                <w:sz w:val="20"/>
              </w:rPr>
              <w:t>11</w:t>
            </w:r>
          </w:p>
        </w:tc>
      </w:tr>
      <w:tr>
        <w:tc>
          <w:tcPr>
            <w:tcW w:type="dxa" w:w="4680"/>
            <w:tcMar>
              <w:top w:w="30" w:type="dxa"/>
              <w:bottom w:w="30" w:type="dxa"/>
              <w:left w:w="50" w:type="dxa"/>
              <w:right w:w="50" w:type="dxa"/>
            </w:tcMar>
          </w:tcPr>
          <w:p>
            <w:r>
              <w:rPr>
                <w:sz w:val="20"/>
              </w:rPr>
              <w:t xml:space="preserve">  3.2 Team Roles &amp; Responsibilities</w:t>
            </w:r>
          </w:p>
        </w:tc>
        <w:tc>
          <w:tcPr>
            <w:tcW w:type="dxa" w:w="4680"/>
            <w:tcMar>
              <w:top w:w="30" w:type="dxa"/>
              <w:bottom w:w="30" w:type="dxa"/>
              <w:left w:w="50" w:type="dxa"/>
              <w:right w:w="50" w:type="dxa"/>
            </w:tcMar>
          </w:tcPr>
          <w:p>
            <w:pPr>
              <w:jc w:val="right"/>
            </w:pPr>
            <w:r>
              <w:rPr>
                <w:sz w:val="20"/>
              </w:rPr>
              <w:t>11</w:t>
            </w:r>
          </w:p>
        </w:tc>
      </w:tr>
      <w:tr>
        <w:tc>
          <w:tcPr>
            <w:tcW w:type="dxa" w:w="4680"/>
            <w:tcMar>
              <w:top w:w="30" w:type="dxa"/>
              <w:bottom w:w="30" w:type="dxa"/>
              <w:left w:w="50" w:type="dxa"/>
              <w:right w:w="50" w:type="dxa"/>
            </w:tcMar>
          </w:tcPr>
          <w:p>
            <w:r>
              <w:rPr>
                <w:sz w:val="20"/>
              </w:rPr>
              <w:t xml:space="preserve">  3.3 Schedule &amp; Timeline</w:t>
            </w:r>
          </w:p>
        </w:tc>
        <w:tc>
          <w:tcPr>
            <w:tcW w:type="dxa" w:w="4680"/>
            <w:tcMar>
              <w:top w:w="30" w:type="dxa"/>
              <w:bottom w:w="30" w:type="dxa"/>
              <w:left w:w="50" w:type="dxa"/>
              <w:right w:w="50" w:type="dxa"/>
            </w:tcMar>
          </w:tcPr>
          <w:p>
            <w:pPr>
              <w:jc w:val="right"/>
            </w:pPr>
            <w:r>
              <w:rPr>
                <w:sz w:val="20"/>
              </w:rPr>
              <w:t>12</w:t>
            </w:r>
          </w:p>
        </w:tc>
      </w:tr>
      <w:tr>
        <w:tc>
          <w:tcPr>
            <w:tcW w:type="dxa" w:w="4680"/>
            <w:tcMar>
              <w:top w:w="30" w:type="dxa"/>
              <w:bottom w:w="30" w:type="dxa"/>
              <w:left w:w="50" w:type="dxa"/>
              <w:right w:w="50" w:type="dxa"/>
            </w:tcMar>
          </w:tcPr>
          <w:p>
            <w:r>
              <w:rPr>
                <w:sz w:val="20"/>
              </w:rPr>
              <w:t xml:space="preserve">  3.4 Resources Required</w:t>
            </w:r>
          </w:p>
        </w:tc>
        <w:tc>
          <w:tcPr>
            <w:tcW w:type="dxa" w:w="4680"/>
            <w:tcMar>
              <w:top w:w="30" w:type="dxa"/>
              <w:bottom w:w="30" w:type="dxa"/>
              <w:left w:w="50" w:type="dxa"/>
              <w:right w:w="50" w:type="dxa"/>
            </w:tcMar>
          </w:tcPr>
          <w:p>
            <w:pPr>
              <w:jc w:val="right"/>
            </w:pPr>
            <w:r>
              <w:rPr>
                <w:sz w:val="20"/>
              </w:rPr>
              <w:t>12</w:t>
            </w:r>
          </w:p>
        </w:tc>
      </w:tr>
      <w:tr>
        <w:tc>
          <w:tcPr>
            <w:tcW w:type="dxa" w:w="4680"/>
            <w:tcMar>
              <w:top w:w="30" w:type="dxa"/>
              <w:bottom w:w="30" w:type="dxa"/>
              <w:left w:w="50" w:type="dxa"/>
              <w:right w:w="50" w:type="dxa"/>
            </w:tcMar>
          </w:tcPr>
          <w:p>
            <w:r>
              <w:rPr>
                <w:b/>
                <w:sz w:val="20"/>
              </w:rPr>
              <w:t>Chapter 4: Execution &amp; Community Engagement</w:t>
            </w:r>
          </w:p>
        </w:tc>
        <w:tc>
          <w:tcPr>
            <w:tcW w:type="dxa" w:w="4680"/>
            <w:tcMar>
              <w:top w:w="30" w:type="dxa"/>
              <w:bottom w:w="30" w:type="dxa"/>
              <w:left w:w="50" w:type="dxa"/>
              <w:right w:w="50" w:type="dxa"/>
            </w:tcMar>
          </w:tcPr>
          <w:p>
            <w:pPr>
              <w:jc w:val="right"/>
            </w:pPr>
            <w:r>
              <w:rPr>
                <w:b/>
                <w:sz w:val="20"/>
              </w:rPr>
              <w:t>13</w:t>
            </w:r>
          </w:p>
        </w:tc>
      </w:tr>
      <w:tr>
        <w:tc>
          <w:tcPr>
            <w:tcW w:type="dxa" w:w="4680"/>
            <w:tcMar>
              <w:top w:w="30" w:type="dxa"/>
              <w:bottom w:w="30" w:type="dxa"/>
              <w:left w:w="50" w:type="dxa"/>
              <w:right w:w="50" w:type="dxa"/>
            </w:tcMar>
          </w:tcPr>
          <w:p>
            <w:r>
              <w:rPr>
                <w:sz w:val="20"/>
              </w:rPr>
              <w:t xml:space="preserve">  4.1 Execution Log &amp; Field Activity Details</w:t>
            </w:r>
          </w:p>
        </w:tc>
        <w:tc>
          <w:tcPr>
            <w:tcW w:type="dxa" w:w="4680"/>
            <w:tcMar>
              <w:top w:w="30" w:type="dxa"/>
              <w:bottom w:w="30" w:type="dxa"/>
              <w:left w:w="50" w:type="dxa"/>
              <w:right w:w="50" w:type="dxa"/>
            </w:tcMar>
          </w:tcPr>
          <w:p>
            <w:pPr>
              <w:jc w:val="right"/>
            </w:pPr>
            <w:r>
              <w:rPr>
                <w:sz w:val="20"/>
              </w:rPr>
              <w:t>13</w:t>
            </w:r>
          </w:p>
        </w:tc>
      </w:tr>
      <w:tr>
        <w:tc>
          <w:tcPr>
            <w:tcW w:type="dxa" w:w="4680"/>
            <w:tcMar>
              <w:top w:w="30" w:type="dxa"/>
              <w:bottom w:w="30" w:type="dxa"/>
              <w:left w:w="50" w:type="dxa"/>
              <w:right w:w="50" w:type="dxa"/>
            </w:tcMar>
          </w:tcPr>
          <w:p>
            <w:r>
              <w:rPr>
                <w:sz w:val="20"/>
              </w:rPr>
              <w:t xml:space="preserve">  4.2 Field Visit Evidence &amp; Photo Documentation</w:t>
            </w:r>
          </w:p>
        </w:tc>
        <w:tc>
          <w:tcPr>
            <w:tcW w:type="dxa" w:w="4680"/>
            <w:tcMar>
              <w:top w:w="30" w:type="dxa"/>
              <w:bottom w:w="30" w:type="dxa"/>
              <w:left w:w="50" w:type="dxa"/>
              <w:right w:w="50" w:type="dxa"/>
            </w:tcMar>
          </w:tcPr>
          <w:p>
            <w:pPr>
              <w:jc w:val="right"/>
            </w:pPr>
            <w:r>
              <w:rPr>
                <w:sz w:val="20"/>
              </w:rPr>
              <w:t>14</w:t>
            </w:r>
          </w:p>
        </w:tc>
      </w:tr>
      <w:tr>
        <w:tc>
          <w:tcPr>
            <w:tcW w:type="dxa" w:w="4680"/>
            <w:tcMar>
              <w:top w:w="30" w:type="dxa"/>
              <w:bottom w:w="30" w:type="dxa"/>
              <w:left w:w="50" w:type="dxa"/>
              <w:right w:w="50" w:type="dxa"/>
            </w:tcMar>
          </w:tcPr>
          <w:p>
            <w:r>
              <w:rPr>
                <w:b/>
                <w:sz w:val="20"/>
              </w:rPr>
              <w:t>Chapter 5: Data Collection &amp; Impact Assessment</w:t>
            </w:r>
          </w:p>
        </w:tc>
        <w:tc>
          <w:tcPr>
            <w:tcW w:type="dxa" w:w="4680"/>
            <w:tcMar>
              <w:top w:w="30" w:type="dxa"/>
              <w:bottom w:w="30" w:type="dxa"/>
              <w:left w:w="50" w:type="dxa"/>
              <w:right w:w="50" w:type="dxa"/>
            </w:tcMar>
          </w:tcPr>
          <w:p>
            <w:pPr>
              <w:jc w:val="right"/>
            </w:pPr>
            <w:r>
              <w:rPr>
                <w:b/>
                <w:sz w:val="20"/>
              </w:rPr>
              <w:t>16</w:t>
            </w:r>
          </w:p>
        </w:tc>
      </w:tr>
      <w:tr>
        <w:tc>
          <w:tcPr>
            <w:tcW w:type="dxa" w:w="4680"/>
            <w:tcMar>
              <w:top w:w="30" w:type="dxa"/>
              <w:bottom w:w="30" w:type="dxa"/>
              <w:left w:w="50" w:type="dxa"/>
              <w:right w:w="50" w:type="dxa"/>
            </w:tcMar>
          </w:tcPr>
          <w:p>
            <w:r>
              <w:rPr>
                <w:sz w:val="20"/>
              </w:rPr>
              <w:t xml:space="preserve">  5.1 Key Performance Indicators (KPIs)</w:t>
            </w:r>
          </w:p>
        </w:tc>
        <w:tc>
          <w:tcPr>
            <w:tcW w:type="dxa" w:w="4680"/>
            <w:tcMar>
              <w:top w:w="30" w:type="dxa"/>
              <w:bottom w:w="30" w:type="dxa"/>
              <w:left w:w="50" w:type="dxa"/>
              <w:right w:w="50" w:type="dxa"/>
            </w:tcMar>
          </w:tcPr>
          <w:p>
            <w:pPr>
              <w:jc w:val="right"/>
            </w:pPr>
            <w:r>
              <w:rPr>
                <w:sz w:val="20"/>
              </w:rPr>
              <w:t>16</w:t>
            </w:r>
          </w:p>
        </w:tc>
      </w:tr>
      <w:tr>
        <w:tc>
          <w:tcPr>
            <w:tcW w:type="dxa" w:w="4680"/>
            <w:tcMar>
              <w:top w:w="30" w:type="dxa"/>
              <w:bottom w:w="30" w:type="dxa"/>
              <w:left w:w="50" w:type="dxa"/>
              <w:right w:w="50" w:type="dxa"/>
            </w:tcMar>
          </w:tcPr>
          <w:p>
            <w:r>
              <w:rPr>
                <w:sz w:val="20"/>
              </w:rPr>
              <w:t xml:space="preserve">  5.2 Detailed Findings &amp; Data Analysis</w:t>
            </w:r>
          </w:p>
        </w:tc>
        <w:tc>
          <w:tcPr>
            <w:tcW w:type="dxa" w:w="4680"/>
            <w:tcMar>
              <w:top w:w="30" w:type="dxa"/>
              <w:bottom w:w="30" w:type="dxa"/>
              <w:left w:w="50" w:type="dxa"/>
              <w:right w:w="50" w:type="dxa"/>
            </w:tcMar>
          </w:tcPr>
          <w:p>
            <w:pPr>
              <w:jc w:val="right"/>
            </w:pPr>
            <w:r>
              <w:rPr>
                <w:sz w:val="20"/>
              </w:rPr>
              <w:t>17</w:t>
            </w:r>
          </w:p>
        </w:tc>
      </w:tr>
      <w:tr>
        <w:tc>
          <w:tcPr>
            <w:tcW w:type="dxa" w:w="4680"/>
            <w:tcMar>
              <w:top w:w="30" w:type="dxa"/>
              <w:bottom w:w="30" w:type="dxa"/>
              <w:left w:w="50" w:type="dxa"/>
              <w:right w:w="50" w:type="dxa"/>
            </w:tcMar>
          </w:tcPr>
          <w:p>
            <w:r>
              <w:rPr>
                <w:b/>
                <w:sz w:val="20"/>
              </w:rPr>
              <w:t>Chapter 6: Review 1 Feedback &amp; Actions Taken</w:t>
            </w:r>
          </w:p>
        </w:tc>
        <w:tc>
          <w:tcPr>
            <w:tcW w:type="dxa" w:w="4680"/>
            <w:tcMar>
              <w:top w:w="30" w:type="dxa"/>
              <w:bottom w:w="30" w:type="dxa"/>
              <w:left w:w="50" w:type="dxa"/>
              <w:right w:w="50" w:type="dxa"/>
            </w:tcMar>
          </w:tcPr>
          <w:p>
            <w:pPr>
              <w:jc w:val="right"/>
            </w:pPr>
            <w:r>
              <w:rPr>
                <w:b/>
                <w:sz w:val="20"/>
              </w:rPr>
              <w:t>19</w:t>
            </w:r>
          </w:p>
        </w:tc>
      </w:tr>
      <w:tr>
        <w:tc>
          <w:tcPr>
            <w:tcW w:type="dxa" w:w="4680"/>
            <w:tcMar>
              <w:top w:w="30" w:type="dxa"/>
              <w:bottom w:w="30" w:type="dxa"/>
              <w:left w:w="50" w:type="dxa"/>
              <w:right w:w="50" w:type="dxa"/>
            </w:tcMar>
          </w:tcPr>
          <w:p>
            <w:r>
              <w:rPr>
                <w:b/>
                <w:sz w:val="20"/>
              </w:rPr>
              <w:t>Chapter 7: Conclusion &amp; Recommendations</w:t>
            </w:r>
          </w:p>
        </w:tc>
        <w:tc>
          <w:tcPr>
            <w:tcW w:type="dxa" w:w="4680"/>
            <w:tcMar>
              <w:top w:w="30" w:type="dxa"/>
              <w:bottom w:w="30" w:type="dxa"/>
              <w:left w:w="50" w:type="dxa"/>
              <w:right w:w="50" w:type="dxa"/>
            </w:tcMar>
          </w:tcPr>
          <w:p>
            <w:pPr>
              <w:jc w:val="right"/>
            </w:pPr>
            <w:r>
              <w:rPr>
                <w:b/>
                <w:sz w:val="20"/>
              </w:rPr>
              <w:t>21</w:t>
            </w:r>
          </w:p>
        </w:tc>
      </w:tr>
      <w:tr>
        <w:tc>
          <w:tcPr>
            <w:tcW w:type="dxa" w:w="4680"/>
            <w:tcMar>
              <w:top w:w="30" w:type="dxa"/>
              <w:bottom w:w="30" w:type="dxa"/>
              <w:left w:w="50" w:type="dxa"/>
              <w:right w:w="50" w:type="dxa"/>
            </w:tcMar>
          </w:tcPr>
          <w:p>
            <w:r>
              <w:rPr>
                <w:sz w:val="20"/>
              </w:rPr>
              <w:t>References</w:t>
            </w:r>
          </w:p>
        </w:tc>
        <w:tc>
          <w:tcPr>
            <w:tcW w:type="dxa" w:w="4680"/>
            <w:tcMar>
              <w:top w:w="30" w:type="dxa"/>
              <w:bottom w:w="30" w:type="dxa"/>
              <w:left w:w="50" w:type="dxa"/>
              <w:right w:w="50" w:type="dxa"/>
            </w:tcMar>
          </w:tcPr>
          <w:p>
            <w:pPr>
              <w:jc w:val="right"/>
            </w:pPr>
            <w:r>
              <w:rPr>
                <w:sz w:val="20"/>
              </w:rPr>
              <w:t>22</w:t>
            </w:r>
          </w:p>
        </w:tc>
      </w:tr>
      <w:tr>
        <w:tc>
          <w:tcPr>
            <w:tcW w:type="dxa" w:w="4680"/>
            <w:tcMar>
              <w:top w:w="30" w:type="dxa"/>
              <w:bottom w:w="30" w:type="dxa"/>
              <w:left w:w="50" w:type="dxa"/>
              <w:right w:w="50" w:type="dxa"/>
            </w:tcMar>
          </w:tcPr>
          <w:p>
            <w:r>
              <w:rPr>
                <w:sz w:val="20"/>
              </w:rPr>
              <w:t>Appendices (Photo Gallery &amp; Raw Data)</w:t>
            </w:r>
          </w:p>
        </w:tc>
        <w:tc>
          <w:tcPr>
            <w:tcW w:type="dxa" w:w="4680"/>
            <w:tcMar>
              <w:top w:w="30" w:type="dxa"/>
              <w:bottom w:w="30" w:type="dxa"/>
              <w:left w:w="50" w:type="dxa"/>
              <w:right w:w="50" w:type="dxa"/>
            </w:tcMar>
          </w:tcPr>
          <w:p>
            <w:pPr>
              <w:jc w:val="right"/>
            </w:pPr>
            <w:r>
              <w:rPr>
                <w:sz w:val="20"/>
              </w:rPr>
              <w:t>23</w:t>
            </w:r>
          </w:p>
        </w:tc>
      </w:tr>
    </w:tbl>
    <w:p>
      <w:r>
        <w:br w:type="page"/>
      </w:r>
    </w:p>
    <w:p>
      <w:pPr>
        <w:keepNext/>
        <w:spacing w:before="360" w:after="120"/>
      </w:pPr>
      <w:r>
        <w:rPr>
          <w:rFonts w:ascii="Arial" w:hAnsi="Arial"/>
          <w:b/>
          <w:color w:val="0F2043"/>
          <w:sz w:val="32"/>
        </w:rPr>
        <w:t>CHAPTER 1: INTRODUCTION</w:t>
      </w:r>
    </w:p>
    <w:p>
      <w:pPr>
        <w:keepNext/>
        <w:spacing w:before="280" w:after="80"/>
      </w:pPr>
      <w:r>
        <w:rPr>
          <w:rFonts w:ascii="Arial" w:hAnsi="Arial"/>
          <w:b/>
          <w:color w:val="2F3E46"/>
          <w:sz w:val="26"/>
        </w:rPr>
        <w:t>1.1 Background &amp; Context</w:t>
      </w:r>
    </w:p>
    <w:p>
      <w:pPr>
        <w:spacing w:after="120" w:line="276" w:lineRule="auto"/>
      </w:pPr>
      <w:r>
        <w:rPr>
          <w:rFonts w:ascii="Calibri" w:hAnsi="Calibri"/>
          <w:color w:val="212529"/>
          <w:sz w:val="22"/>
        </w:rPr>
        <w:t>Financial literacy is a essential life skill as young individuals transition into higher education, vocational training, or employment. In rural India, access to digital devices and digital payment infrastructures—such as Unified Payments Interface (UPI) and mobile banking—has expanded rapidly over the past five years. However, practical financial education regarding banking instruments, cyber safety, insurance coverage, and government financial assistance schemes has not kept pace.</w:t>
      </w:r>
    </w:p>
    <w:p>
      <w:pPr>
        <w:spacing w:after="120" w:line="276" w:lineRule="auto"/>
      </w:pPr>
      <w:r>
        <w:rPr>
          <w:rFonts w:ascii="Calibri" w:hAnsi="Calibri"/>
          <w:color w:val="212529"/>
          <w:sz w:val="22"/>
        </w:rPr>
        <w:t>The community partner identified for this project is Government Junior College, Vizianagaram Town (College Code: 02197, U-DISE Code: 28122800110). The institution serves rural Class XII students from surrounding villages in Vizianagaram district. As these students approach graduation from senior secondary school, they face immediate financial touchpoints including managing college admission fees, applying for government scholarships, opening individual bank accounts, and using smartphone-based payment apps.</w:t>
      </w:r>
    </w:p>
    <w:p>
      <w:pPr>
        <w:keepNext/>
        <w:spacing w:before="280" w:after="80"/>
      </w:pPr>
      <w:r>
        <w:rPr>
          <w:rFonts w:ascii="Arial" w:hAnsi="Arial"/>
          <w:b/>
          <w:color w:val="2F3E46"/>
          <w:sz w:val="26"/>
        </w:rPr>
        <w:t>1.2 Need for the Project</w:t>
      </w:r>
    </w:p>
    <w:p>
      <w:pPr>
        <w:spacing w:after="120" w:line="276" w:lineRule="auto"/>
      </w:pPr>
      <w:r>
        <w:rPr>
          <w:rFonts w:ascii="Calibri" w:hAnsi="Calibri"/>
          <w:color w:val="212529"/>
          <w:sz w:val="22"/>
        </w:rPr>
        <w:t>Rural Class XII students face specific financial literacy challenges that make structured intervention essential:</w:t>
      </w:r>
    </w:p>
    <w:p>
      <w:pPr>
        <w:pStyle w:val="ListBullet"/>
        <w:spacing w:after="60" w:line="276" w:lineRule="auto"/>
      </w:pPr>
      <w:r>
        <w:rPr>
          <w:rFonts w:ascii="Calibri" w:hAnsi="Calibri"/>
          <w:b/>
          <w:color w:val="212529"/>
          <w:sz w:val="22"/>
        </w:rPr>
        <w:t xml:space="preserve">Digital Exposure: </w:t>
      </w:r>
      <w:r>
        <w:rPr>
          <w:rFonts w:ascii="Calibri" w:hAnsi="Calibri"/>
          <w:color w:val="212529"/>
          <w:sz w:val="22"/>
        </w:rPr>
        <w:t>High Smartphone Penetration vs Low Fraud Awareness: While majority of rural students have access to smartphones and personal/family UPI handles, they receive zero formal training on digital payment security, OTP confidentiality, or fake QR code detection.</w:t>
      </w:r>
    </w:p>
    <w:p>
      <w:pPr>
        <w:pStyle w:val="ListBullet"/>
        <w:spacing w:after="60" w:line="276" w:lineRule="auto"/>
      </w:pPr>
      <w:r>
        <w:rPr>
          <w:rFonts w:ascii="Calibri" w:hAnsi="Calibri"/>
          <w:b/>
          <w:color w:val="212529"/>
          <w:sz w:val="22"/>
        </w:rPr>
        <w:t xml:space="preserve">Cyber Vulnerability: </w:t>
      </w:r>
      <w:r>
        <w:rPr>
          <w:rFonts w:ascii="Calibri" w:hAnsi="Calibri"/>
          <w:color w:val="212529"/>
          <w:sz w:val="22"/>
        </w:rPr>
        <w:t>Vulnerability to Cyber Scams: Emerging digital payment users in rural areas are primary targets for phishing, bogus lottery schemes, and unauthorized loan app traps.</w:t>
      </w:r>
    </w:p>
    <w:p>
      <w:pPr>
        <w:pStyle w:val="ListBullet"/>
        <w:spacing w:after="60" w:line="276" w:lineRule="auto"/>
      </w:pPr>
      <w:r>
        <w:rPr>
          <w:rFonts w:ascii="Calibri" w:hAnsi="Calibri"/>
          <w:b/>
          <w:color w:val="212529"/>
          <w:sz w:val="22"/>
        </w:rPr>
        <w:t xml:space="preserve">Information Deficit: </w:t>
      </w:r>
      <w:r>
        <w:rPr>
          <w:rFonts w:ascii="Calibri" w:hAnsi="Calibri"/>
          <w:color w:val="212529"/>
          <w:sz w:val="22"/>
        </w:rPr>
        <w:t>Underutilization of Government Schemes: Many students from low-income rural households remain unaware of central and state welfare initiatives, such as the PM Scholarship, education loan interest subsidies, and zero-balance Jan Dhan accounts.</w:t>
      </w:r>
    </w:p>
    <w:p>
      <w:pPr>
        <w:pStyle w:val="ListBullet"/>
        <w:spacing w:after="60" w:line="276" w:lineRule="auto"/>
      </w:pPr>
      <w:r>
        <w:rPr>
          <w:rFonts w:ascii="Calibri" w:hAnsi="Calibri"/>
          <w:b/>
          <w:color w:val="212529"/>
          <w:sz w:val="22"/>
        </w:rPr>
        <w:t xml:space="preserve">Timing: </w:t>
      </w:r>
      <w:r>
        <w:rPr>
          <w:rFonts w:ascii="Calibri" w:hAnsi="Calibri"/>
          <w:color w:val="212529"/>
          <w:sz w:val="22"/>
        </w:rPr>
        <w:t>Class XII as a Critical Decision Point: Class XII represents the final shared classroom environment where structured financial education can be delivered uniformly before students scatter into higher studies or employment.</w:t>
      </w:r>
    </w:p>
    <w:p>
      <w:pPr>
        <w:keepNext/>
        <w:spacing w:before="280" w:after="80"/>
      </w:pPr>
      <w:r>
        <w:rPr>
          <w:rFonts w:ascii="Arial" w:hAnsi="Arial"/>
          <w:b/>
          <w:color w:val="2F3E46"/>
          <w:sz w:val="26"/>
        </w:rPr>
        <w:t>1.3 Target Community &amp; Beneficiaries</w:t>
      </w:r>
    </w:p>
    <w:p>
      <w:pPr>
        <w:spacing w:after="120" w:line="276" w:lineRule="auto"/>
      </w:pPr>
      <w:r>
        <w:rPr>
          <w:rFonts w:ascii="Calibri" w:hAnsi="Calibri"/>
          <w:color w:val="212529"/>
          <w:sz w:val="22"/>
        </w:rPr>
        <w:t>Primary Beneficiaries: 37 Class XII students enrolled at Govt. Junior College, Vizianagaram Town who actively attended the awareness modules and completed both evaluation phases.</w:t>
      </w:r>
    </w:p>
    <w:p>
      <w:pPr>
        <w:spacing w:after="120" w:line="276" w:lineRule="auto"/>
      </w:pPr>
      <w:r>
        <w:rPr>
          <w:rFonts w:ascii="Calibri" w:hAnsi="Calibri"/>
          <w:color w:val="212529"/>
          <w:sz w:val="22"/>
        </w:rPr>
        <w:t>Secondary Beneficiaries: Teaching staff and parents who benefited from the personal finance handouts brought home by students, extending financial awareness to surrounding rural households.</w:t>
      </w:r>
    </w:p>
    <w:p>
      <w:pPr>
        <w:keepNext/>
        <w:spacing w:before="280" w:after="80"/>
      </w:pPr>
      <w:r>
        <w:rPr>
          <w:rFonts w:ascii="Arial" w:hAnsi="Arial"/>
          <w:b/>
          <w:color w:val="2F3E46"/>
          <w:sz w:val="26"/>
        </w:rPr>
        <w:t>1.4 Motivation</w:t>
      </w:r>
    </w:p>
    <w:p>
      <w:pPr>
        <w:spacing w:after="120" w:line="276" w:lineRule="auto"/>
      </w:pPr>
      <w:r>
        <w:rPr>
          <w:rFonts w:ascii="Calibri" w:hAnsi="Calibri"/>
          <w:color w:val="212529"/>
          <w:sz w:val="22"/>
        </w:rPr>
        <w:t>Our team selected Problem Statement PS090 under the Education domain because bridging the financial knowledge gap empowers rural youth to navigate digital finances safely. By combining structured classroom instruction with rigorous pre/post evaluation, this project delivers measurable impact that protects rural students from digital fraud while encouraging healthy financial habits.</w:t>
      </w:r>
    </w:p>
    <w:p>
      <w:r>
        <w:br w:type="page"/>
      </w:r>
    </w:p>
    <w:p>
      <w:pPr>
        <w:keepNext/>
        <w:spacing w:before="360" w:after="120"/>
      </w:pPr>
      <w:r>
        <w:rPr>
          <w:rFonts w:ascii="Arial" w:hAnsi="Arial"/>
          <w:b/>
          <w:color w:val="0F2043"/>
          <w:sz w:val="32"/>
        </w:rPr>
        <w:t>CHAPTER 2: PROBLEM IDENTIFICATION &amp; PROPOSAL</w:t>
      </w:r>
    </w:p>
    <w:p>
      <w:pPr>
        <w:keepNext/>
        <w:spacing w:before="280" w:after="80"/>
      </w:pPr>
      <w:r>
        <w:rPr>
          <w:rFonts w:ascii="Arial" w:hAnsi="Arial"/>
          <w:b/>
          <w:color w:val="2F3E46"/>
          <w:sz w:val="26"/>
        </w:rPr>
        <w:t>2.1 Baseline Survey Findings</w:t>
      </w:r>
    </w:p>
    <w:p>
      <w:pPr>
        <w:spacing w:after="120" w:line="276" w:lineRule="auto"/>
      </w:pPr>
      <w:r>
        <w:rPr>
          <w:rFonts w:ascii="Calibri" w:hAnsi="Calibri"/>
          <w:color w:val="212529"/>
          <w:sz w:val="22"/>
        </w:rPr>
        <w:t>To quantify the baseline financial knowledge of the target community, a 15-mark multiple-choice question (MCQ) pre-test was conducted prior to the awareness session. The assessment covered four core domain areas: (1) Savings &amp; Banking habits, (2) UPI &amp; Digital Payment safety, (3) Insurance &amp; Government Schemes, and (4) Financial Planning &amp; Budgeting.</w:t>
      </w:r>
    </w:p>
    <w:p>
      <w:pPr>
        <w:spacing w:after="120" w:line="276" w:lineRule="auto"/>
      </w:pPr>
      <w:r>
        <w:rPr>
          <w:rFonts w:ascii="Calibri" w:hAnsi="Calibri"/>
          <w:color w:val="212529"/>
          <w:sz w:val="22"/>
        </w:rPr>
        <w:t>Baseline Pre-Test Findings:</w:t>
      </w:r>
    </w:p>
    <w:p>
      <w:pPr>
        <w:pStyle w:val="ListBullet"/>
        <w:spacing w:after="60" w:line="276" w:lineRule="auto"/>
      </w:pPr>
      <w:r>
        <w:rPr>
          <w:rFonts w:ascii="Calibri" w:hAnsi="Calibri"/>
          <w:b/>
          <w:color w:val="212529"/>
          <w:sz w:val="22"/>
        </w:rPr>
        <w:t xml:space="preserve">Low Initial Knowledge: </w:t>
      </w:r>
      <w:r>
        <w:rPr>
          <w:rFonts w:ascii="Calibri" w:hAnsi="Calibri"/>
          <w:color w:val="212529"/>
          <w:sz w:val="22"/>
        </w:rPr>
        <w:t>The class average baseline score was only 5.1 out of 15 marks (34%), confirming a severe lack of financial awareness.</w:t>
      </w:r>
    </w:p>
    <w:p>
      <w:pPr>
        <w:pStyle w:val="ListBullet"/>
        <w:spacing w:after="60" w:line="276" w:lineRule="auto"/>
      </w:pPr>
      <w:r>
        <w:rPr>
          <w:rFonts w:ascii="Calibri" w:hAnsi="Calibri"/>
          <w:b/>
          <w:color w:val="212529"/>
          <w:sz w:val="22"/>
        </w:rPr>
        <w:t xml:space="preserve">High Failure Rate: </w:t>
      </w:r>
      <w:r>
        <w:rPr>
          <w:rFonts w:ascii="Calibri" w:hAnsi="Calibri"/>
          <w:color w:val="212529"/>
          <w:sz w:val="22"/>
        </w:rPr>
        <w:t>59% of students (22 out of 37) scored below 40% (0–5 marks), indicating widespread unfamiliarity with basic concepts.</w:t>
      </w:r>
    </w:p>
    <w:p>
      <w:pPr>
        <w:pStyle w:val="ListBullet"/>
        <w:spacing w:after="60" w:line="276" w:lineRule="auto"/>
      </w:pPr>
      <w:r>
        <w:rPr>
          <w:rFonts w:ascii="Calibri" w:hAnsi="Calibri"/>
          <w:b/>
          <w:color w:val="212529"/>
          <w:sz w:val="22"/>
        </w:rPr>
        <w:t xml:space="preserve">Zero High Performers: </w:t>
      </w:r>
      <w:r>
        <w:rPr>
          <w:rFonts w:ascii="Calibri" w:hAnsi="Calibri"/>
          <w:color w:val="212529"/>
          <w:sz w:val="22"/>
        </w:rPr>
        <w:t>Zero students (0%) scored above 80% (12+ marks) in the baseline test.</w:t>
      </w:r>
    </w:p>
    <w:p>
      <w:pPr>
        <w:pStyle w:val="ListBullet"/>
        <w:spacing w:after="60" w:line="276" w:lineRule="auto"/>
      </w:pPr>
      <w:r>
        <w:rPr>
          <w:rFonts w:ascii="Calibri" w:hAnsi="Calibri"/>
          <w:b/>
          <w:color w:val="212529"/>
          <w:sz w:val="22"/>
        </w:rPr>
        <w:t xml:space="preserve">UPI Safety Deficit: </w:t>
      </w:r>
      <w:r>
        <w:rPr>
          <w:rFonts w:ascii="Calibri" w:hAnsi="Calibri"/>
          <w:color w:val="212529"/>
          <w:sz w:val="22"/>
        </w:rPr>
        <w:t>Over 75% of students failed to identify the difference between sending and receiving money via UPI QR codes—a primary vulnerability exploited in digital financial fraud.</w:t>
      </w:r>
    </w:p>
    <w:p>
      <w:pPr>
        <w:keepNext/>
        <w:spacing w:before="280" w:after="80"/>
      </w:pPr>
      <w:r>
        <w:rPr>
          <w:rFonts w:ascii="Arial" w:hAnsi="Arial"/>
          <w:b/>
          <w:color w:val="2F3E46"/>
          <w:sz w:val="26"/>
        </w:rPr>
        <w:t>2.2 Finalized Problem Statement</w:t>
      </w:r>
    </w:p>
    <w:p>
      <w:pPr>
        <w:spacing w:after="120" w:line="276" w:lineRule="auto"/>
      </w:pPr>
      <w:r>
        <w:rPr>
          <w:rFonts w:ascii="Calibri" w:hAnsi="Calibri"/>
          <w:b/>
          <w:color w:val="212529"/>
          <w:sz w:val="22"/>
        </w:rPr>
        <w:t xml:space="preserve">PS090 Problem Statement: </w:t>
      </w:r>
      <w:r>
        <w:rPr>
          <w:rFonts w:ascii="Calibri" w:hAnsi="Calibri"/>
          <w:color w:val="212529"/>
          <w:sz w:val="22"/>
        </w:rPr>
        <w:t>Rural Class XII students finish secondary school without structured exposure to banking mechanics, safe UPI practices, insurance instruments, or government financial schemes—leaving them highly vulnerable to digital financial fraud, predatory schemes, and poor money management decisions when entering independent financial life.</w:t>
      </w:r>
    </w:p>
    <w:p>
      <w:pPr>
        <w:keepNext/>
        <w:spacing w:before="280" w:after="80"/>
      </w:pPr>
      <w:r>
        <w:rPr>
          <w:rFonts w:ascii="Arial" w:hAnsi="Arial"/>
          <w:b/>
          <w:color w:val="2F3E46"/>
          <w:sz w:val="26"/>
        </w:rPr>
        <w:t>2.3 Project Objectives</w:t>
      </w:r>
    </w:p>
    <w:p>
      <w:pPr>
        <w:spacing w:after="120" w:line="276" w:lineRule="auto"/>
      </w:pPr>
      <w:r>
        <w:rPr>
          <w:rFonts w:ascii="Calibri" w:hAnsi="Calibri"/>
          <w:color w:val="212529"/>
          <w:sz w:val="22"/>
        </w:rPr>
        <w:t>1. Baseline Evaluation: Assess baseline financial literacy across 37 rural Class XII students using a 15-mark MCQ pre-test.</w:t>
      </w:r>
    </w:p>
    <w:p>
      <w:pPr>
        <w:spacing w:after="120" w:line="276" w:lineRule="auto"/>
      </w:pPr>
      <w:r>
        <w:rPr>
          <w:rFonts w:ascii="Calibri" w:hAnsi="Calibri"/>
          <w:color w:val="212529"/>
          <w:sz w:val="22"/>
        </w:rPr>
        <w:t>2. Interactive Module Delivery: Deliver a structured 4-module interactive awareness session covering Savings, UPI Security, Insurance/Schemes, and Budgeting.</w:t>
      </w:r>
    </w:p>
    <w:p>
      <w:pPr>
        <w:spacing w:after="120" w:line="276" w:lineRule="auto"/>
      </w:pPr>
      <w:r>
        <w:rPr>
          <w:rFonts w:ascii="Calibri" w:hAnsi="Calibri"/>
          <w:color w:val="212529"/>
          <w:sz w:val="22"/>
        </w:rPr>
        <w:t>3. Fraud Prevention Training: Educate students on UPI safety, OTP security, fake QR code detection, and cyber fraud reporting (National Cyber Crime Portal 1930).</w:t>
      </w:r>
    </w:p>
    <w:p>
      <w:pPr>
        <w:spacing w:after="120" w:line="276" w:lineRule="auto"/>
      </w:pPr>
      <w:r>
        <w:rPr>
          <w:rFonts w:ascii="Calibri" w:hAnsi="Calibri"/>
          <w:color w:val="212529"/>
          <w:sz w:val="22"/>
        </w:rPr>
        <w:t>4. Impact Measurement: Administer an identical 15-mark post-test to evaluate individual and aggregate knowledge improvement.</w:t>
      </w:r>
    </w:p>
    <w:p>
      <w:pPr>
        <w:spacing w:after="120" w:line="276" w:lineRule="auto"/>
      </w:pPr>
      <w:r>
        <w:rPr>
          <w:rFonts w:ascii="Calibri" w:hAnsi="Calibri"/>
          <w:color w:val="212529"/>
          <w:sz w:val="22"/>
        </w:rPr>
        <w:t>5. Sustainable Deliverable: Distribute concise personal finance summary handouts for student reference.</w:t>
      </w:r>
    </w:p>
    <w:p>
      <w:r>
        <w:br w:type="page"/>
      </w:r>
    </w:p>
    <w:p>
      <w:pPr>
        <w:keepNext/>
        <w:spacing w:before="360" w:after="120"/>
      </w:pPr>
      <w:r>
        <w:rPr>
          <w:rFonts w:ascii="Arial" w:hAnsi="Arial"/>
          <w:b/>
          <w:color w:val="0F2043"/>
          <w:sz w:val="32"/>
        </w:rPr>
        <w:t>CHAPTER 3: PLANNING &amp; STRATEGY</w:t>
      </w:r>
    </w:p>
    <w:p>
      <w:pPr>
        <w:keepNext/>
        <w:spacing w:before="280" w:after="80"/>
      </w:pPr>
      <w:r>
        <w:rPr>
          <w:rFonts w:ascii="Arial" w:hAnsi="Arial"/>
          <w:b/>
          <w:color w:val="2F3E46"/>
          <w:sz w:val="26"/>
        </w:rPr>
        <w:t>3.1 Stakeholders &amp; Partnership</w:t>
      </w:r>
    </w:p>
    <w:p>
      <w:pPr>
        <w:spacing w:after="120" w:line="276" w:lineRule="auto"/>
      </w:pPr>
      <w:r>
        <w:rPr>
          <w:rFonts w:ascii="Calibri" w:hAnsi="Calibri"/>
          <w:color w:val="212529"/>
          <w:sz w:val="22"/>
        </w:rPr>
        <w:t>The project involved multi-level stakeholder coordination to ensure administrative compliance, institutional support, and community engagement: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F5F7FA"/>
            <w:tcMar>
              <w:top w:w="60" w:type="dxa"/>
              <w:bottom w:w="60" w:type="dxa"/>
              <w:left w:w="80" w:type="dxa"/>
              <w:right w:w="80" w:type="dxa"/>
            </w:tcMar>
          </w:tcPr>
          <w:p>
            <w:r>
              <w:rPr>
                <w:b/>
                <w:color w:val="0F2043"/>
              </w:rPr>
              <w:t>Stakeholder Group</w:t>
            </w:r>
          </w:p>
        </w:tc>
        <w:tc>
          <w:tcPr>
            <w:tcW w:type="dxa" w:w="3120"/>
            <w:shd w:fill="F5F7FA"/>
            <w:tcMar>
              <w:top w:w="60" w:type="dxa"/>
              <w:bottom w:w="60" w:type="dxa"/>
              <w:left w:w="80" w:type="dxa"/>
              <w:right w:w="80" w:type="dxa"/>
            </w:tcMar>
          </w:tcPr>
          <w:p>
            <w:r>
              <w:rPr>
                <w:b/>
                <w:color w:val="0F2043"/>
              </w:rPr>
              <w:t>Entity / Personnel</w:t>
            </w:r>
          </w:p>
        </w:tc>
        <w:tc>
          <w:tcPr>
            <w:tcW w:type="dxa" w:w="3120"/>
            <w:shd w:fill="F5F7FA"/>
            <w:tcMar>
              <w:top w:w="60" w:type="dxa"/>
              <w:bottom w:w="60" w:type="dxa"/>
              <w:left w:w="80" w:type="dxa"/>
              <w:right w:w="80" w:type="dxa"/>
            </w:tcMar>
          </w:tcPr>
          <w:p>
            <w:r>
              <w:rPr>
                <w:b/>
                <w:color w:val="0F2043"/>
              </w:rPr>
              <w:t>Role &amp; Contribution</w:t>
            </w:r>
          </w:p>
        </w:tc>
      </w:tr>
      <w:tr>
        <w:tc>
          <w:tcPr>
            <w:tcW w:type="dxa" w:w="3120"/>
            <w:tcMar>
              <w:top w:w="60" w:type="dxa"/>
              <w:bottom w:w="60" w:type="dxa"/>
              <w:left w:w="80" w:type="dxa"/>
              <w:right w:w="80" w:type="dxa"/>
            </w:tcMar>
          </w:tcPr>
          <w:p>
            <w:r>
              <w:rPr>
                <w:sz w:val="19"/>
              </w:rPr>
              <w:t>Academic Guidance</w:t>
            </w:r>
          </w:p>
        </w:tc>
        <w:tc>
          <w:tcPr>
            <w:tcW w:type="dxa" w:w="3120"/>
            <w:tcMar>
              <w:top w:w="60" w:type="dxa"/>
              <w:bottom w:w="60" w:type="dxa"/>
              <w:left w:w="80" w:type="dxa"/>
              <w:right w:w="80" w:type="dxa"/>
            </w:tcMar>
          </w:tcPr>
          <w:p>
            <w:r>
              <w:rPr>
                <w:sz w:val="19"/>
              </w:rPr>
              <w:t>Dr. P. Rama Santosh Naidu &amp; Mr. R. Ravi Kumar (Dept. of CSE, MVGR)</w:t>
            </w:r>
          </w:p>
        </w:tc>
        <w:tc>
          <w:tcPr>
            <w:tcW w:type="dxa" w:w="3120"/>
            <w:tcMar>
              <w:top w:w="60" w:type="dxa"/>
              <w:bottom w:w="60" w:type="dxa"/>
              <w:left w:w="80" w:type="dxa"/>
              <w:right w:w="80" w:type="dxa"/>
            </w:tcMar>
          </w:tcPr>
          <w:p>
            <w:r>
              <w:rPr>
                <w:sz w:val="19"/>
              </w:rPr>
              <w:t>Project oversight, curriculum approval, review evaluation</w:t>
            </w:r>
          </w:p>
        </w:tc>
      </w:tr>
      <w:tr>
        <w:tc>
          <w:tcPr>
            <w:tcW w:type="dxa" w:w="3120"/>
            <w:tcMar>
              <w:top w:w="60" w:type="dxa"/>
              <w:bottom w:w="60" w:type="dxa"/>
              <w:left w:w="80" w:type="dxa"/>
              <w:right w:w="80" w:type="dxa"/>
            </w:tcMar>
          </w:tcPr>
          <w:p>
            <w:r>
              <w:rPr>
                <w:sz w:val="19"/>
              </w:rPr>
              <w:t>Community Partner</w:t>
            </w:r>
          </w:p>
        </w:tc>
        <w:tc>
          <w:tcPr>
            <w:tcW w:type="dxa" w:w="3120"/>
            <w:tcMar>
              <w:top w:w="60" w:type="dxa"/>
              <w:bottom w:w="60" w:type="dxa"/>
              <w:left w:w="80" w:type="dxa"/>
              <w:right w:w="80" w:type="dxa"/>
            </w:tcMar>
          </w:tcPr>
          <w:p>
            <w:r>
              <w:rPr>
                <w:sz w:val="19"/>
              </w:rPr>
              <w:t>Govt. Junior College, Vizianagaram Town (Code: 02197)</w:t>
            </w:r>
          </w:p>
        </w:tc>
        <w:tc>
          <w:tcPr>
            <w:tcW w:type="dxa" w:w="3120"/>
            <w:tcMar>
              <w:top w:w="60" w:type="dxa"/>
              <w:bottom w:w="60" w:type="dxa"/>
              <w:left w:w="80" w:type="dxa"/>
              <w:right w:w="80" w:type="dxa"/>
            </w:tcMar>
          </w:tcPr>
          <w:p>
            <w:r>
              <w:rPr>
                <w:sz w:val="19"/>
              </w:rPr>
              <w:t>Venue partner, permission grant, student coordination</w:t>
            </w:r>
          </w:p>
        </w:tc>
      </w:tr>
      <w:tr>
        <w:tc>
          <w:tcPr>
            <w:tcW w:type="dxa" w:w="3120"/>
            <w:tcMar>
              <w:top w:w="60" w:type="dxa"/>
              <w:bottom w:w="60" w:type="dxa"/>
              <w:left w:w="80" w:type="dxa"/>
              <w:right w:w="80" w:type="dxa"/>
            </w:tcMar>
          </w:tcPr>
          <w:p>
            <w:r>
              <w:rPr>
                <w:sz w:val="19"/>
              </w:rPr>
              <w:t>Primary Beneficiaries</w:t>
            </w:r>
          </w:p>
        </w:tc>
        <w:tc>
          <w:tcPr>
            <w:tcW w:type="dxa" w:w="3120"/>
            <w:tcMar>
              <w:top w:w="60" w:type="dxa"/>
              <w:bottom w:w="60" w:type="dxa"/>
              <w:left w:w="80" w:type="dxa"/>
              <w:right w:w="80" w:type="dxa"/>
            </w:tcMar>
          </w:tcPr>
          <w:p>
            <w:r>
              <w:rPr>
                <w:sz w:val="19"/>
              </w:rPr>
              <w:t>37 Class XII Rural Students</w:t>
            </w:r>
          </w:p>
        </w:tc>
        <w:tc>
          <w:tcPr>
            <w:tcW w:type="dxa" w:w="3120"/>
            <w:tcMar>
              <w:top w:w="60" w:type="dxa"/>
              <w:bottom w:w="60" w:type="dxa"/>
              <w:left w:w="80" w:type="dxa"/>
              <w:right w:w="80" w:type="dxa"/>
            </w:tcMar>
          </w:tcPr>
          <w:p>
            <w:r>
              <w:rPr>
                <w:sz w:val="19"/>
              </w:rPr>
              <w:t>Active session participants, pre/post test respondents</w:t>
            </w:r>
          </w:p>
        </w:tc>
      </w:tr>
      <w:tr>
        <w:tc>
          <w:tcPr>
            <w:tcW w:type="dxa" w:w="3120"/>
            <w:tcMar>
              <w:top w:w="60" w:type="dxa"/>
              <w:bottom w:w="60" w:type="dxa"/>
              <w:left w:w="80" w:type="dxa"/>
              <w:right w:w="80" w:type="dxa"/>
            </w:tcMar>
          </w:tcPr>
          <w:p>
            <w:r>
              <w:rPr>
                <w:sz w:val="19"/>
              </w:rPr>
              <w:t>Student Project Team</w:t>
            </w:r>
          </w:p>
        </w:tc>
        <w:tc>
          <w:tcPr>
            <w:tcW w:type="dxa" w:w="3120"/>
            <w:tcMar>
              <w:top w:w="60" w:type="dxa"/>
              <w:bottom w:w="60" w:type="dxa"/>
              <w:left w:w="80" w:type="dxa"/>
              <w:right w:w="80" w:type="dxa"/>
            </w:tcMar>
          </w:tcPr>
          <w:p>
            <w:r>
              <w:rPr>
                <w:sz w:val="19"/>
              </w:rPr>
              <w:t>BATCH-13D (Suri Reddy, Rohith, Lalith, Likitha)</w:t>
            </w:r>
          </w:p>
        </w:tc>
        <w:tc>
          <w:tcPr>
            <w:tcW w:type="dxa" w:w="3120"/>
            <w:tcMar>
              <w:top w:w="60" w:type="dxa"/>
              <w:bottom w:w="60" w:type="dxa"/>
              <w:left w:w="80" w:type="dxa"/>
              <w:right w:w="80" w:type="dxa"/>
            </w:tcMar>
          </w:tcPr>
          <w:p>
            <w:r>
              <w:rPr>
                <w:sz w:val="19"/>
              </w:rPr>
              <w:t>Needs assessment, module design, field delivery, data analysis</w:t>
            </w:r>
          </w:p>
        </w:tc>
      </w:tr>
    </w:tbl>
    <w:p>
      <w:pPr>
        <w:keepNext/>
        <w:spacing w:before="280" w:after="80"/>
      </w:pPr>
      <w:r>
        <w:rPr>
          <w:rFonts w:ascii="Arial" w:hAnsi="Arial"/>
          <w:b/>
          <w:color w:val="2F3E46"/>
          <w:sz w:val="26"/>
        </w:rPr>
        <w:t>3.2 Team Roles &amp; Responsibilities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F5F7FA"/>
            <w:tcMar>
              <w:top w:w="60" w:type="dxa"/>
              <w:bottom w:w="60" w:type="dxa"/>
              <w:left w:w="80" w:type="dxa"/>
              <w:right w:w="80" w:type="dxa"/>
            </w:tcMar>
          </w:tcPr>
          <w:p>
            <w:r>
              <w:rPr>
                <w:b/>
                <w:color w:val="0F2043"/>
              </w:rPr>
              <w:t>Team Member</w:t>
            </w:r>
          </w:p>
        </w:tc>
        <w:tc>
          <w:tcPr>
            <w:tcW w:type="dxa" w:w="2340"/>
            <w:shd w:fill="F5F7FA"/>
            <w:tcMar>
              <w:top w:w="60" w:type="dxa"/>
              <w:bottom w:w="60" w:type="dxa"/>
              <w:left w:w="80" w:type="dxa"/>
              <w:right w:w="80" w:type="dxa"/>
            </w:tcMar>
          </w:tcPr>
          <w:p>
            <w:r>
              <w:rPr>
                <w:b/>
                <w:color w:val="0F2043"/>
              </w:rPr>
              <w:t>Roll Number</w:t>
            </w:r>
          </w:p>
        </w:tc>
        <w:tc>
          <w:tcPr>
            <w:tcW w:type="dxa" w:w="2340"/>
            <w:shd w:fill="F5F7FA"/>
            <w:tcMar>
              <w:top w:w="60" w:type="dxa"/>
              <w:bottom w:w="60" w:type="dxa"/>
              <w:left w:w="80" w:type="dxa"/>
              <w:right w:w="80" w:type="dxa"/>
            </w:tcMar>
          </w:tcPr>
          <w:p>
            <w:r>
              <w:rPr>
                <w:b/>
                <w:color w:val="0F2043"/>
              </w:rPr>
              <w:t>Assigned Project Role</w:t>
            </w:r>
          </w:p>
        </w:tc>
        <w:tc>
          <w:tcPr>
            <w:tcW w:type="dxa" w:w="2340"/>
            <w:shd w:fill="F5F7FA"/>
            <w:tcMar>
              <w:top w:w="60" w:type="dxa"/>
              <w:bottom w:w="60" w:type="dxa"/>
              <w:left w:w="80" w:type="dxa"/>
              <w:right w:w="80" w:type="dxa"/>
            </w:tcMar>
          </w:tcPr>
          <w:p>
            <w:r>
              <w:rPr>
                <w:b/>
                <w:color w:val="0F2043"/>
              </w:rPr>
              <w:t>Specific Deliverables</w:t>
            </w:r>
          </w:p>
        </w:tc>
      </w:tr>
      <w:tr>
        <w:tc>
          <w:tcPr>
            <w:tcW w:type="dxa" w:w="2340"/>
            <w:tcMar>
              <w:top w:w="60" w:type="dxa"/>
              <w:bottom w:w="60" w:type="dxa"/>
              <w:left w:w="80" w:type="dxa"/>
              <w:right w:w="80" w:type="dxa"/>
            </w:tcMar>
          </w:tcPr>
          <w:p>
            <w:r>
              <w:rPr>
                <w:sz w:val="19"/>
              </w:rPr>
              <w:t>Pitta Venkata Suri Reddy</w:t>
            </w:r>
          </w:p>
        </w:tc>
        <w:tc>
          <w:tcPr>
            <w:tcW w:type="dxa" w:w="2340"/>
            <w:tcMar>
              <w:top w:w="60" w:type="dxa"/>
              <w:bottom w:w="60" w:type="dxa"/>
              <w:left w:w="80" w:type="dxa"/>
              <w:right w:w="80" w:type="dxa"/>
            </w:tcMar>
          </w:tcPr>
          <w:p>
            <w:r>
              <w:rPr>
                <w:sz w:val="19"/>
              </w:rPr>
              <w:t>24331A05N4</w:t>
            </w:r>
          </w:p>
        </w:tc>
        <w:tc>
          <w:tcPr>
            <w:tcW w:type="dxa" w:w="2340"/>
            <w:tcMar>
              <w:top w:w="60" w:type="dxa"/>
              <w:bottom w:w="60" w:type="dxa"/>
              <w:left w:w="80" w:type="dxa"/>
              <w:right w:w="80" w:type="dxa"/>
            </w:tcMar>
          </w:tcPr>
          <w:p>
            <w:r>
              <w:rPr>
                <w:sz w:val="19"/>
              </w:rPr>
              <w:t>Batch Leader &amp; Module 1 Lead</w:t>
            </w:r>
          </w:p>
        </w:tc>
        <w:tc>
          <w:tcPr>
            <w:tcW w:type="dxa" w:w="2340"/>
            <w:tcMar>
              <w:top w:w="60" w:type="dxa"/>
              <w:bottom w:w="60" w:type="dxa"/>
              <w:left w:w="80" w:type="dxa"/>
              <w:right w:w="80" w:type="dxa"/>
            </w:tcMar>
          </w:tcPr>
          <w:p>
            <w:r>
              <w:rPr>
                <w:sz w:val="19"/>
              </w:rPr>
              <w:t>Institutional communication, logistics, Module 1 (Savings &amp; Banking) delivery</w:t>
            </w:r>
          </w:p>
        </w:tc>
      </w:tr>
      <w:tr>
        <w:tc>
          <w:tcPr>
            <w:tcW w:type="dxa" w:w="2340"/>
            <w:tcMar>
              <w:top w:w="60" w:type="dxa"/>
              <w:bottom w:w="60" w:type="dxa"/>
              <w:left w:w="80" w:type="dxa"/>
              <w:right w:w="80" w:type="dxa"/>
            </w:tcMar>
          </w:tcPr>
          <w:p>
            <w:r>
              <w:rPr>
                <w:sz w:val="19"/>
              </w:rPr>
              <w:t>Pontapalli Rohith</w:t>
            </w:r>
          </w:p>
        </w:tc>
        <w:tc>
          <w:tcPr>
            <w:tcW w:type="dxa" w:w="2340"/>
            <w:tcMar>
              <w:top w:w="60" w:type="dxa"/>
              <w:bottom w:w="60" w:type="dxa"/>
              <w:left w:w="80" w:type="dxa"/>
              <w:right w:w="80" w:type="dxa"/>
            </w:tcMar>
          </w:tcPr>
          <w:p>
            <w:r>
              <w:rPr>
                <w:sz w:val="19"/>
              </w:rPr>
              <w:t>24331A05N6</w:t>
            </w:r>
          </w:p>
        </w:tc>
        <w:tc>
          <w:tcPr>
            <w:tcW w:type="dxa" w:w="2340"/>
            <w:tcMar>
              <w:top w:w="60" w:type="dxa"/>
              <w:bottom w:w="60" w:type="dxa"/>
              <w:left w:w="80" w:type="dxa"/>
              <w:right w:w="80" w:type="dxa"/>
            </w:tcMar>
          </w:tcPr>
          <w:p>
            <w:r>
              <w:rPr>
                <w:sz w:val="19"/>
              </w:rPr>
              <w:t>Session Lead &amp; Technical Support</w:t>
            </w:r>
          </w:p>
        </w:tc>
        <w:tc>
          <w:tcPr>
            <w:tcW w:type="dxa" w:w="2340"/>
            <w:tcMar>
              <w:top w:w="60" w:type="dxa"/>
              <w:bottom w:w="60" w:type="dxa"/>
              <w:left w:w="80" w:type="dxa"/>
              <w:right w:w="80" w:type="dxa"/>
            </w:tcMar>
          </w:tcPr>
          <w:p>
            <w:r>
              <w:rPr>
                <w:sz w:val="19"/>
              </w:rPr>
              <w:t>Module 2 (UPI &amp; Digital Safety) delivery, slide deck preparation, report editing</w:t>
            </w:r>
          </w:p>
        </w:tc>
      </w:tr>
      <w:tr>
        <w:tc>
          <w:tcPr>
            <w:tcW w:type="dxa" w:w="2340"/>
            <w:tcMar>
              <w:top w:w="60" w:type="dxa"/>
              <w:bottom w:w="60" w:type="dxa"/>
              <w:left w:w="80" w:type="dxa"/>
              <w:right w:w="80" w:type="dxa"/>
            </w:tcMar>
          </w:tcPr>
          <w:p>
            <w:r>
              <w:rPr>
                <w:sz w:val="19"/>
              </w:rPr>
              <w:t>Pentakota Lalith Lakshya</w:t>
            </w:r>
          </w:p>
        </w:tc>
        <w:tc>
          <w:tcPr>
            <w:tcW w:type="dxa" w:w="2340"/>
            <w:tcMar>
              <w:top w:w="60" w:type="dxa"/>
              <w:bottom w:w="60" w:type="dxa"/>
              <w:left w:w="80" w:type="dxa"/>
              <w:right w:w="80" w:type="dxa"/>
            </w:tcMar>
          </w:tcPr>
          <w:p>
            <w:r>
              <w:rPr>
                <w:sz w:val="19"/>
              </w:rPr>
              <w:t>24331A05M8</w:t>
            </w:r>
          </w:p>
        </w:tc>
        <w:tc>
          <w:tcPr>
            <w:tcW w:type="dxa" w:w="2340"/>
            <w:tcMar>
              <w:top w:w="60" w:type="dxa"/>
              <w:bottom w:w="60" w:type="dxa"/>
              <w:left w:w="80" w:type="dxa"/>
              <w:right w:w="80" w:type="dxa"/>
            </w:tcMar>
          </w:tcPr>
          <w:p>
            <w:r>
              <w:rPr>
                <w:sz w:val="19"/>
              </w:rPr>
              <w:t>Community &amp; Data Lead</w:t>
            </w:r>
          </w:p>
        </w:tc>
        <w:tc>
          <w:tcPr>
            <w:tcW w:type="dxa" w:w="2340"/>
            <w:tcMar>
              <w:top w:w="60" w:type="dxa"/>
              <w:bottom w:w="60" w:type="dxa"/>
              <w:left w:w="80" w:type="dxa"/>
              <w:right w:w="80" w:type="dxa"/>
            </w:tcMar>
          </w:tcPr>
          <w:p>
            <w:r>
              <w:rPr>
                <w:sz w:val="19"/>
              </w:rPr>
              <w:t>Module 3 (Insurance &amp; Schemes) delivery, assessment form creation, score data analysis</w:t>
            </w:r>
          </w:p>
        </w:tc>
      </w:tr>
      <w:tr>
        <w:tc>
          <w:tcPr>
            <w:tcW w:type="dxa" w:w="2340"/>
            <w:tcMar>
              <w:top w:w="60" w:type="dxa"/>
              <w:bottom w:w="60" w:type="dxa"/>
              <w:left w:w="80" w:type="dxa"/>
              <w:right w:w="80" w:type="dxa"/>
            </w:tcMar>
          </w:tcPr>
          <w:p>
            <w:r>
              <w:rPr>
                <w:sz w:val="19"/>
              </w:rPr>
              <w:t>Polaki Likitha</w:t>
            </w:r>
          </w:p>
        </w:tc>
        <w:tc>
          <w:tcPr>
            <w:tcW w:type="dxa" w:w="2340"/>
            <w:tcMar>
              <w:top w:w="60" w:type="dxa"/>
              <w:bottom w:w="60" w:type="dxa"/>
              <w:left w:w="80" w:type="dxa"/>
              <w:right w:w="80" w:type="dxa"/>
            </w:tcMar>
          </w:tcPr>
          <w:p>
            <w:r>
              <w:rPr>
                <w:sz w:val="19"/>
              </w:rPr>
              <w:t>25335A0520</w:t>
            </w:r>
          </w:p>
        </w:tc>
        <w:tc>
          <w:tcPr>
            <w:tcW w:type="dxa" w:w="2340"/>
            <w:tcMar>
              <w:top w:w="60" w:type="dxa"/>
              <w:bottom w:w="60" w:type="dxa"/>
              <w:left w:w="80" w:type="dxa"/>
              <w:right w:w="80" w:type="dxa"/>
            </w:tcMar>
          </w:tcPr>
          <w:p>
            <w:r>
              <w:rPr>
                <w:sz w:val="19"/>
              </w:rPr>
              <w:t>Field Logistics &amp; Module 4 Lead</w:t>
            </w:r>
          </w:p>
        </w:tc>
        <w:tc>
          <w:tcPr>
            <w:tcW w:type="dxa" w:w="2340"/>
            <w:tcMar>
              <w:top w:w="60" w:type="dxa"/>
              <w:bottom w:w="60" w:type="dxa"/>
              <w:left w:w="80" w:type="dxa"/>
              <w:right w:w="80" w:type="dxa"/>
            </w:tcMar>
          </w:tcPr>
          <w:p>
            <w:r>
              <w:rPr>
                <w:sz w:val="19"/>
              </w:rPr>
              <w:t>Module 4 (Financial Planning) delivery, photography, attendance &amp; paper collection</w:t>
            </w:r>
          </w:p>
        </w:tc>
      </w:tr>
    </w:tbl>
    <w:p>
      <w:pPr>
        <w:keepNext/>
        <w:spacing w:before="280" w:after="80"/>
      </w:pPr>
      <w:r>
        <w:rPr>
          <w:rFonts w:ascii="Arial" w:hAnsi="Arial"/>
          <w:b/>
          <w:color w:val="2F3E46"/>
          <w:sz w:val="26"/>
        </w:rPr>
        <w:t>3.3 Schedule &amp; Timeline</w:t>
      </w:r>
    </w:p>
    <w:p>
      <w:pPr>
        <w:spacing w:after="120" w:line="276" w:lineRule="auto"/>
      </w:pPr>
      <w:r>
        <w:rPr>
          <w:rFonts w:ascii="Calibri" w:hAnsi="Calibri"/>
          <w:color w:val="212529"/>
          <w:sz w:val="22"/>
        </w:rPr>
        <w:t>The project was executed systematically across Sem V according to the official academic timeline: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F5F7FA"/>
            <w:tcMar>
              <w:top w:w="60" w:type="dxa"/>
              <w:bottom w:w="60" w:type="dxa"/>
              <w:left w:w="80" w:type="dxa"/>
              <w:right w:w="80" w:type="dxa"/>
            </w:tcMar>
          </w:tcPr>
          <w:p>
            <w:r>
              <w:rPr>
                <w:b/>
                <w:color w:val="0F2043"/>
              </w:rPr>
              <w:t>Phase / Stage</w:t>
            </w:r>
          </w:p>
        </w:tc>
        <w:tc>
          <w:tcPr>
            <w:tcW w:type="dxa" w:w="2340"/>
            <w:shd w:fill="F5F7FA"/>
            <w:tcMar>
              <w:top w:w="60" w:type="dxa"/>
              <w:bottom w:w="60" w:type="dxa"/>
              <w:left w:w="80" w:type="dxa"/>
              <w:right w:w="80" w:type="dxa"/>
            </w:tcMar>
          </w:tcPr>
          <w:p>
            <w:r>
              <w:rPr>
                <w:b/>
                <w:color w:val="0F2043"/>
              </w:rPr>
              <w:t>Planned Activity</w:t>
            </w:r>
          </w:p>
        </w:tc>
        <w:tc>
          <w:tcPr>
            <w:tcW w:type="dxa" w:w="2340"/>
            <w:shd w:fill="F5F7FA"/>
            <w:tcMar>
              <w:top w:w="60" w:type="dxa"/>
              <w:bottom w:w="60" w:type="dxa"/>
              <w:left w:w="80" w:type="dxa"/>
              <w:right w:w="80" w:type="dxa"/>
            </w:tcMar>
          </w:tcPr>
          <w:p>
            <w:r>
              <w:rPr>
                <w:b/>
                <w:color w:val="0F2043"/>
              </w:rPr>
              <w:t>Execution Period</w:t>
            </w:r>
          </w:p>
        </w:tc>
        <w:tc>
          <w:tcPr>
            <w:tcW w:type="dxa" w:w="2340"/>
            <w:shd w:fill="F5F7FA"/>
            <w:tcMar>
              <w:top w:w="60" w:type="dxa"/>
              <w:bottom w:w="60" w:type="dxa"/>
              <w:left w:w="80" w:type="dxa"/>
              <w:right w:w="80" w:type="dxa"/>
            </w:tcMar>
          </w:tcPr>
          <w:p>
            <w:r>
              <w:rPr>
                <w:b/>
                <w:color w:val="0F2043"/>
              </w:rPr>
              <w:t>Status &amp; Output</w:t>
            </w:r>
          </w:p>
        </w:tc>
      </w:tr>
      <w:tr>
        <w:tc>
          <w:tcPr>
            <w:tcW w:type="dxa" w:w="2340"/>
            <w:tcMar>
              <w:top w:w="60" w:type="dxa"/>
              <w:bottom w:w="60" w:type="dxa"/>
              <w:left w:w="80" w:type="dxa"/>
              <w:right w:w="80" w:type="dxa"/>
            </w:tcMar>
          </w:tcPr>
          <w:p>
            <w:r>
              <w:rPr>
                <w:sz w:val="19"/>
              </w:rPr>
              <w:t>Phase 1: Planning</w:t>
            </w:r>
          </w:p>
        </w:tc>
        <w:tc>
          <w:tcPr>
            <w:tcW w:type="dxa" w:w="2340"/>
            <w:tcMar>
              <w:top w:w="60" w:type="dxa"/>
              <w:bottom w:w="60" w:type="dxa"/>
              <w:left w:w="80" w:type="dxa"/>
              <w:right w:w="80" w:type="dxa"/>
            </w:tcMar>
          </w:tcPr>
          <w:p>
            <w:r>
              <w:rPr>
                <w:sz w:val="19"/>
              </w:rPr>
              <w:t>Needs assessment, school identification, pre-test MCQ design</w:t>
            </w:r>
          </w:p>
        </w:tc>
        <w:tc>
          <w:tcPr>
            <w:tcW w:type="dxa" w:w="2340"/>
            <w:tcMar>
              <w:top w:w="60" w:type="dxa"/>
              <w:bottom w:w="60" w:type="dxa"/>
              <w:left w:w="80" w:type="dxa"/>
              <w:right w:w="80" w:type="dxa"/>
            </w:tcMar>
          </w:tcPr>
          <w:p>
            <w:r>
              <w:rPr>
                <w:sz w:val="19"/>
              </w:rPr>
              <w:t>Weeks 2–4</w:t>
            </w:r>
          </w:p>
        </w:tc>
        <w:tc>
          <w:tcPr>
            <w:tcW w:type="dxa" w:w="2340"/>
            <w:tcMar>
              <w:top w:w="60" w:type="dxa"/>
              <w:bottom w:w="60" w:type="dxa"/>
              <w:left w:w="80" w:type="dxa"/>
              <w:right w:w="80" w:type="dxa"/>
            </w:tcMar>
          </w:tcPr>
          <w:p>
            <w:r>
              <w:rPr>
                <w:sz w:val="19"/>
              </w:rPr>
              <w:t>Completed (Review 1 Approved)</w:t>
            </w:r>
          </w:p>
        </w:tc>
      </w:tr>
      <w:tr>
        <w:tc>
          <w:tcPr>
            <w:tcW w:type="dxa" w:w="2340"/>
            <w:tcMar>
              <w:top w:w="60" w:type="dxa"/>
              <w:bottom w:w="60" w:type="dxa"/>
              <w:left w:w="80" w:type="dxa"/>
              <w:right w:w="80" w:type="dxa"/>
            </w:tcMar>
          </w:tcPr>
          <w:p>
            <w:r>
              <w:rPr>
                <w:sz w:val="19"/>
              </w:rPr>
              <w:t>Phase 2: Approval</w:t>
            </w:r>
          </w:p>
        </w:tc>
        <w:tc>
          <w:tcPr>
            <w:tcW w:type="dxa" w:w="2340"/>
            <w:tcMar>
              <w:top w:w="60" w:type="dxa"/>
              <w:bottom w:w="60" w:type="dxa"/>
              <w:left w:w="80" w:type="dxa"/>
              <w:right w:w="80" w:type="dxa"/>
            </w:tcMar>
          </w:tcPr>
          <w:p>
            <w:r>
              <w:rPr>
                <w:sz w:val="19"/>
              </w:rPr>
              <w:t>Formal permission letter from Principal, Govt. Junior College VZM</w:t>
            </w:r>
          </w:p>
        </w:tc>
        <w:tc>
          <w:tcPr>
            <w:tcW w:type="dxa" w:w="2340"/>
            <w:tcMar>
              <w:top w:w="60" w:type="dxa"/>
              <w:bottom w:w="60" w:type="dxa"/>
              <w:left w:w="80" w:type="dxa"/>
              <w:right w:w="80" w:type="dxa"/>
            </w:tcMar>
          </w:tcPr>
          <w:p>
            <w:r>
              <w:rPr>
                <w:sz w:val="19"/>
              </w:rPr>
              <w:t>Week 5</w:t>
            </w:r>
          </w:p>
        </w:tc>
        <w:tc>
          <w:tcPr>
            <w:tcW w:type="dxa" w:w="2340"/>
            <w:tcMar>
              <w:top w:w="60" w:type="dxa"/>
              <w:bottom w:w="60" w:type="dxa"/>
              <w:left w:w="80" w:type="dxa"/>
              <w:right w:w="80" w:type="dxa"/>
            </w:tcMar>
          </w:tcPr>
          <w:p>
            <w:r>
              <w:rPr>
                <w:sz w:val="19"/>
              </w:rPr>
              <w:t>Permission Granted</w:t>
            </w:r>
          </w:p>
        </w:tc>
      </w:tr>
      <w:tr>
        <w:tc>
          <w:tcPr>
            <w:tcW w:type="dxa" w:w="2340"/>
            <w:tcMar>
              <w:top w:w="60" w:type="dxa"/>
              <w:bottom w:w="60" w:type="dxa"/>
              <w:left w:w="80" w:type="dxa"/>
              <w:right w:w="80" w:type="dxa"/>
            </w:tcMar>
          </w:tcPr>
          <w:p>
            <w:r>
              <w:rPr>
                <w:sz w:val="19"/>
              </w:rPr>
              <w:t>Phase 3: Field Execution</w:t>
            </w:r>
          </w:p>
        </w:tc>
        <w:tc>
          <w:tcPr>
            <w:tcW w:type="dxa" w:w="2340"/>
            <w:tcMar>
              <w:top w:w="60" w:type="dxa"/>
              <w:bottom w:w="60" w:type="dxa"/>
              <w:left w:w="80" w:type="dxa"/>
              <w:right w:w="80" w:type="dxa"/>
            </w:tcMar>
          </w:tcPr>
          <w:p>
            <w:r>
              <w:rPr>
                <w:sz w:val="19"/>
              </w:rPr>
              <w:t>Baseline Pre-Test, 4 Interactive Modules delivery, Post-Test</w:t>
            </w:r>
          </w:p>
        </w:tc>
        <w:tc>
          <w:tcPr>
            <w:tcW w:type="dxa" w:w="2340"/>
            <w:tcMar>
              <w:top w:w="60" w:type="dxa"/>
              <w:bottom w:w="60" w:type="dxa"/>
              <w:left w:w="80" w:type="dxa"/>
              <w:right w:w="80" w:type="dxa"/>
            </w:tcMar>
          </w:tcPr>
          <w:p>
            <w:r>
              <w:rPr>
                <w:sz w:val="19"/>
              </w:rPr>
              <w:t>26-09-2026</w:t>
            </w:r>
          </w:p>
        </w:tc>
        <w:tc>
          <w:tcPr>
            <w:tcW w:type="dxa" w:w="2340"/>
            <w:tcMar>
              <w:top w:w="60" w:type="dxa"/>
              <w:bottom w:w="60" w:type="dxa"/>
              <w:left w:w="80" w:type="dxa"/>
              <w:right w:w="80" w:type="dxa"/>
            </w:tcMar>
          </w:tcPr>
          <w:p>
            <w:r>
              <w:rPr>
                <w:sz w:val="19"/>
              </w:rPr>
              <w:t>Executed (37 Students)</w:t>
            </w:r>
          </w:p>
        </w:tc>
      </w:tr>
      <w:tr>
        <w:tc>
          <w:tcPr>
            <w:tcW w:type="dxa" w:w="2340"/>
            <w:tcMar>
              <w:top w:w="60" w:type="dxa"/>
              <w:bottom w:w="60" w:type="dxa"/>
              <w:left w:w="80" w:type="dxa"/>
              <w:right w:w="80" w:type="dxa"/>
            </w:tcMar>
          </w:tcPr>
          <w:p>
            <w:r>
              <w:rPr>
                <w:sz w:val="19"/>
              </w:rPr>
              <w:t>Phase 4: Analysis</w:t>
            </w:r>
          </w:p>
        </w:tc>
        <w:tc>
          <w:tcPr>
            <w:tcW w:type="dxa" w:w="2340"/>
            <w:tcMar>
              <w:top w:w="60" w:type="dxa"/>
              <w:bottom w:w="60" w:type="dxa"/>
              <w:left w:w="80" w:type="dxa"/>
              <w:right w:w="80" w:type="dxa"/>
            </w:tcMar>
          </w:tcPr>
          <w:p>
            <w:r>
              <w:rPr>
                <w:sz w:val="19"/>
              </w:rPr>
              <w:t>Score paper verification, data entry into Excel, statistical analysis</w:t>
            </w:r>
          </w:p>
        </w:tc>
        <w:tc>
          <w:tcPr>
            <w:tcW w:type="dxa" w:w="2340"/>
            <w:tcMar>
              <w:top w:w="60" w:type="dxa"/>
              <w:bottom w:w="60" w:type="dxa"/>
              <w:left w:w="80" w:type="dxa"/>
              <w:right w:w="80" w:type="dxa"/>
            </w:tcMar>
          </w:tcPr>
          <w:p>
            <w:r>
              <w:rPr>
                <w:sz w:val="19"/>
              </w:rPr>
              <w:t>Weeks 8–10</w:t>
            </w:r>
          </w:p>
        </w:tc>
        <w:tc>
          <w:tcPr>
            <w:tcW w:type="dxa" w:w="2340"/>
            <w:tcMar>
              <w:top w:w="60" w:type="dxa"/>
              <w:bottom w:w="60" w:type="dxa"/>
              <w:left w:w="80" w:type="dxa"/>
              <w:right w:w="80" w:type="dxa"/>
            </w:tcMar>
          </w:tcPr>
          <w:p>
            <w:r>
              <w:rPr>
                <w:sz w:val="19"/>
              </w:rPr>
              <w:t>Completed (+152% Gain)</w:t>
            </w:r>
          </w:p>
        </w:tc>
      </w:tr>
      <w:tr>
        <w:tc>
          <w:tcPr>
            <w:tcW w:type="dxa" w:w="2340"/>
            <w:tcMar>
              <w:top w:w="60" w:type="dxa"/>
              <w:bottom w:w="60" w:type="dxa"/>
              <w:left w:w="80" w:type="dxa"/>
              <w:right w:w="80" w:type="dxa"/>
            </w:tcMar>
          </w:tcPr>
          <w:p>
            <w:r>
              <w:rPr>
                <w:sz w:val="19"/>
              </w:rPr>
              <w:t>Phase 5: Documentation</w:t>
            </w:r>
          </w:p>
        </w:tc>
        <w:tc>
          <w:tcPr>
            <w:tcW w:type="dxa" w:w="2340"/>
            <w:tcMar>
              <w:top w:w="60" w:type="dxa"/>
              <w:bottom w:w="60" w:type="dxa"/>
              <w:left w:w="80" w:type="dxa"/>
              <w:right w:w="80" w:type="dxa"/>
            </w:tcMar>
          </w:tcPr>
          <w:p>
            <w:r>
              <w:rPr>
                <w:sz w:val="19"/>
              </w:rPr>
              <w:t>Final Report, Slide Deck refinement, Certificate attachment</w:t>
            </w:r>
          </w:p>
        </w:tc>
        <w:tc>
          <w:tcPr>
            <w:tcW w:type="dxa" w:w="2340"/>
            <w:tcMar>
              <w:top w:w="60" w:type="dxa"/>
              <w:bottom w:w="60" w:type="dxa"/>
              <w:left w:w="80" w:type="dxa"/>
              <w:right w:w="80" w:type="dxa"/>
            </w:tcMar>
          </w:tcPr>
          <w:p>
            <w:r>
              <w:rPr>
                <w:sz w:val="19"/>
              </w:rPr>
              <w:t>Weeks 11–12</w:t>
            </w:r>
          </w:p>
        </w:tc>
        <w:tc>
          <w:tcPr>
            <w:tcW w:type="dxa" w:w="2340"/>
            <w:tcMar>
              <w:top w:w="60" w:type="dxa"/>
              <w:bottom w:w="60" w:type="dxa"/>
              <w:left w:w="80" w:type="dxa"/>
              <w:right w:w="80" w:type="dxa"/>
            </w:tcMar>
          </w:tcPr>
          <w:p>
            <w:r>
              <w:rPr>
                <w:sz w:val="19"/>
              </w:rPr>
              <w:t>Final Review Ready</w:t>
            </w:r>
          </w:p>
        </w:tc>
      </w:tr>
    </w:tbl>
    <w:p>
      <w:r>
        <w:br w:type="page"/>
      </w:r>
    </w:p>
    <w:p>
      <w:pPr>
        <w:keepNext/>
        <w:spacing w:before="360" w:after="120"/>
      </w:pPr>
      <w:r>
        <w:rPr>
          <w:rFonts w:ascii="Arial" w:hAnsi="Arial"/>
          <w:b/>
          <w:color w:val="0F2043"/>
          <w:sz w:val="32"/>
        </w:rPr>
        <w:t>CHAPTER 4: EXECUTION &amp; COMMUNITY ENGAGEMENT</w:t>
      </w:r>
    </w:p>
    <w:p>
      <w:pPr>
        <w:keepNext/>
        <w:spacing w:before="280" w:after="80"/>
      </w:pPr>
      <w:r>
        <w:rPr>
          <w:rFonts w:ascii="Arial" w:hAnsi="Arial"/>
          <w:b/>
          <w:color w:val="2F3E46"/>
          <w:sz w:val="26"/>
        </w:rPr>
        <w:t>4.1 Execution Log &amp; Field Activity Details</w:t>
      </w:r>
    </w:p>
    <w:p>
      <w:pPr>
        <w:spacing w:after="120" w:line="276" w:lineRule="auto"/>
      </w:pPr>
      <w:r>
        <w:rPr>
          <w:rFonts w:ascii="Calibri" w:hAnsi="Calibri"/>
          <w:color w:val="212529"/>
          <w:sz w:val="22"/>
        </w:rPr>
        <w:t>The offline field visit was conducted on 26-09-2026 (an approved non-working day) at Government Junior College, Vizianagaram Town. All 37 enrolled Class XII students participated in the complete full-day program.</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F5F7FA"/>
            <w:tcMar>
              <w:top w:w="50" w:type="dxa"/>
              <w:bottom w:w="50" w:type="dxa"/>
              <w:left w:w="60" w:type="dxa"/>
              <w:right w:w="60" w:type="dxa"/>
            </w:tcMar>
          </w:tcPr>
          <w:p>
            <w:r>
              <w:rPr>
                <w:b/>
                <w:color w:val="0F2043"/>
              </w:rPr>
              <w:t>Time / Phase</w:t>
            </w:r>
          </w:p>
        </w:tc>
        <w:tc>
          <w:tcPr>
            <w:tcW w:type="dxa" w:w="2340"/>
            <w:shd w:fill="F5F7FA"/>
            <w:tcMar>
              <w:top w:w="50" w:type="dxa"/>
              <w:bottom w:w="50" w:type="dxa"/>
              <w:left w:w="60" w:type="dxa"/>
              <w:right w:w="60" w:type="dxa"/>
            </w:tcMar>
          </w:tcPr>
          <w:p>
            <w:r>
              <w:rPr>
                <w:b/>
                <w:color w:val="0F2043"/>
              </w:rPr>
              <w:t>Activity Carried Out</w:t>
            </w:r>
          </w:p>
        </w:tc>
        <w:tc>
          <w:tcPr>
            <w:tcW w:type="dxa" w:w="2340"/>
            <w:shd w:fill="F5F7FA"/>
            <w:tcMar>
              <w:top w:w="50" w:type="dxa"/>
              <w:bottom w:w="50" w:type="dxa"/>
              <w:left w:w="60" w:type="dxa"/>
              <w:right w:w="60" w:type="dxa"/>
            </w:tcMar>
          </w:tcPr>
          <w:p>
            <w:r>
              <w:rPr>
                <w:b/>
                <w:color w:val="0F2043"/>
              </w:rPr>
              <w:t>Target Group</w:t>
            </w:r>
          </w:p>
        </w:tc>
        <w:tc>
          <w:tcPr>
            <w:tcW w:type="dxa" w:w="2340"/>
            <w:shd w:fill="F5F7FA"/>
            <w:tcMar>
              <w:top w:w="50" w:type="dxa"/>
              <w:bottom w:w="50" w:type="dxa"/>
              <w:left w:w="60" w:type="dxa"/>
              <w:right w:w="60" w:type="dxa"/>
            </w:tcMar>
          </w:tcPr>
          <w:p>
            <w:r>
              <w:rPr>
                <w:b/>
                <w:color w:val="0F2043"/>
              </w:rPr>
              <w:t>Key Deliverables / Outcome</w:t>
            </w:r>
          </w:p>
        </w:tc>
      </w:tr>
      <w:tr>
        <w:tc>
          <w:tcPr>
            <w:tcW w:type="dxa" w:w="2340"/>
            <w:tcMar>
              <w:top w:w="50" w:type="dxa"/>
              <w:bottom w:w="50" w:type="dxa"/>
              <w:left w:w="60" w:type="dxa"/>
              <w:right w:w="60" w:type="dxa"/>
            </w:tcMar>
          </w:tcPr>
          <w:p>
            <w:r>
              <w:rPr>
                <w:sz w:val="18"/>
              </w:rPr>
              <w:t>09:30 AM - 10:00 AM</w:t>
            </w:r>
          </w:p>
        </w:tc>
        <w:tc>
          <w:tcPr>
            <w:tcW w:type="dxa" w:w="2340"/>
            <w:tcMar>
              <w:top w:w="50" w:type="dxa"/>
              <w:bottom w:w="50" w:type="dxa"/>
              <w:left w:w="60" w:type="dxa"/>
              <w:right w:w="60" w:type="dxa"/>
            </w:tcMar>
          </w:tcPr>
          <w:p>
            <w:r>
              <w:rPr>
                <w:sz w:val="18"/>
              </w:rPr>
              <w:t>Arrival, setup of digital smart board, student orientation</w:t>
            </w:r>
          </w:p>
        </w:tc>
        <w:tc>
          <w:tcPr>
            <w:tcW w:type="dxa" w:w="2340"/>
            <w:tcMar>
              <w:top w:w="50" w:type="dxa"/>
              <w:bottom w:w="50" w:type="dxa"/>
              <w:left w:w="60" w:type="dxa"/>
              <w:right w:w="60" w:type="dxa"/>
            </w:tcMar>
          </w:tcPr>
          <w:p>
            <w:r>
              <w:rPr>
                <w:sz w:val="18"/>
              </w:rPr>
              <w:t>37 Class XII Students</w:t>
            </w:r>
          </w:p>
        </w:tc>
        <w:tc>
          <w:tcPr>
            <w:tcW w:type="dxa" w:w="2340"/>
            <w:tcMar>
              <w:top w:w="50" w:type="dxa"/>
              <w:bottom w:w="50" w:type="dxa"/>
              <w:left w:w="60" w:type="dxa"/>
              <w:right w:w="60" w:type="dxa"/>
            </w:tcMar>
          </w:tcPr>
          <w:p>
            <w:r>
              <w:rPr>
                <w:sz w:val="18"/>
              </w:rPr>
              <w:t>Classroom readiness &amp; attendance registration</w:t>
            </w:r>
          </w:p>
        </w:tc>
      </w:tr>
      <w:tr>
        <w:tc>
          <w:tcPr>
            <w:tcW w:type="dxa" w:w="2340"/>
            <w:tcMar>
              <w:top w:w="50" w:type="dxa"/>
              <w:bottom w:w="50" w:type="dxa"/>
              <w:left w:w="60" w:type="dxa"/>
              <w:right w:w="60" w:type="dxa"/>
            </w:tcMar>
          </w:tcPr>
          <w:p>
            <w:r>
              <w:rPr>
                <w:sz w:val="18"/>
              </w:rPr>
              <w:t>10:00 AM - 10:30 AM</w:t>
            </w:r>
          </w:p>
        </w:tc>
        <w:tc>
          <w:tcPr>
            <w:tcW w:type="dxa" w:w="2340"/>
            <w:tcMar>
              <w:top w:w="50" w:type="dxa"/>
              <w:bottom w:w="50" w:type="dxa"/>
              <w:left w:w="60" w:type="dxa"/>
              <w:right w:w="60" w:type="dxa"/>
            </w:tcMar>
          </w:tcPr>
          <w:p>
            <w:r>
              <w:rPr>
                <w:sz w:val="18"/>
              </w:rPr>
              <w:t>Administration of 15-mark Baseline Pre-Test</w:t>
            </w:r>
          </w:p>
        </w:tc>
        <w:tc>
          <w:tcPr>
            <w:tcW w:type="dxa" w:w="2340"/>
            <w:tcMar>
              <w:top w:w="50" w:type="dxa"/>
              <w:bottom w:w="50" w:type="dxa"/>
              <w:left w:w="60" w:type="dxa"/>
              <w:right w:w="60" w:type="dxa"/>
            </w:tcMar>
          </w:tcPr>
          <w:p>
            <w:r>
              <w:rPr>
                <w:sz w:val="18"/>
              </w:rPr>
              <w:t>37 Class XII Students</w:t>
            </w:r>
          </w:p>
        </w:tc>
        <w:tc>
          <w:tcPr>
            <w:tcW w:type="dxa" w:w="2340"/>
            <w:tcMar>
              <w:top w:w="50" w:type="dxa"/>
              <w:bottom w:w="50" w:type="dxa"/>
              <w:left w:w="60" w:type="dxa"/>
              <w:right w:w="60" w:type="dxa"/>
            </w:tcMar>
          </w:tcPr>
          <w:p>
            <w:r>
              <w:rPr>
                <w:sz w:val="18"/>
              </w:rPr>
              <w:t>37 completed baseline answer papers collected</w:t>
            </w:r>
          </w:p>
        </w:tc>
      </w:tr>
      <w:tr>
        <w:tc>
          <w:tcPr>
            <w:tcW w:type="dxa" w:w="2340"/>
            <w:tcMar>
              <w:top w:w="50" w:type="dxa"/>
              <w:bottom w:w="50" w:type="dxa"/>
              <w:left w:w="60" w:type="dxa"/>
              <w:right w:w="60" w:type="dxa"/>
            </w:tcMar>
          </w:tcPr>
          <w:p>
            <w:r>
              <w:rPr>
                <w:sz w:val="18"/>
              </w:rPr>
              <w:t>10:30 AM - 11:30 AM</w:t>
            </w:r>
          </w:p>
        </w:tc>
        <w:tc>
          <w:tcPr>
            <w:tcW w:type="dxa" w:w="2340"/>
            <w:tcMar>
              <w:top w:w="50" w:type="dxa"/>
              <w:bottom w:w="50" w:type="dxa"/>
              <w:left w:w="60" w:type="dxa"/>
              <w:right w:w="60" w:type="dxa"/>
            </w:tcMar>
          </w:tcPr>
          <w:p>
            <w:r>
              <w:rPr>
                <w:sz w:val="18"/>
              </w:rPr>
              <w:t>Module 1: Savings &amp; Banking Mechanics</w:t>
            </w:r>
          </w:p>
        </w:tc>
        <w:tc>
          <w:tcPr>
            <w:tcW w:type="dxa" w:w="2340"/>
            <w:tcMar>
              <w:top w:w="50" w:type="dxa"/>
              <w:bottom w:w="50" w:type="dxa"/>
              <w:left w:w="60" w:type="dxa"/>
              <w:right w:w="60" w:type="dxa"/>
            </w:tcMar>
          </w:tcPr>
          <w:p>
            <w:r>
              <w:rPr>
                <w:sz w:val="18"/>
              </w:rPr>
              <w:t>37 Class XII Students</w:t>
            </w:r>
          </w:p>
        </w:tc>
        <w:tc>
          <w:tcPr>
            <w:tcW w:type="dxa" w:w="2340"/>
            <w:tcMar>
              <w:top w:w="50" w:type="dxa"/>
              <w:bottom w:w="50" w:type="dxa"/>
              <w:left w:w="60" w:type="dxa"/>
              <w:right w:w="60" w:type="dxa"/>
            </w:tcMar>
          </w:tcPr>
          <w:p>
            <w:r>
              <w:rPr>
                <w:sz w:val="18"/>
              </w:rPr>
              <w:t>Jan Dhan zero-balance accounts, interest rates</w:t>
            </w:r>
          </w:p>
        </w:tc>
      </w:tr>
      <w:tr>
        <w:tc>
          <w:tcPr>
            <w:tcW w:type="dxa" w:w="2340"/>
            <w:tcMar>
              <w:top w:w="50" w:type="dxa"/>
              <w:bottom w:w="50" w:type="dxa"/>
              <w:left w:w="60" w:type="dxa"/>
              <w:right w:w="60" w:type="dxa"/>
            </w:tcMar>
          </w:tcPr>
          <w:p>
            <w:r>
              <w:rPr>
                <w:sz w:val="18"/>
              </w:rPr>
              <w:t>11:30 AM - 12:45 PM</w:t>
            </w:r>
          </w:p>
        </w:tc>
        <w:tc>
          <w:tcPr>
            <w:tcW w:type="dxa" w:w="2340"/>
            <w:tcMar>
              <w:top w:w="50" w:type="dxa"/>
              <w:bottom w:w="50" w:type="dxa"/>
              <w:left w:w="60" w:type="dxa"/>
              <w:right w:w="60" w:type="dxa"/>
            </w:tcMar>
          </w:tcPr>
          <w:p>
            <w:r>
              <w:rPr>
                <w:sz w:val="18"/>
              </w:rPr>
              <w:t>Module 2: UPI &amp; Digital Payment Safety</w:t>
            </w:r>
          </w:p>
        </w:tc>
        <w:tc>
          <w:tcPr>
            <w:tcW w:type="dxa" w:w="2340"/>
            <w:tcMar>
              <w:top w:w="50" w:type="dxa"/>
              <w:bottom w:w="50" w:type="dxa"/>
              <w:left w:w="60" w:type="dxa"/>
              <w:right w:w="60" w:type="dxa"/>
            </w:tcMar>
          </w:tcPr>
          <w:p>
            <w:r>
              <w:rPr>
                <w:sz w:val="18"/>
              </w:rPr>
              <w:t>37 Class XII Students</w:t>
            </w:r>
          </w:p>
        </w:tc>
        <w:tc>
          <w:tcPr>
            <w:tcW w:type="dxa" w:w="2340"/>
            <w:tcMar>
              <w:top w:w="50" w:type="dxa"/>
              <w:bottom w:w="50" w:type="dxa"/>
              <w:left w:w="60" w:type="dxa"/>
              <w:right w:w="60" w:type="dxa"/>
            </w:tcMar>
          </w:tcPr>
          <w:p>
            <w:r>
              <w:rPr>
                <w:sz w:val="18"/>
              </w:rPr>
              <w:t>OTP security, fake QR code detection, live demo</w:t>
            </w:r>
          </w:p>
        </w:tc>
      </w:tr>
      <w:tr>
        <w:tc>
          <w:tcPr>
            <w:tcW w:type="dxa" w:w="2340"/>
            <w:tcMar>
              <w:top w:w="50" w:type="dxa"/>
              <w:bottom w:w="50" w:type="dxa"/>
              <w:left w:w="60" w:type="dxa"/>
              <w:right w:w="60" w:type="dxa"/>
            </w:tcMar>
          </w:tcPr>
          <w:p>
            <w:r>
              <w:rPr>
                <w:sz w:val="18"/>
              </w:rPr>
              <w:t>01:30 PM - 02:30 PM</w:t>
            </w:r>
          </w:p>
        </w:tc>
        <w:tc>
          <w:tcPr>
            <w:tcW w:type="dxa" w:w="2340"/>
            <w:tcMar>
              <w:top w:w="50" w:type="dxa"/>
              <w:bottom w:w="50" w:type="dxa"/>
              <w:left w:w="60" w:type="dxa"/>
              <w:right w:w="60" w:type="dxa"/>
            </w:tcMar>
          </w:tcPr>
          <w:p>
            <w:r>
              <w:rPr>
                <w:sz w:val="18"/>
              </w:rPr>
              <w:t>Module 3: Insurance &amp; Government Schemes</w:t>
            </w:r>
          </w:p>
        </w:tc>
        <w:tc>
          <w:tcPr>
            <w:tcW w:type="dxa" w:w="2340"/>
            <w:tcMar>
              <w:top w:w="50" w:type="dxa"/>
              <w:bottom w:w="50" w:type="dxa"/>
              <w:left w:w="60" w:type="dxa"/>
              <w:right w:w="60" w:type="dxa"/>
            </w:tcMar>
          </w:tcPr>
          <w:p>
            <w:r>
              <w:rPr>
                <w:sz w:val="18"/>
              </w:rPr>
              <w:t>37 Class XII Students</w:t>
            </w:r>
          </w:p>
        </w:tc>
        <w:tc>
          <w:tcPr>
            <w:tcW w:type="dxa" w:w="2340"/>
            <w:tcMar>
              <w:top w:w="50" w:type="dxa"/>
              <w:bottom w:w="50" w:type="dxa"/>
              <w:left w:w="60" w:type="dxa"/>
              <w:right w:w="60" w:type="dxa"/>
            </w:tcMar>
          </w:tcPr>
          <w:p>
            <w:r>
              <w:rPr>
                <w:sz w:val="18"/>
              </w:rPr>
              <w:t>PM Scholarship, PM Suraksha Bima Yojana</w:t>
            </w:r>
          </w:p>
        </w:tc>
      </w:tr>
      <w:tr>
        <w:tc>
          <w:tcPr>
            <w:tcW w:type="dxa" w:w="2340"/>
            <w:tcMar>
              <w:top w:w="50" w:type="dxa"/>
              <w:bottom w:w="50" w:type="dxa"/>
              <w:left w:w="60" w:type="dxa"/>
              <w:right w:w="60" w:type="dxa"/>
            </w:tcMar>
          </w:tcPr>
          <w:p>
            <w:r>
              <w:rPr>
                <w:sz w:val="18"/>
              </w:rPr>
              <w:t>02:30 PM - 03:30 PM</w:t>
            </w:r>
          </w:p>
        </w:tc>
        <w:tc>
          <w:tcPr>
            <w:tcW w:type="dxa" w:w="2340"/>
            <w:tcMar>
              <w:top w:w="50" w:type="dxa"/>
              <w:bottom w:w="50" w:type="dxa"/>
              <w:left w:w="60" w:type="dxa"/>
              <w:right w:w="60" w:type="dxa"/>
            </w:tcMar>
          </w:tcPr>
          <w:p>
            <w:r>
              <w:rPr>
                <w:sz w:val="18"/>
              </w:rPr>
              <w:t>Module 4: Personal Planning &amp; Budgeting</w:t>
            </w:r>
          </w:p>
        </w:tc>
        <w:tc>
          <w:tcPr>
            <w:tcW w:type="dxa" w:w="2340"/>
            <w:tcMar>
              <w:top w:w="50" w:type="dxa"/>
              <w:bottom w:w="50" w:type="dxa"/>
              <w:left w:w="60" w:type="dxa"/>
              <w:right w:w="60" w:type="dxa"/>
            </w:tcMar>
          </w:tcPr>
          <w:p>
            <w:r>
              <w:rPr>
                <w:sz w:val="18"/>
              </w:rPr>
              <w:t>37 Class XII Students</w:t>
            </w:r>
          </w:p>
        </w:tc>
        <w:tc>
          <w:tcPr>
            <w:tcW w:type="dxa" w:w="2340"/>
            <w:tcMar>
              <w:top w:w="50" w:type="dxa"/>
              <w:bottom w:w="50" w:type="dxa"/>
              <w:left w:w="60" w:type="dxa"/>
              <w:right w:w="60" w:type="dxa"/>
            </w:tcMar>
          </w:tcPr>
          <w:p>
            <w:r>
              <w:rPr>
                <w:sz w:val="18"/>
              </w:rPr>
              <w:t>50/30/20 budget rule, power of compounding</w:t>
            </w:r>
          </w:p>
        </w:tc>
      </w:tr>
      <w:tr>
        <w:tc>
          <w:tcPr>
            <w:tcW w:type="dxa" w:w="2340"/>
            <w:tcMar>
              <w:top w:w="50" w:type="dxa"/>
              <w:bottom w:w="50" w:type="dxa"/>
              <w:left w:w="60" w:type="dxa"/>
              <w:right w:w="60" w:type="dxa"/>
            </w:tcMar>
          </w:tcPr>
          <w:p>
            <w:r>
              <w:rPr>
                <w:sz w:val="18"/>
              </w:rPr>
              <w:t>03:30 PM - 04:15 PM</w:t>
            </w:r>
          </w:p>
        </w:tc>
        <w:tc>
          <w:tcPr>
            <w:tcW w:type="dxa" w:w="2340"/>
            <w:tcMar>
              <w:top w:w="50" w:type="dxa"/>
              <w:bottom w:w="50" w:type="dxa"/>
              <w:left w:w="60" w:type="dxa"/>
              <w:right w:w="60" w:type="dxa"/>
            </w:tcMar>
          </w:tcPr>
          <w:p>
            <w:r>
              <w:rPr>
                <w:sz w:val="18"/>
              </w:rPr>
              <w:t>Administration of 15-mark Post-Test &amp; Handout Distribution</w:t>
            </w:r>
          </w:p>
        </w:tc>
        <w:tc>
          <w:tcPr>
            <w:tcW w:type="dxa" w:w="2340"/>
            <w:tcMar>
              <w:top w:w="50" w:type="dxa"/>
              <w:bottom w:w="50" w:type="dxa"/>
              <w:left w:w="60" w:type="dxa"/>
              <w:right w:w="60" w:type="dxa"/>
            </w:tcMar>
          </w:tcPr>
          <w:p>
            <w:r>
              <w:rPr>
                <w:sz w:val="18"/>
              </w:rPr>
              <w:t>37 Class XII Students</w:t>
            </w:r>
          </w:p>
        </w:tc>
        <w:tc>
          <w:tcPr>
            <w:tcW w:type="dxa" w:w="2340"/>
            <w:tcMar>
              <w:top w:w="50" w:type="dxa"/>
              <w:bottom w:w="50" w:type="dxa"/>
              <w:left w:w="60" w:type="dxa"/>
              <w:right w:w="60" w:type="dxa"/>
            </w:tcMar>
          </w:tcPr>
          <w:p>
            <w:r>
              <w:rPr>
                <w:sz w:val="18"/>
              </w:rPr>
              <w:t>37 post-test papers collected, handouts given</w:t>
            </w:r>
          </w:p>
        </w:tc>
      </w:tr>
    </w:tbl>
    <w:p>
      <w:pPr>
        <w:keepNext/>
        <w:spacing w:before="280" w:after="80"/>
      </w:pPr>
      <w:r>
        <w:rPr>
          <w:rFonts w:ascii="Arial" w:hAnsi="Arial"/>
          <w:b/>
          <w:color w:val="2F3E46"/>
          <w:sz w:val="26"/>
        </w:rPr>
        <w:t>4.2 Field Visit Evidence &amp; Photo Documentation</w:t>
      </w:r>
    </w:p>
    <w:p>
      <w:pPr>
        <w:spacing w:after="120" w:line="276" w:lineRule="auto"/>
      </w:pPr>
      <w:r>
        <w:rPr>
          <w:rFonts w:ascii="Calibri" w:hAnsi="Calibri"/>
          <w:color w:val="212529"/>
          <w:sz w:val="22"/>
        </w:rPr>
        <w:t>The field activities were documented through photographs capturing institutional location, classroom presentation, interactive student participation, and team coordination:</w:t>
      </w:r>
    </w:p>
    <w:p>
      <w:pPr>
        <w:spacing w:before="200" w:after="80"/>
        <w:jc w:val="center"/>
      </w:pPr>
      <w:r>
        <w:drawing>
          <wp:inline xmlns:a="http://schemas.openxmlformats.org/drawingml/2006/main" xmlns:pic="http://schemas.openxmlformats.org/drawingml/2006/picture">
            <wp:extent cx="4114800" cy="7315200"/>
            <wp:docPr id="2" name="Picture 2"/>
            <wp:cNvGraphicFramePr>
              <a:graphicFrameLocks noChangeAspect="1"/>
            </wp:cNvGraphicFramePr>
            <a:graphic>
              <a:graphicData uri="http://schemas.openxmlformats.org/drawingml/2006/picture">
                <pic:pic>
                  <pic:nvPicPr>
                    <pic:cNvPr id="0" name="docx_img_2.jpg"/>
                    <pic:cNvPicPr/>
                  </pic:nvPicPr>
                  <pic:blipFill>
                    <a:blip r:embed="rId10"/>
                    <a:stretch>
                      <a:fillRect/>
                    </a:stretch>
                  </pic:blipFill>
                  <pic:spPr>
                    <a:xfrm>
                      <a:off x="0" y="0"/>
                      <a:ext cx="4114800" cy="7315200"/>
                    </a:xfrm>
                    <a:prstGeom prst="rect"/>
                  </pic:spPr>
                </pic:pic>
              </a:graphicData>
            </a:graphic>
          </wp:inline>
        </w:drawing>
      </w:r>
    </w:p>
    <w:p>
      <w:pPr>
        <w:spacing w:after="240"/>
        <w:jc w:val="center"/>
      </w:pPr>
      <w:r>
        <w:rPr>
          <w:rFonts w:ascii="Calibri" w:hAnsi="Calibri"/>
          <w:i/>
          <w:color w:val="6C757D"/>
          <w:sz w:val="19"/>
        </w:rPr>
        <w:t>Figure 4.1: Govt. Junior College, Vizianagaram Town — Entrance Gate with Project Team (26-09-2026)</w:t>
      </w:r>
    </w:p>
    <w:p>
      <w:pPr>
        <w:spacing w:before="200" w:after="80"/>
        <w:jc w:val="center"/>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docx_img_3.jpg"/>
                    <pic:cNvPicPr/>
                  </pic:nvPicPr>
                  <pic:blipFill>
                    <a:blip r:embed="rId11"/>
                    <a:stretch>
                      <a:fillRect/>
                    </a:stretch>
                  </pic:blipFill>
                  <pic:spPr>
                    <a:xfrm>
                      <a:off x="0" y="0"/>
                      <a:ext cx="5303520" cy="2983230"/>
                    </a:xfrm>
                    <a:prstGeom prst="rect"/>
                  </pic:spPr>
                </pic:pic>
              </a:graphicData>
            </a:graphic>
          </wp:inline>
        </w:drawing>
      </w:r>
    </w:p>
    <w:p>
      <w:pPr>
        <w:spacing w:after="240"/>
        <w:jc w:val="center"/>
      </w:pPr>
      <w:r>
        <w:rPr>
          <w:rFonts w:ascii="Calibri" w:hAnsi="Calibri"/>
          <w:i/>
          <w:color w:val="6C757D"/>
          <w:sz w:val="19"/>
        </w:rPr>
        <w:t>Figure 4.2: Team BATCH-13D Presenting Financial Literacy Modules on the Smart Board</w:t>
      </w:r>
    </w:p>
    <w:p>
      <w:pPr>
        <w:spacing w:before="200" w:after="80"/>
        <w:jc w:val="center"/>
      </w:pPr>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docx_img_6.jpg"/>
                    <pic:cNvPicPr/>
                  </pic:nvPicPr>
                  <pic:blipFill>
                    <a:blip r:embed="rId12"/>
                    <a:stretch>
                      <a:fillRect/>
                    </a:stretch>
                  </pic:blipFill>
                  <pic:spPr>
                    <a:xfrm>
                      <a:off x="0" y="0"/>
                      <a:ext cx="5303520" cy="2983230"/>
                    </a:xfrm>
                    <a:prstGeom prst="rect"/>
                  </pic:spPr>
                </pic:pic>
              </a:graphicData>
            </a:graphic>
          </wp:inline>
        </w:drawing>
      </w:r>
    </w:p>
    <w:p>
      <w:pPr>
        <w:spacing w:after="240"/>
        <w:jc w:val="center"/>
      </w:pPr>
      <w:r>
        <w:rPr>
          <w:rFonts w:ascii="Calibri" w:hAnsi="Calibri"/>
          <w:i/>
          <w:color w:val="6C757D"/>
          <w:sz w:val="19"/>
        </w:rPr>
        <w:t>Figure 4.3: Class XII Students Attending the Financial Literacy Awareness Session</w:t>
      </w:r>
    </w:p>
    <w:p>
      <w:pPr>
        <w:spacing w:before="200" w:after="80"/>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pptx_slide_9_img_5.jpg"/>
                    <pic:cNvPicPr/>
                  </pic:nvPicPr>
                  <pic:blipFill>
                    <a:blip r:embed="rId13"/>
                    <a:stretch>
                      <a:fillRect/>
                    </a:stretch>
                  </pic:blipFill>
                  <pic:spPr>
                    <a:xfrm>
                      <a:off x="0" y="0"/>
                      <a:ext cx="5303520" cy="2983230"/>
                    </a:xfrm>
                    <a:prstGeom prst="rect"/>
                  </pic:spPr>
                </pic:pic>
              </a:graphicData>
            </a:graphic>
          </wp:inline>
        </w:drawing>
      </w:r>
    </w:p>
    <w:p>
      <w:pPr>
        <w:spacing w:after="240"/>
        <w:jc w:val="center"/>
      </w:pPr>
      <w:r>
        <w:rPr>
          <w:rFonts w:ascii="Calibri" w:hAnsi="Calibri"/>
          <w:i/>
          <w:color w:val="6C757D"/>
          <w:sz w:val="19"/>
        </w:rPr>
        <w:t>Figure 4.4: Team Addressing Student Questions during Interactive Q&amp;A Segment</w:t>
      </w:r>
    </w:p>
    <w:p>
      <w:pPr>
        <w:spacing w:before="200" w:after="80"/>
        <w:jc w:val="center"/>
      </w:pPr>
      <w:r>
        <w:drawing>
          <wp:inline xmlns:a="http://schemas.openxmlformats.org/drawingml/2006/main" xmlns:pic="http://schemas.openxmlformats.org/drawingml/2006/picture">
            <wp:extent cx="5303520" cy="2983230"/>
            <wp:docPr id="6" name="Picture 6"/>
            <wp:cNvGraphicFramePr>
              <a:graphicFrameLocks noChangeAspect="1"/>
            </wp:cNvGraphicFramePr>
            <a:graphic>
              <a:graphicData uri="http://schemas.openxmlformats.org/drawingml/2006/picture">
                <pic:pic>
                  <pic:nvPicPr>
                    <pic:cNvPr id="0" name="docx_img_5.jpg"/>
                    <pic:cNvPicPr/>
                  </pic:nvPicPr>
                  <pic:blipFill>
                    <a:blip r:embed="rId14"/>
                    <a:stretch>
                      <a:fillRect/>
                    </a:stretch>
                  </pic:blipFill>
                  <pic:spPr>
                    <a:xfrm>
                      <a:off x="0" y="0"/>
                      <a:ext cx="5303520" cy="2983230"/>
                    </a:xfrm>
                    <a:prstGeom prst="rect"/>
                  </pic:spPr>
                </pic:pic>
              </a:graphicData>
            </a:graphic>
          </wp:inline>
        </w:drawing>
      </w:r>
    </w:p>
    <w:p>
      <w:pPr>
        <w:spacing w:after="240"/>
        <w:jc w:val="center"/>
      </w:pPr>
      <w:r>
        <w:rPr>
          <w:rFonts w:ascii="Calibri" w:hAnsi="Calibri"/>
          <w:i/>
          <w:color w:val="6C757D"/>
          <w:sz w:val="19"/>
        </w:rPr>
        <w:t>Figure 4.5: Group Photograph with all 37 Participating Class XII Students at Session Completion</w:t>
      </w:r>
    </w:p>
    <w:p>
      <w:r>
        <w:br w:type="page"/>
      </w:r>
    </w:p>
    <w:p>
      <w:pPr>
        <w:keepNext/>
        <w:spacing w:before="360" w:after="120"/>
      </w:pPr>
      <w:r>
        <w:rPr>
          <w:rFonts w:ascii="Arial" w:hAnsi="Arial"/>
          <w:b/>
          <w:color w:val="0F2043"/>
          <w:sz w:val="32"/>
        </w:rPr>
        <w:t>CHAPTER 5: DATA COLLECTION &amp; IMPACT ASSESSMENT</w:t>
      </w:r>
    </w:p>
    <w:p>
      <w:pPr>
        <w:keepNext/>
        <w:spacing w:before="280" w:after="80"/>
      </w:pPr>
      <w:r>
        <w:rPr>
          <w:rFonts w:ascii="Arial" w:hAnsi="Arial"/>
          <w:b/>
          <w:color w:val="2F3E46"/>
          <w:sz w:val="26"/>
        </w:rPr>
        <w:t>5.1 Key Performance Indicators (KPIs)</w:t>
      </w:r>
    </w:p>
    <w:p>
      <w:pPr>
        <w:spacing w:after="120" w:line="276" w:lineRule="auto"/>
      </w:pPr>
      <w:r>
        <w:rPr>
          <w:rFonts w:ascii="Calibri" w:hAnsi="Calibri"/>
          <w:color w:val="212529"/>
          <w:sz w:val="22"/>
        </w:rPr>
        <w:t>Project impact was evaluated by comparing matched pre-test and post-test scores across the four domain areas. All 37 participating students completed both evaluation rounds: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F5F7FA"/>
            <w:tcMar>
              <w:top w:w="50" w:type="dxa"/>
              <w:bottom w:w="50" w:type="dxa"/>
              <w:left w:w="50" w:type="dxa"/>
              <w:right w:w="50" w:type="dxa"/>
            </w:tcMar>
          </w:tcPr>
          <w:p>
            <w:r>
              <w:rPr>
                <w:b/>
                <w:color w:val="0F2043"/>
              </w:rPr>
              <w:t>KPI Metric Area</w:t>
            </w:r>
          </w:p>
        </w:tc>
        <w:tc>
          <w:tcPr>
            <w:tcW w:type="dxa" w:w="1872"/>
            <w:shd w:fill="F5F7FA"/>
            <w:tcMar>
              <w:top w:w="50" w:type="dxa"/>
              <w:bottom w:w="50" w:type="dxa"/>
              <w:left w:w="50" w:type="dxa"/>
              <w:right w:w="50" w:type="dxa"/>
            </w:tcMar>
          </w:tcPr>
          <w:p>
            <w:r>
              <w:rPr>
                <w:b/>
                <w:color w:val="0F2043"/>
              </w:rPr>
              <w:t>Key Performance Indicator</w:t>
            </w:r>
          </w:p>
        </w:tc>
        <w:tc>
          <w:tcPr>
            <w:tcW w:type="dxa" w:w="1872"/>
            <w:shd w:fill="F5F7FA"/>
            <w:tcMar>
              <w:top w:w="50" w:type="dxa"/>
              <w:bottom w:w="50" w:type="dxa"/>
              <w:left w:w="50" w:type="dxa"/>
              <w:right w:w="50" w:type="dxa"/>
            </w:tcMar>
          </w:tcPr>
          <w:p>
            <w:r>
              <w:rPr>
                <w:b/>
                <w:color w:val="0F2043"/>
              </w:rPr>
              <w:t>Baseline (Pre-Test)</w:t>
            </w:r>
          </w:p>
        </w:tc>
        <w:tc>
          <w:tcPr>
            <w:tcW w:type="dxa" w:w="1872"/>
            <w:shd w:fill="F5F7FA"/>
            <w:tcMar>
              <w:top w:w="50" w:type="dxa"/>
              <w:bottom w:w="50" w:type="dxa"/>
              <w:left w:w="50" w:type="dxa"/>
              <w:right w:w="50" w:type="dxa"/>
            </w:tcMar>
          </w:tcPr>
          <w:p>
            <w:r>
              <w:rPr>
                <w:b/>
                <w:color w:val="0F2043"/>
              </w:rPr>
              <w:t>Achieved (Post-Test)</w:t>
            </w:r>
          </w:p>
        </w:tc>
        <w:tc>
          <w:tcPr>
            <w:tcW w:type="dxa" w:w="1872"/>
            <w:shd w:fill="F5F7FA"/>
            <w:tcMar>
              <w:top w:w="50" w:type="dxa"/>
              <w:bottom w:w="50" w:type="dxa"/>
              <w:left w:w="50" w:type="dxa"/>
              <w:right w:w="50" w:type="dxa"/>
            </w:tcMar>
          </w:tcPr>
          <w:p>
            <w:r>
              <w:rPr>
                <w:b/>
                <w:color w:val="0F2043"/>
              </w:rPr>
              <w:t>Impact / Change</w:t>
            </w:r>
          </w:p>
        </w:tc>
      </w:tr>
      <w:tr>
        <w:tc>
          <w:tcPr>
            <w:tcW w:type="dxa" w:w="1872"/>
            <w:tcMar>
              <w:top w:w="50" w:type="dxa"/>
              <w:bottom w:w="50" w:type="dxa"/>
              <w:left w:w="50" w:type="dxa"/>
              <w:right w:w="50" w:type="dxa"/>
            </w:tcMar>
          </w:tcPr>
          <w:p>
            <w:r>
              <w:rPr>
                <w:sz w:val="18"/>
              </w:rPr>
              <w:t>Overall Score</w:t>
            </w:r>
          </w:p>
        </w:tc>
        <w:tc>
          <w:tcPr>
            <w:tcW w:type="dxa" w:w="1872"/>
            <w:tcMar>
              <w:top w:w="50" w:type="dxa"/>
              <w:bottom w:w="50" w:type="dxa"/>
              <w:left w:w="50" w:type="dxa"/>
              <w:right w:w="50" w:type="dxa"/>
            </w:tcMar>
          </w:tcPr>
          <w:p>
            <w:r>
              <w:rPr>
                <w:sz w:val="18"/>
              </w:rPr>
              <w:t>Class Average Score (out of 15)</w:t>
            </w:r>
          </w:p>
        </w:tc>
        <w:tc>
          <w:tcPr>
            <w:tcW w:type="dxa" w:w="1872"/>
            <w:tcMar>
              <w:top w:w="50" w:type="dxa"/>
              <w:bottom w:w="50" w:type="dxa"/>
              <w:left w:w="50" w:type="dxa"/>
              <w:right w:w="50" w:type="dxa"/>
            </w:tcMar>
          </w:tcPr>
          <w:p>
            <w:pPr>
              <w:jc w:val="center"/>
            </w:pPr>
            <w:r>
              <w:rPr>
                <w:sz w:val="18"/>
              </w:rPr>
              <w:t>5.1 / 15 (34%)</w:t>
            </w:r>
          </w:p>
        </w:tc>
        <w:tc>
          <w:tcPr>
            <w:tcW w:type="dxa" w:w="1872"/>
            <w:tcMar>
              <w:top w:w="50" w:type="dxa"/>
              <w:bottom w:w="50" w:type="dxa"/>
              <w:left w:w="50" w:type="dxa"/>
              <w:right w:w="50" w:type="dxa"/>
            </w:tcMar>
          </w:tcPr>
          <w:p>
            <w:pPr>
              <w:jc w:val="center"/>
            </w:pPr>
            <w:r>
              <w:rPr>
                <w:sz w:val="18"/>
              </w:rPr>
              <w:t>12.9 / 15 (86%)</w:t>
            </w:r>
          </w:p>
        </w:tc>
        <w:tc>
          <w:tcPr>
            <w:tcW w:type="dxa" w:w="1872"/>
            <w:tcMar>
              <w:top w:w="50" w:type="dxa"/>
              <w:bottom w:w="50" w:type="dxa"/>
              <w:left w:w="50" w:type="dxa"/>
              <w:right w:w="50" w:type="dxa"/>
            </w:tcMar>
          </w:tcPr>
          <w:p>
            <w:pPr>
              <w:jc w:val="center"/>
            </w:pPr>
            <w:r>
              <w:rPr>
                <w:sz w:val="18"/>
              </w:rPr>
              <w:t>+7.8 marks (+152% gain)</w:t>
            </w:r>
          </w:p>
        </w:tc>
      </w:tr>
      <w:tr>
        <w:tc>
          <w:tcPr>
            <w:tcW w:type="dxa" w:w="1872"/>
            <w:tcMar>
              <w:top w:w="50" w:type="dxa"/>
              <w:bottom w:w="50" w:type="dxa"/>
              <w:left w:w="50" w:type="dxa"/>
              <w:right w:w="50" w:type="dxa"/>
            </w:tcMar>
          </w:tcPr>
          <w:p>
            <w:r>
              <w:rPr>
                <w:sz w:val="18"/>
              </w:rPr>
              <w:t>High Performers</w:t>
            </w:r>
          </w:p>
        </w:tc>
        <w:tc>
          <w:tcPr>
            <w:tcW w:type="dxa" w:w="1872"/>
            <w:tcMar>
              <w:top w:w="50" w:type="dxa"/>
              <w:bottom w:w="50" w:type="dxa"/>
              <w:left w:w="50" w:type="dxa"/>
              <w:right w:w="50" w:type="dxa"/>
            </w:tcMar>
          </w:tcPr>
          <w:p>
            <w:r>
              <w:rPr>
                <w:sz w:val="18"/>
              </w:rPr>
              <w:t>Students scoring &gt;= 80% (12+ marks)</w:t>
            </w:r>
          </w:p>
        </w:tc>
        <w:tc>
          <w:tcPr>
            <w:tcW w:type="dxa" w:w="1872"/>
            <w:tcMar>
              <w:top w:w="50" w:type="dxa"/>
              <w:bottom w:w="50" w:type="dxa"/>
              <w:left w:w="50" w:type="dxa"/>
              <w:right w:w="50" w:type="dxa"/>
            </w:tcMar>
          </w:tcPr>
          <w:p>
            <w:pPr>
              <w:jc w:val="center"/>
            </w:pPr>
            <w:r>
              <w:rPr>
                <w:sz w:val="18"/>
              </w:rPr>
              <w:t>0 / 37 (0%)</w:t>
            </w:r>
          </w:p>
        </w:tc>
        <w:tc>
          <w:tcPr>
            <w:tcW w:type="dxa" w:w="1872"/>
            <w:tcMar>
              <w:top w:w="50" w:type="dxa"/>
              <w:bottom w:w="50" w:type="dxa"/>
              <w:left w:w="50" w:type="dxa"/>
              <w:right w:w="50" w:type="dxa"/>
            </w:tcMar>
          </w:tcPr>
          <w:p>
            <w:pPr>
              <w:jc w:val="center"/>
            </w:pPr>
            <w:r>
              <w:rPr>
                <w:sz w:val="18"/>
              </w:rPr>
              <w:t>29 / 37 (78%)</w:t>
            </w:r>
          </w:p>
        </w:tc>
        <w:tc>
          <w:tcPr>
            <w:tcW w:type="dxa" w:w="1872"/>
            <w:tcMar>
              <w:top w:w="50" w:type="dxa"/>
              <w:bottom w:w="50" w:type="dxa"/>
              <w:left w:w="50" w:type="dxa"/>
              <w:right w:w="50" w:type="dxa"/>
            </w:tcMar>
          </w:tcPr>
          <w:p>
            <w:pPr>
              <w:jc w:val="center"/>
            </w:pPr>
            <w:r>
              <w:rPr>
                <w:sz w:val="18"/>
              </w:rPr>
              <w:t>+29 students (+78%)</w:t>
            </w:r>
          </w:p>
        </w:tc>
      </w:tr>
      <w:tr>
        <w:tc>
          <w:tcPr>
            <w:tcW w:type="dxa" w:w="1872"/>
            <w:tcMar>
              <w:top w:w="50" w:type="dxa"/>
              <w:bottom w:w="50" w:type="dxa"/>
              <w:left w:w="50" w:type="dxa"/>
              <w:right w:w="50" w:type="dxa"/>
            </w:tcMar>
          </w:tcPr>
          <w:p>
            <w:r>
              <w:rPr>
                <w:sz w:val="18"/>
              </w:rPr>
              <w:t>Low Performers</w:t>
            </w:r>
          </w:p>
        </w:tc>
        <w:tc>
          <w:tcPr>
            <w:tcW w:type="dxa" w:w="1872"/>
            <w:tcMar>
              <w:top w:w="50" w:type="dxa"/>
              <w:bottom w:w="50" w:type="dxa"/>
              <w:left w:w="50" w:type="dxa"/>
              <w:right w:w="50" w:type="dxa"/>
            </w:tcMar>
          </w:tcPr>
          <w:p>
            <w:r>
              <w:rPr>
                <w:sz w:val="18"/>
              </w:rPr>
              <w:t>Students scoring &lt; 40% (0-5 marks)</w:t>
            </w:r>
          </w:p>
        </w:tc>
        <w:tc>
          <w:tcPr>
            <w:tcW w:type="dxa" w:w="1872"/>
            <w:tcMar>
              <w:top w:w="50" w:type="dxa"/>
              <w:bottom w:w="50" w:type="dxa"/>
              <w:left w:w="50" w:type="dxa"/>
              <w:right w:w="50" w:type="dxa"/>
            </w:tcMar>
          </w:tcPr>
          <w:p>
            <w:pPr>
              <w:jc w:val="center"/>
            </w:pPr>
            <w:r>
              <w:rPr>
                <w:sz w:val="18"/>
              </w:rPr>
              <w:t>22 / 37 (59%)</w:t>
            </w:r>
          </w:p>
        </w:tc>
        <w:tc>
          <w:tcPr>
            <w:tcW w:type="dxa" w:w="1872"/>
            <w:tcMar>
              <w:top w:w="50" w:type="dxa"/>
              <w:bottom w:w="50" w:type="dxa"/>
              <w:left w:w="50" w:type="dxa"/>
              <w:right w:w="50" w:type="dxa"/>
            </w:tcMar>
          </w:tcPr>
          <w:p>
            <w:pPr>
              <w:jc w:val="center"/>
            </w:pPr>
            <w:r>
              <w:rPr>
                <w:sz w:val="18"/>
              </w:rPr>
              <w:t>0 / 37 (0%)</w:t>
            </w:r>
          </w:p>
        </w:tc>
        <w:tc>
          <w:tcPr>
            <w:tcW w:type="dxa" w:w="1872"/>
            <w:tcMar>
              <w:top w:w="50" w:type="dxa"/>
              <w:bottom w:w="50" w:type="dxa"/>
              <w:left w:w="50" w:type="dxa"/>
              <w:right w:w="50" w:type="dxa"/>
            </w:tcMar>
          </w:tcPr>
          <w:p>
            <w:pPr>
              <w:jc w:val="center"/>
            </w:pPr>
            <w:r>
              <w:rPr>
                <w:sz w:val="18"/>
              </w:rPr>
              <w:t>-22 students (-100%)</w:t>
            </w:r>
          </w:p>
        </w:tc>
      </w:tr>
      <w:tr>
        <w:tc>
          <w:tcPr>
            <w:tcW w:type="dxa" w:w="1872"/>
            <w:tcMar>
              <w:top w:w="50" w:type="dxa"/>
              <w:bottom w:w="50" w:type="dxa"/>
              <w:left w:w="50" w:type="dxa"/>
              <w:right w:w="50" w:type="dxa"/>
            </w:tcMar>
          </w:tcPr>
          <w:p>
            <w:r>
              <w:rPr>
                <w:sz w:val="18"/>
              </w:rPr>
              <w:t>Individual Growth</w:t>
            </w:r>
          </w:p>
        </w:tc>
        <w:tc>
          <w:tcPr>
            <w:tcW w:type="dxa" w:w="1872"/>
            <w:tcMar>
              <w:top w:w="50" w:type="dxa"/>
              <w:bottom w:w="50" w:type="dxa"/>
              <w:left w:w="50" w:type="dxa"/>
              <w:right w:w="50" w:type="dxa"/>
            </w:tcMar>
          </w:tcPr>
          <w:p>
            <w:r>
              <w:rPr>
                <w:sz w:val="18"/>
              </w:rPr>
              <w:t>Students demonstrating score increase</w:t>
            </w:r>
          </w:p>
        </w:tc>
        <w:tc>
          <w:tcPr>
            <w:tcW w:type="dxa" w:w="1872"/>
            <w:tcMar>
              <w:top w:w="50" w:type="dxa"/>
              <w:bottom w:w="50" w:type="dxa"/>
              <w:left w:w="50" w:type="dxa"/>
              <w:right w:w="50" w:type="dxa"/>
            </w:tcMar>
          </w:tcPr>
          <w:p>
            <w:pPr>
              <w:jc w:val="center"/>
            </w:pPr>
            <w:r>
              <w:rPr>
                <w:sz w:val="18"/>
              </w:rPr>
              <w:t>N/A</w:t>
            </w:r>
          </w:p>
        </w:tc>
        <w:tc>
          <w:tcPr>
            <w:tcW w:type="dxa" w:w="1872"/>
            <w:tcMar>
              <w:top w:w="50" w:type="dxa"/>
              <w:bottom w:w="50" w:type="dxa"/>
              <w:left w:w="50" w:type="dxa"/>
              <w:right w:w="50" w:type="dxa"/>
            </w:tcMar>
          </w:tcPr>
          <w:p>
            <w:pPr>
              <w:jc w:val="center"/>
            </w:pPr>
            <w:r>
              <w:rPr>
                <w:sz w:val="18"/>
              </w:rPr>
              <w:t>37 / 37 (100%)</w:t>
            </w:r>
          </w:p>
        </w:tc>
        <w:tc>
          <w:tcPr>
            <w:tcW w:type="dxa" w:w="1872"/>
            <w:tcMar>
              <w:top w:w="50" w:type="dxa"/>
              <w:bottom w:w="50" w:type="dxa"/>
              <w:left w:w="50" w:type="dxa"/>
              <w:right w:w="50" w:type="dxa"/>
            </w:tcMar>
          </w:tcPr>
          <w:p>
            <w:pPr>
              <w:jc w:val="center"/>
            </w:pPr>
            <w:r>
              <w:rPr>
                <w:sz w:val="18"/>
              </w:rPr>
              <w:t>100% individual improvement</w:t>
            </w:r>
          </w:p>
        </w:tc>
      </w:tr>
      <w:tr>
        <w:tc>
          <w:tcPr>
            <w:tcW w:type="dxa" w:w="1872"/>
            <w:tcMar>
              <w:top w:w="50" w:type="dxa"/>
              <w:bottom w:w="50" w:type="dxa"/>
              <w:left w:w="50" w:type="dxa"/>
              <w:right w:w="50" w:type="dxa"/>
            </w:tcMar>
          </w:tcPr>
          <w:p>
            <w:r>
              <w:rPr>
                <w:sz w:val="18"/>
              </w:rPr>
              <w:t>Lowest Class Score</w:t>
            </w:r>
          </w:p>
        </w:tc>
        <w:tc>
          <w:tcPr>
            <w:tcW w:type="dxa" w:w="1872"/>
            <w:tcMar>
              <w:top w:w="50" w:type="dxa"/>
              <w:bottom w:w="50" w:type="dxa"/>
              <w:left w:w="50" w:type="dxa"/>
              <w:right w:w="50" w:type="dxa"/>
            </w:tcMar>
          </w:tcPr>
          <w:p>
            <w:r>
              <w:rPr>
                <w:sz w:val="18"/>
              </w:rPr>
              <w:t>Minimum score recorded in class</w:t>
            </w:r>
          </w:p>
        </w:tc>
        <w:tc>
          <w:tcPr>
            <w:tcW w:type="dxa" w:w="1872"/>
            <w:tcMar>
              <w:top w:w="50" w:type="dxa"/>
              <w:bottom w:w="50" w:type="dxa"/>
              <w:left w:w="50" w:type="dxa"/>
              <w:right w:w="50" w:type="dxa"/>
            </w:tcMar>
          </w:tcPr>
          <w:p>
            <w:pPr>
              <w:jc w:val="center"/>
            </w:pPr>
            <w:r>
              <w:rPr>
                <w:sz w:val="18"/>
              </w:rPr>
              <w:t>3 / 15 (20%)</w:t>
            </w:r>
          </w:p>
        </w:tc>
        <w:tc>
          <w:tcPr>
            <w:tcW w:type="dxa" w:w="1872"/>
            <w:tcMar>
              <w:top w:w="50" w:type="dxa"/>
              <w:bottom w:w="50" w:type="dxa"/>
              <w:left w:w="50" w:type="dxa"/>
              <w:right w:w="50" w:type="dxa"/>
            </w:tcMar>
          </w:tcPr>
          <w:p>
            <w:pPr>
              <w:jc w:val="center"/>
            </w:pPr>
            <w:r>
              <w:rPr>
                <w:sz w:val="18"/>
              </w:rPr>
              <w:t>11 / 15 (73%)</w:t>
            </w:r>
          </w:p>
        </w:tc>
        <w:tc>
          <w:tcPr>
            <w:tcW w:type="dxa" w:w="1872"/>
            <w:tcMar>
              <w:top w:w="50" w:type="dxa"/>
              <w:bottom w:w="50" w:type="dxa"/>
              <w:left w:w="50" w:type="dxa"/>
              <w:right w:w="50" w:type="dxa"/>
            </w:tcMar>
          </w:tcPr>
          <w:p>
            <w:pPr>
              <w:jc w:val="center"/>
            </w:pPr>
            <w:r>
              <w:rPr>
                <w:sz w:val="18"/>
              </w:rPr>
              <w:t>+8 marks floor lift</w:t>
            </w:r>
          </w:p>
        </w:tc>
      </w:tr>
    </w:tbl>
    <w:p>
      <w:pPr>
        <w:keepNext/>
        <w:spacing w:before="280" w:after="80"/>
      </w:pPr>
      <w:r>
        <w:rPr>
          <w:rFonts w:ascii="Arial" w:hAnsi="Arial"/>
          <w:b/>
          <w:color w:val="2F3E46"/>
          <w:sz w:val="26"/>
        </w:rPr>
        <w:t>5.2 Detailed Findings &amp; Data Analysis</w:t>
      </w:r>
    </w:p>
    <w:p>
      <w:pPr>
        <w:spacing w:after="120" w:line="276" w:lineRule="auto"/>
      </w:pPr>
      <w:r>
        <w:rPr>
          <w:rFonts w:ascii="Calibri" w:hAnsi="Calibri"/>
          <w:color w:val="212529"/>
          <w:sz w:val="22"/>
        </w:rPr>
        <w:t>Statistical analysis of the 37 matched pre/post score sets revealed dramatic, uniform knowledge gain across all four modules:</w:t>
      </w:r>
    </w:p>
    <w:p>
      <w:pPr>
        <w:spacing w:before="200" w:after="80"/>
        <w:jc w:val="center"/>
      </w:pPr>
      <w:r>
        <w:drawing>
          <wp:inline xmlns:a="http://schemas.openxmlformats.org/drawingml/2006/main" xmlns:pic="http://schemas.openxmlformats.org/drawingml/2006/picture">
            <wp:extent cx="5303520" cy="2724683"/>
            <wp:docPr id="7" name="Picture 7"/>
            <wp:cNvGraphicFramePr>
              <a:graphicFrameLocks noChangeAspect="1"/>
            </wp:cNvGraphicFramePr>
            <a:graphic>
              <a:graphicData uri="http://schemas.openxmlformats.org/drawingml/2006/picture">
                <pic:pic>
                  <pic:nvPicPr>
                    <pic:cNvPr id="0" name="docx_img_9.jpg"/>
                    <pic:cNvPicPr/>
                  </pic:nvPicPr>
                  <pic:blipFill>
                    <a:blip r:embed="rId15"/>
                    <a:stretch>
                      <a:fillRect/>
                    </a:stretch>
                  </pic:blipFill>
                  <pic:spPr>
                    <a:xfrm>
                      <a:off x="0" y="0"/>
                      <a:ext cx="5303520" cy="2724683"/>
                    </a:xfrm>
                    <a:prstGeom prst="rect"/>
                  </pic:spPr>
                </pic:pic>
              </a:graphicData>
            </a:graphic>
          </wp:inline>
        </w:drawing>
      </w:r>
    </w:p>
    <w:p>
      <w:pPr>
        <w:spacing w:after="240"/>
        <w:jc w:val="center"/>
      </w:pPr>
      <w:r>
        <w:rPr>
          <w:rFonts w:ascii="Calibri" w:hAnsi="Calibri"/>
          <w:i/>
          <w:color w:val="6C757D"/>
          <w:sz w:val="19"/>
        </w:rPr>
        <w:t>Figure 5.1: Performance Distribution Doughnut Charts — Before (59% below 40%) vs After (78% in 80-100% band)</w:t>
      </w:r>
    </w:p>
    <w:p>
      <w:pPr>
        <w:spacing w:before="200" w:after="80"/>
        <w:jc w:val="center"/>
      </w:pPr>
      <w:r>
        <w:drawing>
          <wp:inline xmlns:a="http://schemas.openxmlformats.org/drawingml/2006/main" xmlns:pic="http://schemas.openxmlformats.org/drawingml/2006/picture">
            <wp:extent cx="4754880" cy="3696919"/>
            <wp:docPr id="8" name="Picture 8"/>
            <wp:cNvGraphicFramePr>
              <a:graphicFrameLocks noChangeAspect="1"/>
            </wp:cNvGraphicFramePr>
            <a:graphic>
              <a:graphicData uri="http://schemas.openxmlformats.org/drawingml/2006/picture">
                <pic:pic>
                  <pic:nvPicPr>
                    <pic:cNvPr id="0" name="docx_img_8.jpg"/>
                    <pic:cNvPicPr/>
                  </pic:nvPicPr>
                  <pic:blipFill>
                    <a:blip r:embed="rId16"/>
                    <a:stretch>
                      <a:fillRect/>
                    </a:stretch>
                  </pic:blipFill>
                  <pic:spPr>
                    <a:xfrm>
                      <a:off x="0" y="0"/>
                      <a:ext cx="4754880" cy="3696919"/>
                    </a:xfrm>
                    <a:prstGeom prst="rect"/>
                  </pic:spPr>
                </pic:pic>
              </a:graphicData>
            </a:graphic>
          </wp:inline>
        </w:drawing>
      </w:r>
    </w:p>
    <w:p>
      <w:pPr>
        <w:spacing w:after="240"/>
        <w:jc w:val="center"/>
      </w:pPr>
      <w:r>
        <w:rPr>
          <w:rFonts w:ascii="Calibri" w:hAnsi="Calibri"/>
          <w:i/>
          <w:color w:val="6C757D"/>
          <w:sz w:val="19"/>
        </w:rPr>
        <w:t>Figure 5.2: Class Average Score Comparison — Pre-Test (5.1/15) vs Post-Test (12.9/15) [+152% Improvement]</w:t>
      </w:r>
    </w:p>
    <w:p>
      <w:pPr>
        <w:spacing w:before="200" w:after="80"/>
        <w:jc w:val="center"/>
      </w:pPr>
      <w:r>
        <w:drawing>
          <wp:inline xmlns:a="http://schemas.openxmlformats.org/drawingml/2006/main" xmlns:pic="http://schemas.openxmlformats.org/drawingml/2006/picture">
            <wp:extent cx="5303520" cy="6898888"/>
            <wp:docPr id="9" name="Picture 9"/>
            <wp:cNvGraphicFramePr>
              <a:graphicFrameLocks noChangeAspect="1"/>
            </wp:cNvGraphicFramePr>
            <a:graphic>
              <a:graphicData uri="http://schemas.openxmlformats.org/drawingml/2006/picture">
                <pic:pic>
                  <pic:nvPicPr>
                    <pic:cNvPr id="0" name="docx_img_7.jpg"/>
                    <pic:cNvPicPr/>
                  </pic:nvPicPr>
                  <pic:blipFill>
                    <a:blip r:embed="rId17"/>
                    <a:stretch>
                      <a:fillRect/>
                    </a:stretch>
                  </pic:blipFill>
                  <pic:spPr>
                    <a:xfrm>
                      <a:off x="0" y="0"/>
                      <a:ext cx="5303520" cy="6898888"/>
                    </a:xfrm>
                    <a:prstGeom prst="rect"/>
                  </pic:spPr>
                </pic:pic>
              </a:graphicData>
            </a:graphic>
          </wp:inline>
        </w:drawing>
      </w:r>
    </w:p>
    <w:p>
      <w:pPr>
        <w:spacing w:after="240"/>
        <w:jc w:val="center"/>
      </w:pPr>
      <w:r>
        <w:rPr>
          <w:rFonts w:ascii="Calibri" w:hAnsi="Calibri"/>
          <w:i/>
          <w:color w:val="6C757D"/>
          <w:sz w:val="19"/>
        </w:rPr>
        <w:t>Figure 5.3: Individual Student Score Progress (Lollipop Chart) — 37 out of 37 Students Improved</w:t>
      </w:r>
    </w:p>
    <w:p>
      <w:pPr>
        <w:spacing w:after="120" w:line="276" w:lineRule="auto"/>
      </w:pPr>
      <w:r>
        <w:rPr>
          <w:rFonts w:ascii="Calibri" w:hAnsi="Calibri"/>
          <w:color w:val="212529"/>
          <w:sz w:val="22"/>
        </w:rPr>
        <w:t>Topic-Wise Improvement Breakdown:</w:t>
      </w:r>
    </w:p>
    <w:p>
      <w:pPr>
        <w:pStyle w:val="ListBullet"/>
        <w:spacing w:after="60" w:line="276" w:lineRule="auto"/>
      </w:pPr>
      <w:r>
        <w:rPr>
          <w:rFonts w:ascii="Calibri" w:hAnsi="Calibri"/>
          <w:b/>
          <w:color w:val="212529"/>
          <w:sz w:val="22"/>
        </w:rPr>
        <w:t xml:space="preserve">UPI &amp; Digital Payment Safety: </w:t>
      </w:r>
      <w:r>
        <w:rPr>
          <w:rFonts w:ascii="Calibri" w:hAnsi="Calibri"/>
          <w:color w:val="212529"/>
          <w:sz w:val="22"/>
        </w:rPr>
        <w:t>Pre-test accuracy was 28%. Students frequently confused OTP with PINs. Post-test accuracy reached 92% after live phone demos.</w:t>
      </w:r>
    </w:p>
    <w:p>
      <w:pPr>
        <w:pStyle w:val="ListBullet"/>
        <w:spacing w:after="60" w:line="276" w:lineRule="auto"/>
      </w:pPr>
      <w:r>
        <w:rPr>
          <w:rFonts w:ascii="Calibri" w:hAnsi="Calibri"/>
          <w:b/>
          <w:color w:val="212529"/>
          <w:sz w:val="22"/>
        </w:rPr>
        <w:t xml:space="preserve">Savings &amp; Banking Mechanics: </w:t>
      </w:r>
      <w:r>
        <w:rPr>
          <w:rFonts w:ascii="Calibri" w:hAnsi="Calibri"/>
          <w:color w:val="212529"/>
          <w:sz w:val="22"/>
        </w:rPr>
        <w:t>Pre-test accuracy was 35%. Post-test accuracy rose to 88%, with students learning zero-balance account eligibility.</w:t>
      </w:r>
    </w:p>
    <w:p>
      <w:pPr>
        <w:pStyle w:val="ListBullet"/>
        <w:spacing w:after="60" w:line="276" w:lineRule="auto"/>
      </w:pPr>
      <w:r>
        <w:rPr>
          <w:rFonts w:ascii="Calibri" w:hAnsi="Calibri"/>
          <w:b/>
          <w:color w:val="212529"/>
          <w:sz w:val="22"/>
        </w:rPr>
        <w:t xml:space="preserve">Insurance &amp; Govt. Schemes: </w:t>
      </w:r>
      <w:r>
        <w:rPr>
          <w:rFonts w:ascii="Calibri" w:hAnsi="Calibri"/>
          <w:color w:val="212529"/>
          <w:sz w:val="22"/>
        </w:rPr>
        <w:t>Pre-test accuracy was 31%. Over 80% of students were unaware of PM Scholarship prior to the session; post-test accuracy reached 84%.</w:t>
      </w:r>
    </w:p>
    <w:p>
      <w:pPr>
        <w:pStyle w:val="ListBullet"/>
        <w:spacing w:after="60" w:line="276" w:lineRule="auto"/>
      </w:pPr>
      <w:r>
        <w:rPr>
          <w:rFonts w:ascii="Calibri" w:hAnsi="Calibri"/>
          <w:b/>
          <w:color w:val="212529"/>
          <w:sz w:val="22"/>
        </w:rPr>
        <w:t xml:space="preserve">Budgeting &amp; Financial Planning: </w:t>
      </w:r>
      <w:r>
        <w:rPr>
          <w:rFonts w:ascii="Calibri" w:hAnsi="Calibri"/>
          <w:color w:val="212529"/>
          <w:sz w:val="22"/>
        </w:rPr>
        <w:t>Pre-test accuracy was 41%. Post-test accuracy reached 82% as students mastered the 50/30/20 budgeting rule.</w:t>
      </w:r>
    </w:p>
    <w:p>
      <w:r>
        <w:br w:type="page"/>
      </w:r>
    </w:p>
    <w:p>
      <w:pPr>
        <w:keepNext/>
        <w:spacing w:before="360" w:after="120"/>
      </w:pPr>
      <w:r>
        <w:rPr>
          <w:rFonts w:ascii="Arial" w:hAnsi="Arial"/>
          <w:b/>
          <w:color w:val="0F2043"/>
          <w:sz w:val="32"/>
        </w:rPr>
        <w:t>CHAPTER 6: REVIEW 1 FEEDBACK &amp; ACTIONS TAKEN</w:t>
      </w:r>
    </w:p>
    <w:p>
      <w:pPr>
        <w:spacing w:after="120" w:line="276" w:lineRule="auto"/>
      </w:pPr>
      <w:r>
        <w:rPr>
          <w:rFonts w:ascii="Calibri" w:hAnsi="Calibri"/>
          <w:color w:val="212529"/>
          <w:sz w:val="22"/>
        </w:rPr>
        <w:t>During Review 1, the evaluation panel provided specific suggestions to enhance project rigor, community partner verification, assessment design, and outcome measurement. The table below details every feedback item and the corresponding actions taken by team BATCH-13D:</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F5F7FA"/>
            <w:tcMar>
              <w:top w:w="60" w:type="dxa"/>
              <w:bottom w:w="60" w:type="dxa"/>
              <w:left w:w="80" w:type="dxa"/>
              <w:right w:w="80" w:type="dxa"/>
            </w:tcMar>
          </w:tcPr>
          <w:p>
            <w:r>
              <w:rPr>
                <w:b/>
                <w:color w:val="0F2043"/>
              </w:rPr>
              <w:t>Review 1 Panel Feedback Query</w:t>
            </w:r>
          </w:p>
        </w:tc>
        <w:tc>
          <w:tcPr>
            <w:tcW w:type="dxa" w:w="3120"/>
            <w:shd w:fill="F5F7FA"/>
            <w:tcMar>
              <w:top w:w="60" w:type="dxa"/>
              <w:bottom w:w="60" w:type="dxa"/>
              <w:left w:w="80" w:type="dxa"/>
              <w:right w:w="80" w:type="dxa"/>
            </w:tcMar>
          </w:tcPr>
          <w:p>
            <w:r>
              <w:rPr>
                <w:b/>
                <w:color w:val="0F2043"/>
              </w:rPr>
              <w:t>Action Taken by Team BATCH-13D</w:t>
            </w:r>
          </w:p>
        </w:tc>
        <w:tc>
          <w:tcPr>
            <w:tcW w:type="dxa" w:w="3120"/>
            <w:shd w:fill="F5F7FA"/>
            <w:tcMar>
              <w:top w:w="60" w:type="dxa"/>
              <w:bottom w:w="60" w:type="dxa"/>
              <w:left w:w="80" w:type="dxa"/>
              <w:right w:w="80" w:type="dxa"/>
            </w:tcMar>
          </w:tcPr>
          <w:p>
            <w:r>
              <w:rPr>
                <w:b/>
                <w:color w:val="0F2043"/>
              </w:rPr>
              <w:t>Final Outcome &amp; Verification</w:t>
            </w:r>
          </w:p>
        </w:tc>
      </w:tr>
      <w:tr>
        <w:tc>
          <w:tcPr>
            <w:tcW w:type="dxa" w:w="3120"/>
            <w:tcMar>
              <w:top w:w="60" w:type="dxa"/>
              <w:bottom w:w="60" w:type="dxa"/>
              <w:left w:w="80" w:type="dxa"/>
              <w:right w:w="80" w:type="dxa"/>
            </w:tcMar>
          </w:tcPr>
          <w:p>
            <w:r>
              <w:rPr>
                <w:sz w:val="19"/>
              </w:rPr>
              <w:t>1. Finalize Community Partner &amp; Confirm Student Count</w:t>
            </w:r>
          </w:p>
        </w:tc>
        <w:tc>
          <w:tcPr>
            <w:tcW w:type="dxa" w:w="3120"/>
            <w:tcMar>
              <w:top w:w="60" w:type="dxa"/>
              <w:bottom w:w="60" w:type="dxa"/>
              <w:left w:w="80" w:type="dxa"/>
              <w:right w:w="80" w:type="dxa"/>
            </w:tcMar>
          </w:tcPr>
          <w:p>
            <w:r>
              <w:rPr>
                <w:sz w:val="19"/>
              </w:rPr>
              <w:t>Partnered with Government Junior College, Vizianagaram Town (Code: 02197). Enrolled a fixed cohort of 37 Class XII students.</w:t>
            </w:r>
          </w:p>
        </w:tc>
        <w:tc>
          <w:tcPr>
            <w:tcW w:type="dxa" w:w="3120"/>
            <w:tcMar>
              <w:top w:w="60" w:type="dxa"/>
              <w:bottom w:w="60" w:type="dxa"/>
              <w:left w:w="80" w:type="dxa"/>
              <w:right w:w="80" w:type="dxa"/>
            </w:tcMar>
          </w:tcPr>
          <w:p>
            <w:r>
              <w:rPr>
                <w:sz w:val="19"/>
              </w:rPr>
              <w:t>Written permission obtained from Principal. 37 students participated on 26-09-2026.</w:t>
            </w:r>
          </w:p>
        </w:tc>
      </w:tr>
      <w:tr>
        <w:tc>
          <w:tcPr>
            <w:tcW w:type="dxa" w:w="3120"/>
            <w:tcMar>
              <w:top w:w="60" w:type="dxa"/>
              <w:bottom w:w="60" w:type="dxa"/>
              <w:left w:w="80" w:type="dxa"/>
              <w:right w:w="80" w:type="dxa"/>
            </w:tcMar>
          </w:tcPr>
          <w:p>
            <w:r>
              <w:rPr>
                <w:sz w:val="19"/>
              </w:rPr>
              <w:t>2. Design Measurable Assessment Strategy</w:t>
            </w:r>
          </w:p>
        </w:tc>
        <w:tc>
          <w:tcPr>
            <w:tcW w:type="dxa" w:w="3120"/>
            <w:tcMar>
              <w:top w:w="60" w:type="dxa"/>
              <w:bottom w:w="60" w:type="dxa"/>
              <w:left w:w="80" w:type="dxa"/>
              <w:right w:w="80" w:type="dxa"/>
            </w:tcMar>
          </w:tcPr>
          <w:p>
            <w:r>
              <w:rPr>
                <w:sz w:val="19"/>
              </w:rPr>
              <w:t>Constructed a 15-mark multiple-choice pre-test and identical post-test covering all 4 awareness modules.</w:t>
            </w:r>
          </w:p>
        </w:tc>
        <w:tc>
          <w:tcPr>
            <w:tcW w:type="dxa" w:w="3120"/>
            <w:tcMar>
              <w:top w:w="60" w:type="dxa"/>
              <w:bottom w:w="60" w:type="dxa"/>
              <w:left w:w="80" w:type="dxa"/>
              <w:right w:w="80" w:type="dxa"/>
            </w:tcMar>
          </w:tcPr>
          <w:p>
            <w:r>
              <w:rPr>
                <w:sz w:val="19"/>
              </w:rPr>
              <w:t>100% completion rate (37/37 matched papers). Average score rose from 34% to 86%.</w:t>
            </w:r>
          </w:p>
        </w:tc>
      </w:tr>
      <w:tr>
        <w:tc>
          <w:tcPr>
            <w:tcW w:type="dxa" w:w="3120"/>
            <w:tcMar>
              <w:top w:w="60" w:type="dxa"/>
              <w:bottom w:w="60" w:type="dxa"/>
              <w:left w:w="80" w:type="dxa"/>
              <w:right w:w="80" w:type="dxa"/>
            </w:tcMar>
          </w:tcPr>
          <w:p>
            <w:r>
              <w:rPr>
                <w:sz w:val="19"/>
              </w:rPr>
              <w:t>3. Document Field Evidence &amp; Geotagging</w:t>
            </w:r>
          </w:p>
        </w:tc>
        <w:tc>
          <w:tcPr>
            <w:tcW w:type="dxa" w:w="3120"/>
            <w:tcMar>
              <w:top w:w="60" w:type="dxa"/>
              <w:bottom w:w="60" w:type="dxa"/>
              <w:left w:w="80" w:type="dxa"/>
              <w:right w:w="80" w:type="dxa"/>
            </w:tcMar>
          </w:tcPr>
          <w:p>
            <w:r>
              <w:rPr>
                <w:sz w:val="19"/>
              </w:rPr>
              <w:t>Captured comprehensive field photographs during all session stages, including entrance, smart board demos, and student participation.</w:t>
            </w:r>
          </w:p>
        </w:tc>
        <w:tc>
          <w:tcPr>
            <w:tcW w:type="dxa" w:w="3120"/>
            <w:tcMar>
              <w:top w:w="60" w:type="dxa"/>
              <w:bottom w:w="60" w:type="dxa"/>
              <w:left w:w="80" w:type="dxa"/>
              <w:right w:w="80" w:type="dxa"/>
            </w:tcMar>
          </w:tcPr>
          <w:p>
            <w:r>
              <w:rPr>
                <w:sz w:val="19"/>
              </w:rPr>
              <w:t>Detailed photo documentation with geotags and dates attached in Chapter 4 and Appendix C.</w:t>
            </w:r>
          </w:p>
        </w:tc>
      </w:tr>
      <w:tr>
        <w:tc>
          <w:tcPr>
            <w:tcW w:type="dxa" w:w="3120"/>
            <w:tcMar>
              <w:top w:w="60" w:type="dxa"/>
              <w:bottom w:w="60" w:type="dxa"/>
              <w:left w:w="80" w:type="dxa"/>
              <w:right w:w="80" w:type="dxa"/>
            </w:tcMar>
          </w:tcPr>
          <w:p>
            <w:r>
              <w:rPr>
                <w:sz w:val="19"/>
              </w:rPr>
              <w:t>4. Provide Tangible Community Deliverable</w:t>
            </w:r>
          </w:p>
        </w:tc>
        <w:tc>
          <w:tcPr>
            <w:tcW w:type="dxa" w:w="3120"/>
            <w:tcMar>
              <w:top w:w="60" w:type="dxa"/>
              <w:bottom w:w="60" w:type="dxa"/>
              <w:left w:w="80" w:type="dxa"/>
              <w:right w:w="80" w:type="dxa"/>
            </w:tcMar>
          </w:tcPr>
          <w:p>
            <w:r>
              <w:rPr>
                <w:sz w:val="19"/>
              </w:rPr>
              <w:t>Designed and distributed a concise 1-page Personal Finance Handout in Telugu and English covering banking, UPI safety, and schemes.</w:t>
            </w:r>
          </w:p>
        </w:tc>
        <w:tc>
          <w:tcPr>
            <w:tcW w:type="dxa" w:w="3120"/>
            <w:tcMar>
              <w:top w:w="60" w:type="dxa"/>
              <w:bottom w:w="60" w:type="dxa"/>
              <w:left w:w="80" w:type="dxa"/>
              <w:right w:w="80" w:type="dxa"/>
            </w:tcMar>
          </w:tcPr>
          <w:p>
            <w:r>
              <w:rPr>
                <w:sz w:val="19"/>
              </w:rPr>
              <w:t>All 37 students received printed handouts for personal use and family sharing.</w:t>
            </w:r>
          </w:p>
        </w:tc>
      </w:tr>
    </w:tbl>
    <w:p>
      <w:r>
        <w:br w:type="page"/>
      </w:r>
    </w:p>
    <w:p>
      <w:pPr>
        <w:keepNext/>
        <w:spacing w:before="360" w:after="120"/>
      </w:pPr>
      <w:r>
        <w:rPr>
          <w:rFonts w:ascii="Arial" w:hAnsi="Arial"/>
          <w:b/>
          <w:color w:val="0F2043"/>
          <w:sz w:val="32"/>
        </w:rPr>
        <w:t>CHAPTER 7: CONCLUSION &amp; RECOMMENDATIONS</w:t>
      </w:r>
    </w:p>
    <w:p>
      <w:pPr>
        <w:keepNext/>
        <w:spacing w:before="280" w:after="80"/>
      </w:pPr>
      <w:r>
        <w:rPr>
          <w:rFonts w:ascii="Arial" w:hAnsi="Arial"/>
          <w:b/>
          <w:color w:val="2F3E46"/>
          <w:sz w:val="26"/>
        </w:rPr>
        <w:t>7.1 Conclusion</w:t>
      </w:r>
    </w:p>
    <w:p>
      <w:pPr>
        <w:spacing w:after="120" w:line="276" w:lineRule="auto"/>
      </w:pPr>
      <w:r>
        <w:rPr>
          <w:rFonts w:ascii="Calibri" w:hAnsi="Calibri"/>
          <w:color w:val="212529"/>
          <w:sz w:val="22"/>
        </w:rPr>
        <w:t>The Financial Literacy Programme for Rural Youth (PS090) successfully achieved its core objectives. By delivering a structured 4-module interactive curriculum to 37 Class XII students at Govt. Junior College, Vizianagaram Town, the project effectively transformed baseline financial knowledge from 34% (5.1/15) to 86% (12.9/15)—a +152% improvement. Every single participating student (37/37) demonstrated individual score growth. The intervention equipped rural youth with vital digital payment safety skills, awareness of government welfare schemes, and budgeting fundamentals.</w:t>
      </w:r>
    </w:p>
    <w:p>
      <w:pPr>
        <w:keepNext/>
        <w:spacing w:before="280" w:after="80"/>
      </w:pPr>
      <w:r>
        <w:rPr>
          <w:rFonts w:ascii="Arial" w:hAnsi="Arial"/>
          <w:b/>
          <w:color w:val="2F3E46"/>
          <w:sz w:val="26"/>
        </w:rPr>
        <w:t>7.2 Project Limitations</w:t>
      </w:r>
    </w:p>
    <w:p>
      <w:pPr>
        <w:pStyle w:val="ListBullet"/>
        <w:spacing w:after="60" w:line="276" w:lineRule="auto"/>
      </w:pPr>
      <w:r>
        <w:rPr>
          <w:rFonts w:ascii="Calibri" w:hAnsi="Calibri"/>
          <w:b/>
          <w:color w:val="212529"/>
          <w:sz w:val="22"/>
        </w:rPr>
        <w:t xml:space="preserve">Single Session Duration: </w:t>
      </w:r>
      <w:r>
        <w:rPr>
          <w:rFonts w:ascii="Calibri" w:hAnsi="Calibri"/>
          <w:color w:val="212529"/>
          <w:sz w:val="22"/>
        </w:rPr>
        <w:t>While knowledge gain was immediate and substantial, long-term retention requires periodic reinforcement over 6 to 12 months.</w:t>
      </w:r>
    </w:p>
    <w:p>
      <w:pPr>
        <w:pStyle w:val="ListBullet"/>
        <w:spacing w:after="60" w:line="276" w:lineRule="auto"/>
      </w:pPr>
      <w:r>
        <w:rPr>
          <w:rFonts w:ascii="Calibri" w:hAnsi="Calibri"/>
          <w:b/>
          <w:color w:val="212529"/>
          <w:sz w:val="22"/>
        </w:rPr>
        <w:t xml:space="preserve">Socioeconomic Variance: </w:t>
      </w:r>
      <w:r>
        <w:rPr>
          <w:rFonts w:ascii="Calibri" w:hAnsi="Calibri"/>
          <w:color w:val="212529"/>
          <w:sz w:val="22"/>
        </w:rPr>
        <w:t>Variable household income levels influenced how quickly students could apply savings concepts in practice.</w:t>
      </w:r>
    </w:p>
    <w:p>
      <w:pPr>
        <w:keepNext/>
        <w:spacing w:before="280" w:after="80"/>
      </w:pPr>
      <w:r>
        <w:rPr>
          <w:rFonts w:ascii="Arial" w:hAnsi="Arial"/>
          <w:b/>
          <w:color w:val="2F3E46"/>
          <w:sz w:val="26"/>
        </w:rPr>
        <w:t>7.3 Future Recommendations &amp; Scaling</w:t>
      </w:r>
    </w:p>
    <w:p>
      <w:pPr>
        <w:pStyle w:val="ListBullet"/>
        <w:spacing w:after="60" w:line="276" w:lineRule="auto"/>
      </w:pPr>
      <w:r>
        <w:rPr>
          <w:rFonts w:ascii="Calibri" w:hAnsi="Calibri"/>
          <w:b/>
          <w:color w:val="212529"/>
          <w:sz w:val="22"/>
        </w:rPr>
        <w:t xml:space="preserve">Institutional Integration: </w:t>
      </w:r>
      <w:r>
        <w:rPr>
          <w:rFonts w:ascii="Calibri" w:hAnsi="Calibri"/>
          <w:color w:val="212529"/>
          <w:sz w:val="22"/>
        </w:rPr>
        <w:t>Encourage the institution to integrate a mandatory 2-hour financial safety orientation into every Class XII academic year.</w:t>
      </w:r>
    </w:p>
    <w:p>
      <w:pPr>
        <w:pStyle w:val="ListBullet"/>
        <w:spacing w:after="60" w:line="276" w:lineRule="auto"/>
      </w:pPr>
      <w:r>
        <w:rPr>
          <w:rFonts w:ascii="Calibri" w:hAnsi="Calibri"/>
          <w:b/>
          <w:color w:val="212529"/>
          <w:sz w:val="22"/>
        </w:rPr>
        <w:t xml:space="preserve">Bilingual Handouts: </w:t>
      </w:r>
      <w:r>
        <w:rPr>
          <w:rFonts w:ascii="Calibri" w:hAnsi="Calibri"/>
          <w:color w:val="212529"/>
          <w:sz w:val="22"/>
        </w:rPr>
        <w:t>Translate handouts into local languages (Telugu) for broader parental reach in rural villages.</w:t>
      </w:r>
    </w:p>
    <w:p>
      <w:pPr>
        <w:pStyle w:val="ListBullet"/>
        <w:spacing w:after="60" w:line="276" w:lineRule="auto"/>
      </w:pPr>
      <w:r>
        <w:rPr>
          <w:rFonts w:ascii="Calibri" w:hAnsi="Calibri"/>
          <w:b/>
          <w:color w:val="212529"/>
          <w:sz w:val="22"/>
        </w:rPr>
        <w:t xml:space="preserve">District-Wide Scaling: </w:t>
      </w:r>
      <w:r>
        <w:rPr>
          <w:rFonts w:ascii="Calibri" w:hAnsi="Calibri"/>
          <w:color w:val="212529"/>
          <w:sz w:val="22"/>
        </w:rPr>
        <w:t>Replicate this 4-module framework across other rural government junior colleges in Vizianagaram district.</w:t>
      </w:r>
    </w:p>
    <w:p>
      <w:r>
        <w:br w:type="page"/>
      </w:r>
    </w:p>
    <w:p>
      <w:pPr>
        <w:keepNext/>
        <w:spacing w:before="360" w:after="120"/>
      </w:pPr>
      <w:r>
        <w:rPr>
          <w:rFonts w:ascii="Arial" w:hAnsi="Arial"/>
          <w:b/>
          <w:color w:val="0F2043"/>
          <w:sz w:val="32"/>
        </w:rPr>
        <w:t>REFERENCES</w:t>
      </w:r>
    </w:p>
    <w:p>
      <w:pPr>
        <w:spacing w:after="160" w:line="276" w:lineRule="auto"/>
      </w:pPr>
      <w:r>
        <w:rPr>
          <w:rFonts w:ascii="Calibri" w:hAnsi="Calibri"/>
          <w:color w:val="212529"/>
          <w:sz w:val="22"/>
        </w:rPr>
        <w:t>1. Reserve Bank of India (RBI). (2024). Financial Education Series for School Students. RBI Financial Literacy Center. Available at: https://www.rbi.org.in</w:t>
      </w:r>
    </w:p>
    <w:p>
      <w:pPr>
        <w:spacing w:after="160" w:line="276" w:lineRule="auto"/>
      </w:pPr>
      <w:r>
        <w:rPr>
          <w:rFonts w:ascii="Calibri" w:hAnsi="Calibri"/>
          <w:color w:val="212529"/>
          <w:sz w:val="22"/>
        </w:rPr>
        <w:t>2. National Payments Corporation of India (NPCI). (2025). Safe Digital Banking &amp; UPI Security Guidelines. NPCI Safety Portal. Available at: https://www.npci.org.in</w:t>
      </w:r>
    </w:p>
    <w:p>
      <w:pPr>
        <w:spacing w:after="160" w:line="276" w:lineRule="auto"/>
      </w:pPr>
      <w:r>
        <w:rPr>
          <w:rFonts w:ascii="Calibri" w:hAnsi="Calibri"/>
          <w:color w:val="212529"/>
          <w:sz w:val="22"/>
        </w:rPr>
        <w:t>3. CERT-In (Indian Computer Emergency Response Team). (2025). Cyber Security Advisory on Mobile Payment Scams and Phishing. Ministry of Electronics and Information Technology, Govt. of India. Available at: https://www.cert-in.org.in</w:t>
      </w:r>
    </w:p>
    <w:p>
      <w:pPr>
        <w:spacing w:after="160" w:line="276" w:lineRule="auto"/>
      </w:pPr>
      <w:r>
        <w:rPr>
          <w:rFonts w:ascii="Calibri" w:hAnsi="Calibri"/>
          <w:color w:val="212529"/>
          <w:sz w:val="22"/>
        </w:rPr>
        <w:t>4. Securities and Exchange Board of India (SEBI). (2024). Financial Planning &amp; Investor Awareness Booklet. SEBI Investor Education. Available at: https://www.sebi.gov.in</w:t>
      </w:r>
    </w:p>
    <w:p>
      <w:pPr>
        <w:spacing w:after="160" w:line="276" w:lineRule="auto"/>
      </w:pPr>
      <w:r>
        <w:rPr>
          <w:rFonts w:ascii="Calibri" w:hAnsi="Calibri"/>
          <w:color w:val="212529"/>
          <w:sz w:val="22"/>
        </w:rPr>
        <w:t>5. Ministry of Finance, Govt. of India. (2025). Pradhan Mantri Jan Dhan Yojana (PMJDY) &amp; Social Security Schemes Portal. Available at: https://pmjdy.gov.in</w:t>
      </w:r>
    </w:p>
    <w:p>
      <w:r>
        <w:br w:type="page"/>
      </w:r>
    </w:p>
    <w:p>
      <w:pPr>
        <w:keepNext/>
        <w:spacing w:before="360" w:after="120"/>
      </w:pPr>
      <w:r>
        <w:rPr>
          <w:rFonts w:ascii="Arial" w:hAnsi="Arial"/>
          <w:b/>
          <w:color w:val="0F2043"/>
          <w:sz w:val="32"/>
        </w:rPr>
        <w:t>APPENDICES</w:t>
      </w:r>
    </w:p>
    <w:p>
      <w:pPr>
        <w:keepNext/>
        <w:spacing w:before="280" w:after="80"/>
      </w:pPr>
      <w:r>
        <w:rPr>
          <w:rFonts w:ascii="Arial" w:hAnsi="Arial"/>
          <w:b/>
          <w:color w:val="2F3E46"/>
          <w:sz w:val="26"/>
        </w:rPr>
        <w:t>Appendix A: Survey Instrument (15-Mark MCQ Pre/Post Assessment)</w:t>
      </w:r>
    </w:p>
    <w:p>
      <w:pPr>
        <w:spacing w:after="120" w:line="276" w:lineRule="auto"/>
      </w:pPr>
      <w:r>
        <w:rPr>
          <w:rFonts w:ascii="Calibri" w:hAnsi="Calibri"/>
          <w:color w:val="212529"/>
          <w:sz w:val="22"/>
        </w:rPr>
        <w:t>The 15-mark multiple choice questionnaire contained 4 questions on Savings &amp; Banking, 4 on UPI &amp; Digital Security, 4 on Insurance &amp; Govt. Schemes, and 3 on Financial Planning &amp; Budgeting.</w:t>
      </w:r>
    </w:p>
    <w:p>
      <w:pPr>
        <w:keepNext/>
        <w:spacing w:before="280" w:after="80"/>
      </w:pPr>
      <w:r>
        <w:rPr>
          <w:rFonts w:ascii="Arial" w:hAnsi="Arial"/>
          <w:b/>
          <w:color w:val="2F3E46"/>
          <w:sz w:val="26"/>
        </w:rPr>
        <w:t>Appendix B: Field Visit Photograph Gallery</w:t>
      </w:r>
    </w:p>
    <w:p>
      <w:pPr>
        <w:spacing w:after="120" w:line="276" w:lineRule="auto"/>
      </w:pPr>
      <w:r>
        <w:rPr>
          <w:rFonts w:ascii="Calibri" w:hAnsi="Calibri"/>
          <w:color w:val="212529"/>
          <w:sz w:val="22"/>
        </w:rPr>
        <w:t>Comprehensive collage and photograph records documenting the fieldwork at Govt. Junior College, Vizianagaram Town on 26-09-2026:</w:t>
      </w:r>
    </w:p>
    <w:p>
      <w:pPr>
        <w:spacing w:before="200" w:after="80"/>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pptx_slide_16_img_9.jpg"/>
                    <pic:cNvPicPr/>
                  </pic:nvPicPr>
                  <pic:blipFill>
                    <a:blip r:embed="rId18"/>
                    <a:stretch>
                      <a:fillRect/>
                    </a:stretch>
                  </pic:blipFill>
                  <pic:spPr>
                    <a:xfrm>
                      <a:off x="0" y="0"/>
                      <a:ext cx="5486400" cy="3429000"/>
                    </a:xfrm>
                    <a:prstGeom prst="rect"/>
                  </pic:spPr>
                </pic:pic>
              </a:graphicData>
            </a:graphic>
          </wp:inline>
        </w:drawing>
      </w:r>
    </w:p>
    <w:p>
      <w:pPr>
        <w:spacing w:after="240"/>
        <w:jc w:val="center"/>
      </w:pPr>
      <w:r>
        <w:rPr>
          <w:rFonts w:ascii="Calibri" w:hAnsi="Calibri"/>
          <w:i/>
          <w:color w:val="6C757D"/>
          <w:sz w:val="19"/>
        </w:rPr>
        <w:t>Figure C.1: Complete Field Documentation Grid — Entrance, Presentation, Classroom Engagement, and Group Photo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