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ov61duu6nze" w:id="0"/>
      <w:bookmarkEnd w:id="0"/>
      <w:r w:rsidDel="00000000" w:rsidR="00000000" w:rsidRPr="00000000">
        <w:rPr>
          <w:rtl w:val="0"/>
        </w:rPr>
        <w:t xml:space="preserve">RED QUEEN</w:t>
      </w:r>
    </w:p>
    <w:p w:rsidR="00000000" w:rsidDel="00000000" w:rsidP="00000000" w:rsidRDefault="00000000" w:rsidRPr="00000000" w14:paraId="00000002">
      <w:pPr>
        <w:jc w:val="center"/>
        <w:rPr/>
      </w:pPr>
      <w:r w:rsidDel="00000000" w:rsidR="00000000" w:rsidRPr="00000000">
        <w:rPr>
          <w:rtl w:val="0"/>
        </w:rPr>
        <w:t xml:space="preserve">PLANTEAMIENTO Y PLANIFICACIÓN CYBER RANGE ADAPTATIVO</w:t>
      </w:r>
    </w:p>
    <w:p w:rsidR="00000000" w:rsidDel="00000000" w:rsidP="00000000" w:rsidRDefault="00000000" w:rsidRPr="00000000" w14:paraId="00000003">
      <w:pPr>
        <w:pStyle w:val="Title"/>
        <w:spacing w:after="200" w:lineRule="auto"/>
        <w:jc w:val="center"/>
        <w:rPr/>
      </w:pPr>
      <w:bookmarkStart w:colFirst="0" w:colLast="0" w:name="_4wt92ha3h2dl" w:id="1"/>
      <w:bookmarkEnd w:id="1"/>
      <w:r w:rsidDel="00000000" w:rsidR="00000000" w:rsidRPr="00000000">
        <w:rPr>
          <w:smallCaps w:val="1"/>
          <w:sz w:val="32"/>
          <w:szCs w:val="32"/>
        </w:rPr>
        <w:drawing>
          <wp:inline distB="114300" distT="114300" distL="114300" distR="114300">
            <wp:extent cx="3449475" cy="391358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49475" cy="391358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spacing w:after="200" w:lineRule="auto"/>
        <w:jc w:val="center"/>
        <w:rPr>
          <w:smallCaps w:val="1"/>
          <w:sz w:val="32"/>
          <w:szCs w:val="32"/>
        </w:rPr>
      </w:pPr>
      <w:bookmarkStart w:colFirst="0" w:colLast="0" w:name="_thix3pog6rpq" w:id="2"/>
      <w:bookmarkEnd w:id="2"/>
      <w:r w:rsidDel="00000000" w:rsidR="00000000" w:rsidRPr="00000000">
        <w:rPr>
          <w:smallCaps w:val="1"/>
          <w:sz w:val="32"/>
          <w:szCs w:val="32"/>
          <w:rtl w:val="0"/>
        </w:rPr>
        <w:t xml:space="preserve">Curso 2026-2027</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Title"/>
        <w:spacing w:after="200" w:lineRule="auto"/>
        <w:jc w:val="center"/>
        <w:rPr>
          <w:b w:val="1"/>
          <w:bCs w:val="1"/>
          <w:smallCaps w:val="1"/>
          <w:sz w:val="32"/>
          <w:szCs w:val="32"/>
        </w:rPr>
      </w:pPr>
      <w:bookmarkStart w:colFirst="0" w:colLast="0" w:name="_ds19ve6odl39" w:id="3"/>
      <w:bookmarkEnd w:id="3"/>
      <w:r w:rsidDel="00000000" w:rsidR="00000000" w:rsidRPr="00000000">
        <w:rPr>
          <w:b w:val="1"/>
          <w:bCs w:val="1"/>
          <w:smallCaps w:val="1"/>
          <w:sz w:val="32"/>
          <w:szCs w:val="32"/>
          <w:rtl w:val="0"/>
        </w:rPr>
        <w:t xml:space="preserve">Autores</w:t>
      </w:r>
    </w:p>
    <w:p w:rsidR="00000000" w:rsidDel="00000000" w:rsidP="00000000" w:rsidRDefault="00000000" w:rsidRPr="00000000" w14:paraId="00000007">
      <w:pPr>
        <w:pStyle w:val="Title"/>
        <w:spacing w:after="0" w:lineRule="auto"/>
        <w:jc w:val="center"/>
        <w:rPr>
          <w:smallCaps w:val="1"/>
          <w:sz w:val="24"/>
          <w:szCs w:val="24"/>
        </w:rPr>
      </w:pPr>
      <w:bookmarkStart w:colFirst="0" w:colLast="0" w:name="_9m0ffgbcin72" w:id="4"/>
      <w:bookmarkEnd w:id="4"/>
      <w:r w:rsidDel="00000000" w:rsidR="00000000" w:rsidRPr="00000000">
        <w:rPr>
          <w:smallCaps w:val="1"/>
          <w:sz w:val="24"/>
          <w:szCs w:val="24"/>
          <w:rtl w:val="0"/>
        </w:rPr>
        <w:t xml:space="preserve">FRANCESCA LUISIANA MENDOZA CIRRINCIONE</w:t>
      </w:r>
    </w:p>
    <w:p w:rsidR="00000000" w:rsidDel="00000000" w:rsidP="00000000" w:rsidRDefault="00000000" w:rsidRPr="00000000" w14:paraId="00000008">
      <w:pPr>
        <w:pStyle w:val="Title"/>
        <w:spacing w:after="0" w:lineRule="auto"/>
        <w:jc w:val="center"/>
        <w:rPr>
          <w:smallCaps w:val="1"/>
          <w:sz w:val="24"/>
          <w:szCs w:val="24"/>
        </w:rPr>
      </w:pPr>
      <w:bookmarkStart w:colFirst="0" w:colLast="0" w:name="_cht90m3e91sn" w:id="5"/>
      <w:bookmarkEnd w:id="5"/>
      <w:r w:rsidDel="00000000" w:rsidR="00000000" w:rsidRPr="00000000">
        <w:rPr>
          <w:smallCaps w:val="1"/>
          <w:sz w:val="24"/>
          <w:szCs w:val="24"/>
          <w:rtl w:val="0"/>
        </w:rPr>
        <w:t xml:space="preserve">MARIO CARRILERO SÁNCHEZ</w:t>
      </w:r>
    </w:p>
    <w:p w:rsidR="00000000" w:rsidDel="00000000" w:rsidP="00000000" w:rsidRDefault="00000000" w:rsidRPr="00000000" w14:paraId="00000009">
      <w:pPr>
        <w:pStyle w:val="Title"/>
        <w:spacing w:after="0" w:lineRule="auto"/>
        <w:jc w:val="center"/>
        <w:rPr>
          <w:smallCaps w:val="1"/>
          <w:sz w:val="24"/>
          <w:szCs w:val="24"/>
        </w:rPr>
      </w:pPr>
      <w:bookmarkStart w:colFirst="0" w:colLast="0" w:name="_nxgdvqggleo7" w:id="6"/>
      <w:bookmarkEnd w:id="6"/>
      <w:r w:rsidDel="00000000" w:rsidR="00000000" w:rsidRPr="00000000">
        <w:rPr>
          <w:smallCaps w:val="1"/>
          <w:sz w:val="24"/>
          <w:szCs w:val="24"/>
          <w:rtl w:val="0"/>
        </w:rPr>
        <w:t xml:space="preserve">NORBERTO ALEJANDRO GONÇALVES VILLARROEL</w:t>
      </w:r>
    </w:p>
    <w:p w:rsidR="00000000" w:rsidDel="00000000" w:rsidP="00000000" w:rsidRDefault="00000000" w:rsidRPr="00000000" w14:paraId="0000000A">
      <w:pPr>
        <w:pStyle w:val="Title"/>
        <w:spacing w:after="0" w:lineRule="auto"/>
        <w:jc w:val="center"/>
        <w:rPr>
          <w:smallCaps w:val="1"/>
          <w:sz w:val="24"/>
          <w:szCs w:val="24"/>
        </w:rPr>
      </w:pPr>
      <w:bookmarkStart w:colFirst="0" w:colLast="0" w:name="_s1aqbc6xa022" w:id="7"/>
      <w:bookmarkEnd w:id="7"/>
      <w:r w:rsidDel="00000000" w:rsidR="00000000" w:rsidRPr="00000000">
        <w:rPr>
          <w:smallCaps w:val="1"/>
          <w:sz w:val="24"/>
          <w:szCs w:val="24"/>
          <w:rtl w:val="0"/>
        </w:rPr>
        <w:t xml:space="preserve">MIGUEL SEVILLA BENITO</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pStyle w:val="Title"/>
        <w:spacing w:after="200" w:lineRule="auto"/>
        <w:jc w:val="center"/>
        <w:rPr>
          <w:b w:val="1"/>
          <w:bCs w:val="1"/>
          <w:smallCaps w:val="1"/>
          <w:sz w:val="32"/>
          <w:szCs w:val="32"/>
        </w:rPr>
      </w:pPr>
      <w:bookmarkStart w:colFirst="0" w:colLast="0" w:name="_4qni84z02zg3" w:id="8"/>
      <w:bookmarkEnd w:id="8"/>
      <w:r w:rsidDel="00000000" w:rsidR="00000000" w:rsidRPr="00000000">
        <w:rPr>
          <w:b w:val="1"/>
          <w:bCs w:val="1"/>
          <w:smallCaps w:val="1"/>
          <w:sz w:val="32"/>
          <w:szCs w:val="32"/>
          <w:rtl w:val="0"/>
        </w:rPr>
        <w:t xml:space="preserve">Dirección TFG</w:t>
      </w:r>
    </w:p>
    <w:p w:rsidR="00000000" w:rsidDel="00000000" w:rsidP="00000000" w:rsidRDefault="00000000" w:rsidRPr="00000000" w14:paraId="0000000D">
      <w:pPr>
        <w:pStyle w:val="Title"/>
        <w:spacing w:after="0" w:lineRule="auto"/>
        <w:jc w:val="center"/>
        <w:rPr>
          <w:smallCaps w:val="1"/>
          <w:sz w:val="24"/>
          <w:szCs w:val="24"/>
        </w:rPr>
      </w:pPr>
      <w:bookmarkStart w:colFirst="0" w:colLast="0" w:name="_oaxmvdp8pb8e" w:id="9"/>
      <w:bookmarkEnd w:id="9"/>
      <w:r w:rsidDel="00000000" w:rsidR="00000000" w:rsidRPr="00000000">
        <w:rPr>
          <w:smallCaps w:val="1"/>
          <w:sz w:val="24"/>
          <w:szCs w:val="24"/>
          <w:rtl w:val="0"/>
        </w:rPr>
        <w:t xml:space="preserve">JOSÉ LUIS VÁZQUEZ POLETTI</w:t>
      </w:r>
    </w:p>
    <w:p w:rsidR="00000000" w:rsidDel="00000000" w:rsidP="00000000" w:rsidRDefault="00000000" w:rsidRPr="00000000" w14:paraId="0000000E">
      <w:pPr>
        <w:pStyle w:val="Title"/>
        <w:spacing w:after="0" w:lineRule="auto"/>
        <w:jc w:val="center"/>
        <w:rPr>
          <w:smallCaps w:val="1"/>
          <w:sz w:val="24"/>
          <w:szCs w:val="24"/>
        </w:rPr>
      </w:pPr>
      <w:bookmarkStart w:colFirst="0" w:colLast="0" w:name="_ru3v8mnxy5ur" w:id="10"/>
      <w:bookmarkEnd w:id="10"/>
      <w:r w:rsidDel="00000000" w:rsidR="00000000" w:rsidRPr="00000000">
        <w:rPr>
          <w:smallCaps w:val="1"/>
          <w:sz w:val="24"/>
          <w:szCs w:val="24"/>
          <w:rtl w:val="0"/>
        </w:rPr>
        <w:t xml:space="preserve">DAVID PACIOS IZQUIERDO</w:t>
      </w:r>
    </w:p>
    <w:p w:rsidR="00000000" w:rsidDel="00000000" w:rsidP="00000000" w:rsidRDefault="00000000" w:rsidRPr="00000000" w14:paraId="0000000F">
      <w:pPr>
        <w:pStyle w:val="Title"/>
        <w:spacing w:after="0" w:lineRule="auto"/>
        <w:jc w:val="both"/>
        <w:rPr/>
      </w:pPr>
      <w:bookmarkStart w:colFirst="0" w:colLast="0" w:name="_z8o48nyrk6ly" w:id="11"/>
      <w:bookmarkEnd w:id="11"/>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spacing w:line="240" w:lineRule="auto"/>
        <w:jc w:val="center"/>
        <w:rPr>
          <w:smallCaps w:val="1"/>
          <w:sz w:val="24"/>
          <w:szCs w:val="24"/>
        </w:rPr>
      </w:pPr>
      <w:r w:rsidDel="00000000" w:rsidR="00000000" w:rsidRPr="00000000">
        <w:rPr>
          <w:smallCaps w:val="1"/>
          <w:sz w:val="24"/>
          <w:szCs w:val="24"/>
          <w:rtl w:val="0"/>
        </w:rPr>
        <w:t xml:space="preserve">Facultad de Informática  -  Universidad Complutense de Madrid</w:t>
      </w:r>
    </w:p>
    <w:p w:rsidR="00000000" w:rsidDel="00000000" w:rsidP="00000000" w:rsidRDefault="00000000" w:rsidRPr="00000000" w14:paraId="00000014">
      <w:pPr>
        <w:spacing w:after="200" w:before="0" w:lineRule="auto"/>
        <w:jc w:val="both"/>
        <w:rPr>
          <w:b w:val="1"/>
          <w:bCs w:val="1"/>
          <w:sz w:val="28"/>
          <w:szCs w:val="28"/>
        </w:rPr>
      </w:pPr>
      <w:r w:rsidDel="00000000" w:rsidR="00000000" w:rsidRPr="00000000">
        <w:rPr>
          <w:b w:val="1"/>
          <w:bCs w:val="1"/>
          <w:sz w:val="28"/>
          <w:szCs w:val="28"/>
          <w:rtl w:val="0"/>
        </w:rPr>
        <w:t xml:space="preserve">ÍNDICE</w:t>
      </w:r>
    </w:p>
    <w:sdt>
      <w:sdtPr>
        <w:id w:val="-101267051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3aysqm39w9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Propósito de la propuesta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681cnvvh91g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Problema y justificación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17k8nw1nfhx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Objetivos y resultados previstos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qyqx6ceho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uxlfnm895vw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Problema y justificación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evocoh54g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Requisitos funcionales para la demostración conjunta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2bkzmr87e53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Arquitectura propuesta e integración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chklp9oy1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Componentes y límites de responsabilidad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nzccbi4dz8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Investigación del modelo del alumno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rodqxvaus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Modelos que se contrastarán en el estado del arte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m7muihf1xk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Investigación del modelo del alumno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3dxdu4fbi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Punto de partida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whqy4q927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Trabajo previsto sobre el prototipo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e2s3imhi3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Decisión sobre modelos abiertos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ipdqmfk8pv5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Infraestructura web y ejecución de laboratorios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4jpmw01tsly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Metodología y organización del equipo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zfhqwvqb1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Investigación y desarrollo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opqhasbvw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Responsabilidades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6hy6gcot5b1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Cronograma propuesto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21p7syji2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Fases y periodos de trabajo previstos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caovd1coh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Hitos internos propuestos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zglafyu3frw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Riesgos y decisiones de alcance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scqtxxhexmh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jc w:val="both"/>
        <w:rPr>
          <w:sz w:val="28"/>
          <w:szCs w:val="28"/>
        </w:rPr>
      </w:pPr>
      <w:bookmarkStart w:colFirst="0" w:colLast="0" w:name="_g3aysqm39w9a" w:id="12"/>
      <w:bookmarkEnd w:id="12"/>
      <w:r w:rsidDel="00000000" w:rsidR="00000000" w:rsidRPr="00000000">
        <w:rPr>
          <w:sz w:val="28"/>
          <w:szCs w:val="28"/>
          <w:rtl w:val="0"/>
        </w:rPr>
        <w:t xml:space="preserve">1. Propósito de la propuesta</w:t>
      </w:r>
    </w:p>
    <w:p w:rsidR="00000000" w:rsidDel="00000000" w:rsidP="00000000" w:rsidRDefault="00000000" w:rsidRPr="00000000" w14:paraId="00000041">
      <w:pPr>
        <w:jc w:val="both"/>
        <w:rPr/>
      </w:pPr>
      <w:r w:rsidDel="00000000" w:rsidR="00000000" w:rsidRPr="00000000">
        <w:rPr>
          <w:rtl w:val="0"/>
        </w:rPr>
        <w:t xml:space="preserve">Proponemos desarrollar RED QUEEN como una aplicación web de formación práctica en ciberseguridad. El alumno realizará laboratorios, recibirá actividades ajustadas a su progreso y podrá consultar a un profesor conversacional. El sistema combinará un modelo del alumno, una lógica de adaptación y generación de escenarios, y una infraestructura que valide y despliegue los laboratorios.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El objetivo es un prototipo web integrado y evaluable. Primero construiremos una demostración pequeña de cada módulo y después conectaremos el recorrido completo. BKT será el candidato inicial para el modelo del alumno, su elección se justificará mediante la revisión de alternativas y, si hay datos adecuados, mediante una comparación experimental. El ajuste de un LLM abierto se estudiará como ampliación condicionada.</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Este documento fija el problema, los objetivos, el alcance inicial y las tareas del equipo. La revisión de la literatura se desarrollará con más detalle en el estado del arte. Los hitos internos constituyen una propuesta de planificación que deberá revisarse con la dirección del TFG y con la disponibilidad de los cuatro integrantes.</w:t>
      </w:r>
    </w:p>
    <w:p w:rsidR="00000000" w:rsidDel="00000000" w:rsidP="00000000" w:rsidRDefault="00000000" w:rsidRPr="00000000" w14:paraId="00000046">
      <w:pPr>
        <w:pStyle w:val="Heading2"/>
        <w:jc w:val="both"/>
        <w:rPr/>
      </w:pPr>
      <w:bookmarkStart w:colFirst="0" w:colLast="0" w:name="_681cnvvh91gt" w:id="13"/>
      <w:bookmarkEnd w:id="13"/>
      <w:r w:rsidDel="00000000" w:rsidR="00000000" w:rsidRPr="00000000">
        <w:rPr>
          <w:sz w:val="28"/>
          <w:szCs w:val="28"/>
          <w:rtl w:val="0"/>
        </w:rPr>
        <w:t xml:space="preserve">2. Problema y justificación</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La pregunta que guía RED QUEEN es cómo ofrecer prácticas de ciberseguridad que respondan al progreso de cada alumno. Una misma actividad puede resultar demasiado sencilla para una persona y bloquear a otra. Para adaptar el recorrido necesitamos definir habilidades observables, interpretar las evidencias de los laboratorios y decidir qué práctica o ayuda resulta adecuada después.</w:t>
      </w:r>
    </w:p>
    <w:p w:rsidR="00000000" w:rsidDel="00000000" w:rsidP="00000000" w:rsidRDefault="00000000" w:rsidRPr="00000000" w14:paraId="00000048">
      <w:pPr>
        <w:jc w:val="both"/>
        <w:rPr/>
      </w:pPr>
      <w:r w:rsidDel="00000000" w:rsidR="00000000" w:rsidRPr="00000000">
        <w:rPr>
          <w:rtl w:val="0"/>
        </w:rPr>
        <w:t xml:space="preserve">Existe investigación sobre entornos de ciberseguridad que asignan rutas de aprendizaje a partir de datos del estudiante. Vykopal y colaboradores evaluaron dos entrenamientos adaptativos con 114 participantes. Este antecedente respalda estudiar la adaptación en laboratorios, pero no demuestra que BKT sea la mejor solución para RED QUEEN (Vykopal et al., 2023).</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La generación de escenarios también tiene antecedentes: Martou y colaboradores proponen componer escenarios según perfiles y modelos de ataques, y ASCERT estudia generación mediante IA. La aportación que investigaremos será la integración de seguimiento del alumno, prácticas desplegables y asistencia pedagógica en una misma plataforma. Habrá que contrastarla con estos trabajos, sin asumir que la idea carece de precedentes (Martou et al., 2022; Palumickas et al., 2026).</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Hack The Box es la referencia funcional elegida por el equipo. Su oferta Academy combina teoría y práctica interactiva sobre objetivos de laboratorio (Hack The Box, s. f.). Para RED QUEEN proponemos un catálogo de retos, acceso al entorno de práctica, comprobación de objetivos y seguimiento del progreso, con un recorrido adaptativo y un chat docente. El estudio comparativo verificará las funciones actuales de las plataformas de referencia antes de atribuirles limitaciones.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04F">
      <w:pPr>
        <w:jc w:val="both"/>
        <w:rPr>
          <w:b w:val="1"/>
          <w:bCs w:val="1"/>
          <w:sz w:val="10"/>
          <w:szCs w:val="10"/>
        </w:rPr>
      </w:pPr>
      <w:r w:rsidDel="00000000" w:rsidR="00000000" w:rsidRPr="00000000">
        <w:rPr>
          <w:rtl w:val="0"/>
        </w:rPr>
      </w:r>
    </w:p>
    <w:p w:rsidR="00000000" w:rsidDel="00000000" w:rsidP="00000000" w:rsidRDefault="00000000" w:rsidRPr="00000000" w14:paraId="00000050">
      <w:pPr>
        <w:numPr>
          <w:ilvl w:val="0"/>
          <w:numId w:val="3"/>
        </w:numPr>
        <w:ind w:left="720" w:hanging="360"/>
        <w:jc w:val="both"/>
        <w:rPr/>
      </w:pPr>
      <w:r w:rsidDel="00000000" w:rsidR="00000000" w:rsidRPr="00000000">
        <w:rPr>
          <w:rtl w:val="0"/>
        </w:rPr>
        <w:t xml:space="preserve">¿Qué modelo permite representar el progreso por habilidad con las evidencias y los recursos disponibles, y qué limitaciones presenta frente a sus alternativas?</w:t>
      </w:r>
    </w:p>
    <w:p w:rsidR="00000000" w:rsidDel="00000000" w:rsidP="00000000" w:rsidRDefault="00000000" w:rsidRPr="00000000" w14:paraId="00000051">
      <w:pPr>
        <w:numPr>
          <w:ilvl w:val="0"/>
          <w:numId w:val="3"/>
        </w:numPr>
        <w:ind w:left="720" w:hanging="360"/>
        <w:jc w:val="both"/>
        <w:rPr/>
      </w:pPr>
      <w:r w:rsidDel="00000000" w:rsidR="00000000" w:rsidRPr="00000000">
        <w:rPr>
          <w:rtl w:val="0"/>
        </w:rPr>
        <w:t xml:space="preserve">¿Cómo traducir un perfil del alumno en una variante o un escenario nuevo que sea desplegable y tenga objetivos comprobables?</w:t>
      </w:r>
    </w:p>
    <w:p w:rsidR="00000000" w:rsidDel="00000000" w:rsidP="00000000" w:rsidRDefault="00000000" w:rsidRPr="00000000" w14:paraId="00000052">
      <w:pPr>
        <w:numPr>
          <w:ilvl w:val="0"/>
          <w:numId w:val="3"/>
        </w:numPr>
        <w:ind w:left="720" w:hanging="360"/>
        <w:jc w:val="both"/>
        <w:rPr/>
      </w:pPr>
      <w:r w:rsidDel="00000000" w:rsidR="00000000" w:rsidRPr="00000000">
        <w:rPr>
          <w:rtl w:val="0"/>
        </w:rPr>
        <w:t xml:space="preserve">¿Puede el profesor con RAG ofrecer ayudas pertinentes y fundamentadas sin resolver automáticamente el reto?</w:t>
      </w:r>
    </w:p>
    <w:p w:rsidR="00000000" w:rsidDel="00000000" w:rsidP="00000000" w:rsidRDefault="00000000" w:rsidRPr="00000000" w14:paraId="00000053">
      <w:pPr>
        <w:pStyle w:val="Heading2"/>
        <w:jc w:val="both"/>
        <w:rPr/>
      </w:pPr>
      <w:bookmarkStart w:colFirst="0" w:colLast="0" w:name="_17k8nw1nfhxv" w:id="14"/>
      <w:bookmarkEnd w:id="14"/>
      <w:r w:rsidDel="00000000" w:rsidR="00000000" w:rsidRPr="00000000">
        <w:rPr>
          <w:rtl w:val="0"/>
        </w:rPr>
        <w:t xml:space="preserve">3. Objetivos y resultados previstos</w:t>
      </w:r>
    </w:p>
    <w:p w:rsidR="00000000" w:rsidDel="00000000" w:rsidP="00000000" w:rsidRDefault="00000000" w:rsidRPr="00000000" w14:paraId="00000054">
      <w:pPr>
        <w:pStyle w:val="Heading3"/>
        <w:jc w:val="both"/>
        <w:rPr>
          <w:sz w:val="24"/>
          <w:szCs w:val="24"/>
        </w:rPr>
      </w:pPr>
      <w:bookmarkStart w:colFirst="0" w:colLast="0" w:name="_fqyqx6cehoqf" w:id="15"/>
      <w:bookmarkEnd w:id="15"/>
      <w:r w:rsidDel="00000000" w:rsidR="00000000" w:rsidRPr="00000000">
        <w:rPr>
          <w:sz w:val="24"/>
          <w:szCs w:val="24"/>
          <w:rtl w:val="0"/>
        </w:rPr>
        <w:t xml:space="preserve">Objetivo general</w:t>
      </w:r>
    </w:p>
    <w:p w:rsidR="00000000" w:rsidDel="00000000" w:rsidP="00000000" w:rsidRDefault="00000000" w:rsidRPr="00000000" w14:paraId="00000055">
      <w:pPr>
        <w:jc w:val="both"/>
        <w:rPr/>
      </w:pPr>
      <w:r w:rsidDel="00000000" w:rsidR="00000000" w:rsidRPr="00000000">
        <w:rPr>
          <w:rtl w:val="0"/>
        </w:rPr>
        <w:t xml:space="preserve">Diseñar, implementar y evaluar un prototipo web de cyber range que adapte las actividades a cada alumno, permita construir escenarios nuevos dentro de un catálogo controlado y ofrezca apoyo mediante un profesor conversacional conectado a un LLM.</w:t>
      </w:r>
    </w:p>
    <w:p w:rsidR="00000000" w:rsidDel="00000000" w:rsidP="00000000" w:rsidRDefault="00000000" w:rsidRPr="00000000" w14:paraId="00000056">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8.296726067137"/>
        <w:gridCol w:w="5997.215084956487"/>
        <w:tblGridChange w:id="0">
          <w:tblGrid>
            <w:gridCol w:w="3028.296726067137"/>
            <w:gridCol w:w="5997.215084956487"/>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Objetivo</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Evidencia prevista</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1 Definir habilidades y evidencias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Mapa de habilidades, objetivos verificables y formato de eventos de aprendizaje.</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 Justificar el modelo del alumno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Comparación bibliográfica de BKT y alternativas. Demo Python que muestre perfiles individuales y actualizaciones.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3 Adaptar y generar escenarios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Variantes de un escenario base y una especificación nueva compuesta con elementos aprobados, ambas validadas.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4 Integrar el profesor conversacional</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Chat que recupere contenido docente y ofrezca ayudas vinculadas al laboratorio y al contexto del alumno.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5 Implementar la plataforma web</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Portal, gestión de sesiones, acceso al laboratorio, despliegue, evaluación de hitos y cierre de instancias.</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6 Evaluar y documentar</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Resultados de pruebas, análisis de límites, instrucciones reproducibles y memoria con las aportaciones de los cuatro integrantes.</w:t>
            </w:r>
          </w:p>
        </w:tc>
      </w:tr>
    </w:tbl>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2"/>
        <w:jc w:val="both"/>
        <w:rPr/>
      </w:pPr>
      <w:bookmarkStart w:colFirst="0" w:colLast="0" w:name="_uxlfnm895vw0" w:id="16"/>
      <w:bookmarkEnd w:id="16"/>
      <w:r w:rsidDel="00000000" w:rsidR="00000000" w:rsidRPr="00000000">
        <w:rPr>
          <w:rtl w:val="0"/>
        </w:rPr>
        <w:t xml:space="preserve">4. Problema y justificación</w:t>
      </w:r>
    </w:p>
    <w:p w:rsidR="00000000" w:rsidDel="00000000" w:rsidP="00000000" w:rsidRDefault="00000000" w:rsidRPr="00000000" w14:paraId="00000079">
      <w:pPr>
        <w:jc w:val="both"/>
        <w:rPr/>
      </w:pPr>
      <w:r w:rsidDel="00000000" w:rsidR="00000000" w:rsidRPr="00000000">
        <w:rPr>
          <w:rtl w:val="0"/>
        </w:rPr>
        <w:t xml:space="preserve">Como referencia de tamaño, proponemos tres familias de laboratorios Linux, cada una con hitos evaluables y al menos dos variantes de dificultad. El número definitivo dependerá de la complejidad y de los recursos disponibles. Antes de ampliar el catálogo, se completará un recorrido real de un alumno desde el acceso hasta la actualización de su perfil y la selección del siguiente ejercicio.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La adaptación podrá modificar las ayudas, los prerrequisitos y la complejidad del ejercicio, además de elegir otra actividad. Los cambios de infraestructura se aplicarán preferentemente al iniciar el siguiente laboratorio o una nueva instancia, conservando la trazabilidad del intento anterior. La adaptación dentro de una sesión deberá justificar cómo mantiene la coherencia de la tarea.</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Generación desde cero.</w:t>
      </w:r>
      <w:r w:rsidDel="00000000" w:rsidR="00000000" w:rsidRPr="00000000">
        <w:rPr>
          <w:rtl w:val="0"/>
        </w:rPr>
        <w:t xml:space="preserve"> En este prototipo significará crear una especificación nueva sin partir de una plantilla completa, combinando servicios, imágenes y relaciones autorizados. Cada propuesta tendrá una habilidad objetivo, una solución comprobable y una prueba de despliegue. La síntesis libre de software vulnerable y de topologías arbitrarias requeriría una investigación adicional y no forma parte del alcance mínimo propuesto.</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bCs w:val="1"/>
          <w:rtl w:val="0"/>
        </w:rPr>
        <w:t xml:space="preserve">Demo BKT.</w:t>
      </w:r>
      <w:r w:rsidDel="00000000" w:rsidR="00000000" w:rsidRPr="00000000">
        <w:rPr>
          <w:rtl w:val="0"/>
        </w:rPr>
        <w:t xml:space="preserve"> El primer entregable de adaptación será pequeño y sin interfaz gráfica: dos o tres archivos Python o un notebook, con perfil del alumno, actualización ante evidencias y selección o composición de un ejercicio. Podrá comenzar como pseudocódigo. La interfaz web pertenecerá al proyecto conjunto y la integración posterior expondrá la lógica demostrada por ese módulo.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b w:val="1"/>
          <w:bCs w:val="1"/>
          <w:rtl w:val="0"/>
        </w:rPr>
        <w:t xml:space="preserve">Evolución del LLM.</w:t>
      </w:r>
      <w:r w:rsidDel="00000000" w:rsidR="00000000" w:rsidRPr="00000000">
        <w:rPr>
          <w:rtl w:val="0"/>
        </w:rPr>
        <w:t xml:space="preserve"> El prototipo partirá de la conexión por API utilizada en el agente existente. Se estudiará sustituirla por inferencia con un modelo abierto y después valorar su ajuste con datos propios. Entrenar un LLM completo desde cero será una línea futura salvo que una evaluación específica justifique datos, cómputo y plazo.</w:t>
      </w:r>
      <w:r w:rsidDel="00000000" w:rsidR="00000000" w:rsidRPr="00000000">
        <w:rPr>
          <w:rtl w:val="0"/>
        </w:rPr>
      </w:r>
    </w:p>
    <w:p w:rsidR="00000000" w:rsidDel="00000000" w:rsidP="00000000" w:rsidRDefault="00000000" w:rsidRPr="00000000" w14:paraId="00000082">
      <w:pPr>
        <w:pStyle w:val="Heading3"/>
        <w:jc w:val="both"/>
        <w:rPr/>
      </w:pPr>
      <w:bookmarkStart w:colFirst="0" w:colLast="0" w:name="_vevocoh54gem" w:id="17"/>
      <w:bookmarkEnd w:id="17"/>
      <w:r w:rsidDel="00000000" w:rsidR="00000000" w:rsidRPr="00000000">
        <w:rPr>
          <w:sz w:val="24"/>
          <w:szCs w:val="24"/>
          <w:rtl w:val="0"/>
        </w:rPr>
        <w:t xml:space="preserve">Requisitos funcionales para la demostración conjunta</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7.0741815167843"/>
        <w:gridCol w:w="8268.43762950684"/>
        <w:tblGridChange w:id="0">
          <w:tblGrid>
            <w:gridCol w:w="757.0741815167843"/>
            <w:gridCol w:w="8268.43762950684"/>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ID</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Comportamiento verificable</w:t>
            </w:r>
          </w:p>
        </w:tc>
      </w:tr>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RF1</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El alumno accede a su sesión y consulta las actividades y el estado del laboratorio.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RF2</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El sistema crea una instancia de laboratorio y permite interactuar con ella desde la web.</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RF3</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hitos evaluados generan evidencias asociadas a habilidades, alumno, escenario y momento.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RF4</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El perfil se actualiza y se obtiene una recomendación de dificultad o actividad con su motivo.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RF5</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El chat ofrece orientación utilizando material docente y el contexto autorizado del ejercicio.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RF6</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La plataforma valida y despliega una variante y una especificación nueva del catálogo controlado.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RF7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La sesión finaliza, libera los recursos previstos y conserva el resultado y la versión del escenario.</w:t>
            </w:r>
          </w:p>
        </w:tc>
      </w:tr>
    </w:tbl>
    <w:p w:rsidR="00000000" w:rsidDel="00000000" w:rsidP="00000000" w:rsidRDefault="00000000" w:rsidRPr="00000000" w14:paraId="00000093">
      <w:pPr>
        <w:pStyle w:val="Heading2"/>
        <w:jc w:val="both"/>
        <w:rPr/>
      </w:pPr>
      <w:bookmarkStart w:colFirst="0" w:colLast="0" w:name="_2bkzmr87e53a" w:id="18"/>
      <w:bookmarkEnd w:id="18"/>
      <w:r w:rsidDel="00000000" w:rsidR="00000000" w:rsidRPr="00000000">
        <w:rPr>
          <w:rtl w:val="0"/>
        </w:rPr>
        <w:t xml:space="preserve">5. Arquitectura propuesta e integración</w:t>
      </w:r>
    </w:p>
    <w:p w:rsidR="00000000" w:rsidDel="00000000" w:rsidP="00000000" w:rsidRDefault="00000000" w:rsidRPr="00000000" w14:paraId="00000094">
      <w:pPr>
        <w:jc w:val="both"/>
        <w:rPr/>
      </w:pPr>
      <w:r w:rsidDel="00000000" w:rsidR="00000000" w:rsidRPr="00000000">
        <w:rPr>
          <w:rtl w:val="0"/>
        </w:rPr>
        <w:t xml:space="preserve">La aplicación web será el punto de acceso del alumno. El backend gestionará su sesión, el catálogo y los resultados. A partir de las evidencias evaluadas, el modelo del alumno actualizará el perfil.</w:t>
      </w:r>
    </w:p>
    <w:p w:rsidR="00000000" w:rsidDel="00000000" w:rsidP="00000000" w:rsidRDefault="00000000" w:rsidRPr="00000000" w14:paraId="00000095">
      <w:pPr>
        <w:jc w:val="both"/>
        <w:rPr/>
      </w:pPr>
      <w:r w:rsidDel="00000000" w:rsidR="00000000" w:rsidRPr="00000000">
        <w:rPr>
          <w:rtl w:val="0"/>
        </w:rPr>
        <w:t xml:space="preserve">La política pedagógica decidirá el objetivo y la dificultad, el generador producirá una especificación que el validador y el orquestador convertirán en una instancia de laboratorio.</w:t>
      </w:r>
    </w:p>
    <w:p w:rsidR="00000000" w:rsidDel="00000000" w:rsidP="00000000" w:rsidRDefault="00000000" w:rsidRPr="00000000" w14:paraId="00000096">
      <w:pPr>
        <w:jc w:val="both"/>
        <w:rPr/>
      </w:pPr>
      <w:r w:rsidDel="00000000" w:rsidR="00000000" w:rsidRPr="00000000">
        <w:rPr>
          <w:rtl w:val="0"/>
        </w:rPr>
        <w:t xml:space="preserve">El profesor conversacional recibirá el contexto necesario para dar apoyo.</w:t>
      </w:r>
    </w:p>
    <w:p w:rsidR="00000000" w:rsidDel="00000000" w:rsidP="00000000" w:rsidRDefault="00000000" w:rsidRPr="00000000" w14:paraId="00000097">
      <w:pPr>
        <w:pStyle w:val="Heading3"/>
        <w:jc w:val="both"/>
        <w:rPr/>
      </w:pPr>
      <w:bookmarkStart w:colFirst="0" w:colLast="0" w:name="_uchklp9oy1cq" w:id="19"/>
      <w:bookmarkEnd w:id="19"/>
      <w:r w:rsidDel="00000000" w:rsidR="00000000" w:rsidRPr="00000000">
        <w:rPr>
          <w:rtl w:val="0"/>
        </w:rPr>
        <w:t xml:space="preserve">Componentes y límites de responsabilidad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Componente</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Entrada y salida principal</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Modelo del alumno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Evidencias evaluadas → estimaciones por habilidad o predicciones de rendimiento.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Política pedagógica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Perfil y prerrequisitos → objetivo, dificultad, ayudas y razón de la decisión.</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Generador de escenarios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Objetivo pedagógico y catálogo → especificación estructurada de una variante o un escenario nuevo.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Profesor conversacional</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Pregunta, material y contexto permitido → explicación o pista y fuentes utilizadas.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Validador y orquestador</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Especificación → aceptación o rechazo, despliegue y estado del laboratorio.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Portal y evaluación</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Acciones y pruebas del alumno → interacción web, resultados y eventos para el modelo.</w:t>
            </w:r>
          </w:p>
        </w:tc>
      </w:tr>
    </w:tbl>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Contrato propuesto.</w:t>
      </w:r>
      <w:r w:rsidDel="00000000" w:rsidR="00000000" w:rsidRPr="00000000">
        <w:rPr>
          <w:rtl w:val="0"/>
        </w:rPr>
        <w:t xml:space="preserve"> Los módulos intercambiarán instancias JSON validadas frente a un JSON Schema versionado. JSON Schema describe restricciones sobre los datos y la instancia es el objeto que las debe cumplir. Validar su estructura no prueba que el laboratorio sea correcto, resoluble o esté aislado, por lo que se añadirán comprobaciones semánticas y de despliegue (JSON Schema, s. f.).</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La especificación contendrá identificador y versión, habilidad objetivo, prerrequisitos, dificultad, servicios y sus imágenes autorizadas, relaciones de red, recursos, duración de la sesión y criterios de evaluación. Los secretos y las soluciones que permitan validar los hitos permanecerán en la capa de evaluación, fuera del contexto accesible al alumno y al tutor (valorar la posibilidad de darselas al tutor para que evite dar la respuesta exacta y pueda guiar de una mejor forma al alumno).</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Las evidencias mínimas serán el identificador seudónimo del alumno, la habilidad, el hito, el resultado evaluado, las ayudas utilizadas, la versión del escenario y la marca temporal. El tiempo y los comandos serán información contextual: ejecutar un comando o terminar rápido no equivaldrá automáticamente a demostrar una habilidad. Las incidencias de infraestructura se distinguirán de los errores de aprendizaje.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MITRE ATT&amp;CK puede aportar etiquetas de técnicas y tácticas, pero es una base de conocimiento sobre comportamiento adversario. El mapa pedagógico definirá por separado qué habilidad se enseña y qué evidencia permite evaluarla (MITRE, s. f.).</w:t>
      </w:r>
    </w:p>
    <w:p w:rsidR="00000000" w:rsidDel="00000000" w:rsidP="00000000" w:rsidRDefault="00000000" w:rsidRPr="00000000" w14:paraId="000000AE">
      <w:pPr>
        <w:pStyle w:val="Heading2"/>
        <w:jc w:val="both"/>
        <w:rPr/>
      </w:pPr>
      <w:bookmarkStart w:colFirst="0" w:colLast="0" w:name="_nzccbi4dz80" w:id="20"/>
      <w:bookmarkEnd w:id="20"/>
      <w:r w:rsidDel="00000000" w:rsidR="00000000" w:rsidRPr="00000000">
        <w:rPr>
          <w:rtl w:val="0"/>
        </w:rPr>
        <w:t xml:space="preserve">6. Investigación del modelo del alumno</w:t>
      </w:r>
    </w:p>
    <w:p w:rsidR="00000000" w:rsidDel="00000000" w:rsidP="00000000" w:rsidRDefault="00000000" w:rsidRPr="00000000" w14:paraId="000000AF">
      <w:pPr>
        <w:jc w:val="both"/>
        <w:rPr/>
      </w:pPr>
      <w:r w:rsidDel="00000000" w:rsidR="00000000" w:rsidRPr="00000000">
        <w:rPr>
          <w:rtl w:val="0"/>
        </w:rPr>
        <w:t xml:space="preserve">BKT, Bayesian Knowledge Tracing, estima cómo evoluciona el conocimiento a partir de una secuencia de resultados. El modelo clásico representa cada habilidad mediante un estado oculto de dominio y parámetros de conocimiento inicial, aprendizaje, acierto sin dominio y error pese al dominio. Permite mantener una estimación individual y explicar la actualización ante una observación (Badrinath et al., 2021; Corbett &amp; Anderson, 1994).</w:t>
      </w:r>
    </w:p>
    <w:p w:rsidR="00000000" w:rsidDel="00000000" w:rsidP="00000000" w:rsidRDefault="00000000" w:rsidRPr="00000000" w14:paraId="000000B0">
      <w:pPr>
        <w:jc w:val="both"/>
        <w:rPr>
          <w:sz w:val="10"/>
          <w:szCs w:val="10"/>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Su papel en RED QUEEN será estimar el estado del alumno. La decisión de qué ejercicio ofrecer y cómo construirlo corresponde a otros componentes. BKT no genera laboratorios ni entrena por sí mismo al profesor LLM. Ajustar los parámetros con históricos y actualizar el perfil ante un nuevo intento son operaciones distintas.</w:t>
      </w:r>
    </w:p>
    <w:p w:rsidR="00000000" w:rsidDel="00000000" w:rsidP="00000000" w:rsidRDefault="00000000" w:rsidRPr="00000000" w14:paraId="000000B2">
      <w:pPr>
        <w:jc w:val="both"/>
        <w:rPr/>
      </w:pPr>
      <w:r w:rsidDel="00000000" w:rsidR="00000000" w:rsidRPr="00000000">
        <w:rPr>
          <w:b w:val="1"/>
          <w:bCs w:val="1"/>
          <w:rtl w:val="0"/>
        </w:rPr>
        <w:t xml:space="preserve">pyBKT</w:t>
      </w:r>
      <w:r w:rsidDel="00000000" w:rsidR="00000000" w:rsidRPr="00000000">
        <w:rPr>
          <w:rtl w:val="0"/>
        </w:rPr>
        <w:t xml:space="preserve"> ofrece ajuste mediante EM y predicción (Badrinath et al., 2021).</w:t>
      </w:r>
    </w:p>
    <w:p w:rsidR="00000000" w:rsidDel="00000000" w:rsidP="00000000" w:rsidRDefault="00000000" w:rsidRPr="00000000" w14:paraId="000000B3">
      <w:pPr>
        <w:pStyle w:val="Heading3"/>
        <w:jc w:val="both"/>
        <w:rPr/>
      </w:pPr>
      <w:bookmarkStart w:colFirst="0" w:colLast="0" w:name="_6rodqxvausx2" w:id="21"/>
      <w:bookmarkEnd w:id="21"/>
      <w:r w:rsidDel="00000000" w:rsidR="00000000" w:rsidRPr="00000000">
        <w:rPr>
          <w:rtl w:val="0"/>
        </w:rPr>
        <w:t xml:space="preserve">Modelos que se contrastarán en el estado del arte</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55"/>
        <w:tblGridChange w:id="0">
          <w:tblGrid>
            <w:gridCol w:w="975"/>
            <w:gridCol w:w="8055"/>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Modelo</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Qué aporta y qué hay que comprobar</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BKT</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Estado explícito por habilidad y actualización probabilística. Revisar la evaluación binaria, las diferencias entre tareas y la hipótesis clásica de ausencia de olvido (</w:t>
            </w:r>
            <w:hyperlink r:id="rId7">
              <w:r w:rsidDel="00000000" w:rsidR="00000000" w:rsidRPr="00000000">
                <w:rPr>
                  <w:color w:val="155a8a"/>
                  <w:sz w:val="20"/>
                  <w:szCs w:val="20"/>
                  <w:u w:val="single"/>
                  <w:rtl w:val="0"/>
                </w:rPr>
                <w:t xml:space="preserve">Badrinath et al., 2021</w:t>
              </w:r>
            </w:hyperlink>
            <w:r w:rsidDel="00000000" w:rsidR="00000000" w:rsidRPr="00000000">
              <w:rPr>
                <w:sz w:val="20"/>
                <w:szCs w:val="20"/>
                <w:rtl w:val="0"/>
              </w:rPr>
              <w:t xml:space="preserve">).</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PFA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Predice el rendimiento mediante regresión logística y recuentos de aciertos y fallos por habilidad. Comparar su ajuste a hitos que implican varias habilidades (</w:t>
            </w:r>
            <w:hyperlink r:id="rId8">
              <w:r w:rsidDel="00000000" w:rsidR="00000000" w:rsidRPr="00000000">
                <w:rPr>
                  <w:color w:val="155a8a"/>
                  <w:sz w:val="20"/>
                  <w:szCs w:val="20"/>
                  <w:u w:val="single"/>
                  <w:rtl w:val="0"/>
                </w:rPr>
                <w:t xml:space="preserve">Pavlik et al., 2009</w:t>
              </w:r>
            </w:hyperlink>
            <w:r w:rsidDel="00000000" w:rsidR="00000000" w:rsidRPr="00000000">
              <w:rPr>
                <w:sz w:val="20"/>
                <w:szCs w:val="20"/>
                <w:rtl w:val="0"/>
              </w:rPr>
              <w:t xml:space="preserve">).</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KTM</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Combina características del alumno, la actividad y el historial mediante máquinas de factorización. Valorar qué metadatos estarán disponibles antes del resultado (</w:t>
            </w:r>
            <w:hyperlink r:id="rId9">
              <w:r w:rsidDel="00000000" w:rsidR="00000000" w:rsidRPr="00000000">
                <w:rPr>
                  <w:color w:val="155a8a"/>
                  <w:sz w:val="20"/>
                  <w:szCs w:val="20"/>
                  <w:u w:val="single"/>
                  <w:rtl w:val="0"/>
                </w:rPr>
                <w:t xml:space="preserve">Vie &amp; Kashima, 2019</w:t>
              </w:r>
            </w:hyperlink>
            <w:r w:rsidDel="00000000" w:rsidR="00000000" w:rsidRPr="00000000">
              <w:rPr>
                <w:sz w:val="20"/>
                <w:szCs w:val="20"/>
                <w:rtl w:val="0"/>
              </w:rPr>
              <w:t xml:space="preserve">).</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DKT</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Utiliza redes recurrentes para representar secuencias de respuestas. Examinar datos necesarios, reproducibilidad y dificultad de explicar las decisiones (</w:t>
            </w:r>
            <w:hyperlink r:id="rId10">
              <w:r w:rsidDel="00000000" w:rsidR="00000000" w:rsidRPr="00000000">
                <w:rPr>
                  <w:color w:val="155a8a"/>
                  <w:sz w:val="20"/>
                  <w:szCs w:val="20"/>
                  <w:u w:val="single"/>
                  <w:rtl w:val="0"/>
                </w:rPr>
                <w:t xml:space="preserve">Piech et al., 2015</w:t>
              </w:r>
            </w:hyperlink>
            <w:r w:rsidDel="00000000" w:rsidR="00000000" w:rsidRPr="00000000">
              <w:rPr>
                <w:sz w:val="20"/>
                <w:szCs w:val="20"/>
                <w:rtl w:val="0"/>
              </w:rPr>
              <w:t xml:space="preserve">).</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AKT</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Usa atención y componentes inspirados en modelos cognitivos y psicométricos. Sus resultados en benchmarks no garantizan el mismo rendimiento en nuestros laboratorios (</w:t>
            </w:r>
            <w:hyperlink r:id="rId11">
              <w:r w:rsidDel="00000000" w:rsidR="00000000" w:rsidRPr="00000000">
                <w:rPr>
                  <w:color w:val="155a8a"/>
                  <w:sz w:val="20"/>
                  <w:szCs w:val="20"/>
                  <w:u w:val="single"/>
                  <w:rtl w:val="0"/>
                </w:rPr>
                <w:t xml:space="preserve">Ghosh et al., 2020</w:t>
              </w:r>
            </w:hyperlink>
            <w:r w:rsidDel="00000000" w:rsidR="00000000" w:rsidRPr="00000000">
              <w:rPr>
                <w:sz w:val="20"/>
                <w:szCs w:val="20"/>
                <w:rtl w:val="0"/>
              </w:rPr>
              <w:t xml:space="preserve">).</w:t>
            </w:r>
          </w:p>
        </w:tc>
      </w:tr>
    </w:tbl>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b w:val="1"/>
          <w:bCs w:val="1"/>
          <w:rtl w:val="0"/>
        </w:rPr>
        <w:t xml:space="preserve">Criterio inicial.</w:t>
      </w:r>
      <w:r w:rsidDel="00000000" w:rsidR="00000000" w:rsidRPr="00000000">
        <w:rPr>
          <w:rtl w:val="0"/>
        </w:rPr>
        <w:t xml:space="preserve"> BKT es un candidato adecuado para una primera demo porque su estado por habilidad es comprensible y su actualización se puede mostrar con poco código. PFA será la comparación principal. La investigación valorará calidad predictiva cuando pueda medirse, claridad de la representación, disponibilidad de datos, capacidad de integración y coste de implementación.</w:t>
      </w:r>
    </w:p>
    <w:p w:rsidR="00000000" w:rsidDel="00000000" w:rsidP="00000000" w:rsidRDefault="00000000" w:rsidRPr="00000000" w14:paraId="000000C2">
      <w:pPr>
        <w:jc w:val="both"/>
        <w:rPr>
          <w:sz w:val="10"/>
          <w:szCs w:val="10"/>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No se declarará superioridad universal. Khajah y colaboradores encontraron que versiones ampliadas de BKT podían igualar a DKT en sus experimentos. Además, pyKT documenta problemas de comparación y filtración de información en la evaluación de modelos. La elección final deberá especificar las variantes, los datos y el protocolo utilizados (Khajah et al., 2016; Liu et al., 2022).</w:t>
      </w:r>
    </w:p>
    <w:p w:rsidR="00000000" w:rsidDel="00000000" w:rsidP="00000000" w:rsidRDefault="00000000" w:rsidRPr="00000000" w14:paraId="000000C4">
      <w:pPr>
        <w:jc w:val="both"/>
        <w:rPr/>
      </w:pPr>
      <w:r w:rsidDel="00000000" w:rsidR="00000000" w:rsidRPr="00000000">
        <w:rPr>
          <w:rtl w:val="0"/>
        </w:rPr>
        <w:t xml:space="preserve">Si no existen registros adecuados del cyber range, la demo usará secuencias ilustrativas y parámetros declarados como tales. </w:t>
      </w:r>
    </w:p>
    <w:p w:rsidR="00000000" w:rsidDel="00000000" w:rsidP="00000000" w:rsidRDefault="00000000" w:rsidRPr="00000000" w14:paraId="000000C5">
      <w:pPr>
        <w:jc w:val="both"/>
        <w:rPr>
          <w:sz w:val="10"/>
          <w:szCs w:val="10"/>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Estos ejemplos demostrarán el funcionamiento del mecanismo y la memoria diferenciará esa evidencia de un modelo entrenado y de una mejora real del aprendizaje. Los datos públicos de otros dominios podrán apoyar un experimento, pero no sustituirán la validación en ciberseguridad.</w:t>
      </w:r>
    </w:p>
    <w:p w:rsidR="00000000" w:rsidDel="00000000" w:rsidP="00000000" w:rsidRDefault="00000000" w:rsidRPr="00000000" w14:paraId="000000C7">
      <w:pPr>
        <w:pStyle w:val="Heading2"/>
        <w:jc w:val="both"/>
        <w:rPr/>
      </w:pPr>
      <w:bookmarkStart w:colFirst="0" w:colLast="0" w:name="_m7muihf1xk69" w:id="22"/>
      <w:bookmarkEnd w:id="22"/>
      <w:r w:rsidDel="00000000" w:rsidR="00000000" w:rsidRPr="00000000">
        <w:rPr>
          <w:rtl w:val="0"/>
        </w:rPr>
        <w:t xml:space="preserve">7. Investigación del modelo del alumno</w:t>
      </w:r>
    </w:p>
    <w:p w:rsidR="00000000" w:rsidDel="00000000" w:rsidP="00000000" w:rsidRDefault="00000000" w:rsidRPr="00000000" w14:paraId="000000C8">
      <w:pPr>
        <w:pStyle w:val="Heading3"/>
        <w:jc w:val="both"/>
        <w:rPr/>
      </w:pPr>
      <w:bookmarkStart w:colFirst="0" w:colLast="0" w:name="_n3dxdu4fbi0w" w:id="23"/>
      <w:bookmarkEnd w:id="23"/>
      <w:r w:rsidDel="00000000" w:rsidR="00000000" w:rsidRPr="00000000">
        <w:rPr>
          <w:rtl w:val="0"/>
        </w:rPr>
        <w:t xml:space="preserve">Punto de partida</w:t>
      </w:r>
    </w:p>
    <w:p w:rsidR="00000000" w:rsidDel="00000000" w:rsidP="00000000" w:rsidRDefault="00000000" w:rsidRPr="00000000" w14:paraId="000000C9">
      <w:pPr>
        <w:jc w:val="both"/>
        <w:rPr/>
      </w:pPr>
      <w:r w:rsidDel="00000000" w:rsidR="00000000" w:rsidRPr="00000000">
        <w:rPr>
          <w:rtl w:val="0"/>
        </w:rPr>
        <w:t xml:space="preserve">El repositorio contiene un prototipo del profesor sobre material de Redes y Seguridad. La aplicación presenta un chat en Streamlit; el módulo RAG carga PDF, los divide en fragmentos y usa Chroma y embeddings como almacenamiento y retrievers para recuperar dicha información. El código configura GPT-4o-mini para reformular consultas y GPT-4o para elaborar respuestas (Equipo RED QUEEN, 2026).</w:t>
      </w:r>
    </w:p>
    <w:p w:rsidR="00000000" w:rsidDel="00000000" w:rsidP="00000000" w:rsidRDefault="00000000" w:rsidRPr="00000000" w14:paraId="000000CA">
      <w:pPr>
        <w:jc w:val="both"/>
        <w:rPr>
          <w:sz w:val="10"/>
          <w:szCs w:val="10"/>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La recuperación combina búsquedas por similitud con MMR y consultas reformuladas. El prompt pide orientar al alumno a partir del temario y señalar los temas pertinentes. Son instrucciones de comportamiento que habrá que evaluar. El prototipo constituye una base de tutoría documental; todavía se planifica su conexión con perfiles de aprendizaje y laboratorios de RED QUEEN (Equipo RED QUEEN, 2026).</w:t>
      </w:r>
    </w:p>
    <w:p w:rsidR="00000000" w:rsidDel="00000000" w:rsidP="00000000" w:rsidRDefault="00000000" w:rsidRPr="00000000" w14:paraId="000000CC">
      <w:pPr>
        <w:jc w:val="both"/>
        <w:rPr>
          <w:sz w:val="10"/>
          <w:szCs w:val="10"/>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RAG, retrieval-augmented generation, combina recuperación de información con generación condicionada por el material recuperado. Esta técnica permite separar el corpus documental del modelo generador. Incorporar PDF a la base vectorial no equivale, en el código existente, a ajustar los pesos del LLM (Equipo RED QUEEN, 2026; Lewis et al., 2020).</w:t>
      </w:r>
    </w:p>
    <w:p w:rsidR="00000000" w:rsidDel="00000000" w:rsidP="00000000" w:rsidRDefault="00000000" w:rsidRPr="00000000" w14:paraId="000000CE">
      <w:pPr>
        <w:pStyle w:val="Heading3"/>
        <w:jc w:val="both"/>
        <w:rPr/>
      </w:pPr>
      <w:bookmarkStart w:colFirst="0" w:colLast="0" w:name="_qwhqy4q927c4" w:id="24"/>
      <w:bookmarkEnd w:id="24"/>
      <w:r w:rsidDel="00000000" w:rsidR="00000000" w:rsidRPr="00000000">
        <w:rPr>
          <w:rtl w:val="0"/>
        </w:rPr>
        <w:t xml:space="preserve">Trabajo previsto sobre el prototipo</w:t>
      </w:r>
    </w:p>
    <w:p w:rsidR="00000000" w:rsidDel="00000000" w:rsidP="00000000" w:rsidRDefault="00000000" w:rsidRPr="00000000" w14:paraId="000000CF">
      <w:pPr>
        <w:numPr>
          <w:ilvl w:val="0"/>
          <w:numId w:val="2"/>
        </w:numPr>
        <w:ind w:left="720" w:hanging="360"/>
        <w:jc w:val="both"/>
        <w:rPr/>
      </w:pPr>
      <w:r w:rsidDel="00000000" w:rsidR="00000000" w:rsidRPr="00000000">
        <w:rPr>
          <w:rtl w:val="0"/>
        </w:rPr>
        <w:t xml:space="preserve">Sustituir las rutas locales de Windows por configuración portable y registrar las dependencias y los parámetros de ejecución.</w:t>
      </w:r>
    </w:p>
    <w:p w:rsidR="00000000" w:rsidDel="00000000" w:rsidP="00000000" w:rsidRDefault="00000000" w:rsidRPr="00000000" w14:paraId="000000D0">
      <w:pPr>
        <w:numPr>
          <w:ilvl w:val="0"/>
          <w:numId w:val="2"/>
        </w:numPr>
        <w:ind w:left="720" w:hanging="360"/>
        <w:jc w:val="both"/>
        <w:rPr/>
      </w:pPr>
      <w:r w:rsidDel="00000000" w:rsidR="00000000" w:rsidRPr="00000000">
        <w:rPr>
          <w:rtl w:val="0"/>
        </w:rPr>
        <w:t xml:space="preserve">Separar la lógica RAG de la interfaz Streamlit para conectarla con el backend y el chat de la web conjunta.</w:t>
      </w:r>
    </w:p>
    <w:p w:rsidR="00000000" w:rsidDel="00000000" w:rsidP="00000000" w:rsidRDefault="00000000" w:rsidRPr="00000000" w14:paraId="000000D1">
      <w:pPr>
        <w:numPr>
          <w:ilvl w:val="0"/>
          <w:numId w:val="2"/>
        </w:numPr>
        <w:ind w:left="720" w:hanging="360"/>
        <w:jc w:val="both"/>
        <w:rPr/>
      </w:pPr>
      <w:r w:rsidDel="00000000" w:rsidR="00000000" w:rsidRPr="00000000">
        <w:rPr>
          <w:rtl w:val="0"/>
        </w:rPr>
        <w:t xml:space="preserve">Añadir contexto de conversación, perfil y estado autorizado del laboratorio, seleccionando qué información necesita cada respuesta.</w:t>
      </w:r>
    </w:p>
    <w:p w:rsidR="00000000" w:rsidDel="00000000" w:rsidP="00000000" w:rsidRDefault="00000000" w:rsidRPr="00000000" w14:paraId="000000D2">
      <w:pPr>
        <w:numPr>
          <w:ilvl w:val="0"/>
          <w:numId w:val="2"/>
        </w:numPr>
        <w:ind w:left="720" w:hanging="360"/>
        <w:jc w:val="both"/>
        <w:rPr/>
      </w:pPr>
      <w:r w:rsidDel="00000000" w:rsidR="00000000" w:rsidRPr="00000000">
        <w:rPr>
          <w:rtl w:val="0"/>
        </w:rPr>
        <w:t xml:space="preserve">Mostrar las fuentes utilizadas realmente en la respuesta. Actualmente la generación emplea un recuperador combinado y la interfaz obtiene fragmentos mediante otra recuperación; ambas trazas deberán coincidir (Equipo RED QUEEN, 2026).</w:t>
      </w:r>
    </w:p>
    <w:p w:rsidR="00000000" w:rsidDel="00000000" w:rsidP="00000000" w:rsidRDefault="00000000" w:rsidRPr="00000000" w14:paraId="000000D3">
      <w:pPr>
        <w:numPr>
          <w:ilvl w:val="0"/>
          <w:numId w:val="2"/>
        </w:numPr>
        <w:ind w:left="720" w:hanging="360"/>
        <w:jc w:val="both"/>
        <w:rPr/>
      </w:pPr>
      <w:r w:rsidDel="00000000" w:rsidR="00000000" w:rsidRPr="00000000">
        <w:rPr>
          <w:rtl w:val="0"/>
        </w:rPr>
        <w:t xml:space="preserve">Evaluar pertinencia de las pistas, fundamento en el material, comportamiento sin evidencia suficiente y revelación indebida de soluciones.</w:t>
      </w:r>
    </w:p>
    <w:p w:rsidR="00000000" w:rsidDel="00000000" w:rsidP="00000000" w:rsidRDefault="00000000" w:rsidRPr="00000000" w14:paraId="000000D4">
      <w:pPr>
        <w:pStyle w:val="Heading3"/>
        <w:jc w:val="both"/>
        <w:rPr/>
      </w:pPr>
      <w:bookmarkStart w:colFirst="0" w:colLast="0" w:name="_ue2s3imhi3wi" w:id="25"/>
      <w:bookmarkEnd w:id="25"/>
      <w:r w:rsidDel="00000000" w:rsidR="00000000" w:rsidRPr="00000000">
        <w:rPr>
          <w:rtl w:val="0"/>
        </w:rPr>
        <w:t xml:space="preserve">Decisión sobre modelos abiertos</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Proponemos tres etapas: consolidar el tutor con API y RAG para estudiar inferencia con un modelo de pesos abiertos y licencia adecuada; y valorar ajuste supervisado si existe un conjunto de ejemplos docentes revisados. RAG y ajuste de pesos resuelven tareas diferentes y pueden combinarse. La elección requerirá medir calidad, latencia, memoria, coste y condiciones de uso.</w:t>
      </w:r>
    </w:p>
    <w:p w:rsidR="00000000" w:rsidDel="00000000" w:rsidP="00000000" w:rsidRDefault="00000000" w:rsidRPr="00000000" w14:paraId="000000D6">
      <w:pPr>
        <w:jc w:val="both"/>
        <w:rPr>
          <w:sz w:val="10"/>
          <w:szCs w:val="10"/>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Como posible técnica de ajuste se estudiará LoRA, que congela los pesos preentrenados e introduce matrices entrenables de bajo rango, reduciendo el número de parámetros que se ajustan. Su viabilidad concreta dependerá del modelo, el hardware y los datos; el artículo no garantiza que cualquier configuración funcione en el equipo disponible (Hu et al., 2022).</w:t>
      </w:r>
    </w:p>
    <w:p w:rsidR="00000000" w:rsidDel="00000000" w:rsidP="00000000" w:rsidRDefault="00000000" w:rsidRPr="00000000" w14:paraId="000000D8">
      <w:pPr>
        <w:jc w:val="both"/>
        <w:rPr>
          <w:sz w:val="10"/>
          <w:szCs w:val="10"/>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En las siguientes</w:t>
      </w:r>
      <w:r w:rsidDel="00000000" w:rsidR="00000000" w:rsidRPr="00000000">
        <w:rPr>
          <w:rtl w:val="0"/>
        </w:rPr>
        <w:t xml:space="preserve"> fases se decidirá si la ampliación cabe en el plazo. Entrenar un LLM desde cero no se compromete como requisito del prototipo: requeriría justificar por separado el corpus, el entrenamiento y su evaluación. Esta decisión es distinta del posible entrenamiento del modelo del alumno.</w:t>
      </w:r>
    </w:p>
    <w:p w:rsidR="00000000" w:rsidDel="00000000" w:rsidP="00000000" w:rsidRDefault="00000000" w:rsidRPr="00000000" w14:paraId="000000DA">
      <w:pPr>
        <w:pStyle w:val="Heading2"/>
        <w:jc w:val="both"/>
        <w:rPr/>
      </w:pPr>
      <w:bookmarkStart w:colFirst="0" w:colLast="0" w:name="_ipdqmfk8pv5s" w:id="26"/>
      <w:bookmarkEnd w:id="26"/>
      <w:r w:rsidDel="00000000" w:rsidR="00000000" w:rsidRPr="00000000">
        <w:rPr>
          <w:rtl w:val="0"/>
        </w:rPr>
        <w:t xml:space="preserve">8. Infraestructura web y ejecución de laboratorios</w:t>
      </w:r>
    </w:p>
    <w:p w:rsidR="00000000" w:rsidDel="00000000" w:rsidP="00000000" w:rsidRDefault="00000000" w:rsidRPr="00000000" w14:paraId="000000DB">
      <w:pPr>
        <w:ind w:firstLine="720"/>
        <w:jc w:val="both"/>
        <w:rPr/>
      </w:pPr>
      <w:r w:rsidDel="00000000" w:rsidR="00000000" w:rsidRPr="00000000">
        <w:rPr>
          <w:rtl w:val="0"/>
        </w:rPr>
        <w:t xml:space="preserve">La propuesta inicial aporta el portal, la orquestación, la validación de escenarios y la recogida de evidencias. Como base tecnológica se estudiarán React para la web, FastAPI para el backend, Docker y Kubernetes con k3s para la ejecución, y Keycloak para identidad (Docker, s. f.; FastAPI, s. f.; Keycloak, s. f.; React, s. f.). La selección definitiva priorizará un recorrido funcional completo y un despliegue que los cuatro puedan reproducir.</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ind w:firstLine="720"/>
        <w:jc w:val="both"/>
        <w:rPr/>
      </w:pPr>
      <w:r w:rsidDel="00000000" w:rsidR="00000000" w:rsidRPr="00000000">
        <w:rPr>
          <w:rtl w:val="0"/>
        </w:rPr>
        <w:t xml:space="preserve">K3s es una distribución ligera de Kubernetes y ofrece un punto de partida para el prototipo. Se prevén instancias por sesión, límites de recursos, políticas de red y cierre automático. Las NetworkPolicy solo se aplican cuando la solución de red del clúster las implementa; por tanto, el aislamiento deberá probarse con el despliegue elegido (K3s project, s. f.; Kubernetes, s. f.-a; Kubernetes, s. f.-b).</w:t>
      </w:r>
    </w:p>
    <w:p w:rsidR="00000000" w:rsidDel="00000000" w:rsidP="00000000" w:rsidRDefault="00000000" w:rsidRPr="00000000" w14:paraId="000000DE">
      <w:pPr>
        <w:jc w:val="both"/>
        <w:rPr/>
      </w:pPr>
      <w:r w:rsidDel="00000000" w:rsidR="00000000" w:rsidRPr="00000000">
        <w:rPr>
          <w:rtl w:val="0"/>
        </w:rPr>
        <w:tab/>
      </w:r>
    </w:p>
    <w:p w:rsidR="00000000" w:rsidDel="00000000" w:rsidP="00000000" w:rsidRDefault="00000000" w:rsidRPr="00000000" w14:paraId="000000DF">
      <w:pPr>
        <w:ind w:firstLine="720"/>
        <w:jc w:val="both"/>
        <w:rPr/>
      </w:pPr>
      <w:r w:rsidDel="00000000" w:rsidR="00000000" w:rsidRPr="00000000">
        <w:rPr>
          <w:rtl w:val="0"/>
        </w:rPr>
        <w:t xml:space="preserve">Para el acceso desde navegador se priorizará una terminal con xterm.js y una conexión gestionada por el backend. Si se necesitan escritorios o protocolos RDP y VNC, se valorará Apache Guacamole, que actúa como pasarela entre el cliente web y protocolos de acceso remoto (Apache Software Foundation, s. f.; xterm.js project, s. f.).</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ind w:firstLine="720"/>
        <w:jc w:val="both"/>
        <w:rPr/>
      </w:pPr>
      <w:r w:rsidDel="00000000" w:rsidR="00000000" w:rsidRPr="00000000">
        <w:rPr>
          <w:rtl w:val="0"/>
        </w:rPr>
        <w:t xml:space="preserve">El validador comprobará el formato y las restricciones del catálogo: imágenes permitidas, presupuesto de CPU y memoria, relaciones de red, duración y criterios de evaluación. El orquestador solo recibirá propuestas aceptadas. La combinación de validación, límites y pruebas de aislamiento deberá aportar evidencia de control; un objeto JSON válido no implica por sí solo seguridad del laboratorio (JSON Schema, s. f.; Kubernetes, s. f.-a; Kubernetes, s. f.-b).</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ind w:firstLine="720"/>
        <w:jc w:val="both"/>
        <w:rPr/>
      </w:pPr>
      <w:r w:rsidDel="00000000" w:rsidR="00000000" w:rsidRPr="00000000">
        <w:rPr>
          <w:rtl w:val="0"/>
        </w:rPr>
        <w:t xml:space="preserve">La telemetría empezará por los resultados verificables de hitos, ayudas y errores de ejecución. auditd u otros agentes podrán aportar contexto si su instalación y tratamiento de eventos resultan necesarios. Los escenarios Windows con KubeVirt, el acceso gráfico y mecanismos adicionales como gVisor se estudiarán como ampliaciones; su inclusión no bloqueará la demostración Linux inicial.</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ind w:firstLine="720"/>
        <w:jc w:val="both"/>
        <w:rPr/>
      </w:pPr>
      <w:r w:rsidDel="00000000" w:rsidR="00000000" w:rsidRPr="00000000">
        <w:rPr>
          <w:rtl w:val="0"/>
        </w:rPr>
        <w:t xml:space="preserve">La revisión de infraestructura conservará las herramientas de referencia del documento inicial y comprobará sus fuentes y capacidades antes de utilizarlas en el estado del arte. La comparación bibliográfica se completará con trabajos académicos sobre adaptación y generación, además de documentación técnica.</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b w:val="1"/>
          <w:bCs w:val="1"/>
          <w:color w:val="434343"/>
          <w:sz w:val="24"/>
          <w:szCs w:val="24"/>
          <w:rtl w:val="0"/>
        </w:rPr>
        <w:t xml:space="preserve">Diseño de la interfaz web y experiencia de usuario (UI/UX): Portal público y Landing Page </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ab/>
        <w:t xml:space="preserve">Como paso previo al desarrollo funcional del </w:t>
      </w:r>
      <w:r w:rsidDel="00000000" w:rsidR="00000000" w:rsidRPr="00000000">
        <w:rPr>
          <w:i w:val="1"/>
          <w:iCs w:val="1"/>
          <w:rtl w:val="0"/>
        </w:rPr>
        <w:t xml:space="preserve">frontend</w:t>
      </w:r>
      <w:r w:rsidDel="00000000" w:rsidR="00000000" w:rsidRPr="00000000">
        <w:rPr>
          <w:rtl w:val="0"/>
        </w:rPr>
        <w:t xml:space="preserve"> en React, hemos conceptualizado y diseñado el boceto no funcional de la pantalla principal (</w:t>
      </w:r>
      <w:r w:rsidDel="00000000" w:rsidR="00000000" w:rsidRPr="00000000">
        <w:rPr>
          <w:i w:val="1"/>
          <w:iCs w:val="1"/>
          <w:rtl w:val="0"/>
        </w:rPr>
        <w:t xml:space="preserve">Landing Page</w:t>
      </w:r>
      <w:r w:rsidDel="00000000" w:rsidR="00000000" w:rsidRPr="00000000">
        <w:rPr>
          <w:rtl w:val="0"/>
        </w:rPr>
        <w:t xml:space="preserve">), correspondiente a la vista pública accesible antes de la autenticación del usuario mediante Keycloak (OAuth2/OpenID Connect). El propósito de esta interfaz es comunicar de forma inmediata la propuesta de valor pedagógica y técnica de </w:t>
      </w:r>
      <w:r w:rsidDel="00000000" w:rsidR="00000000" w:rsidRPr="00000000">
        <w:rPr>
          <w:b w:val="1"/>
          <w:bCs w:val="1"/>
          <w:rtl w:val="0"/>
        </w:rPr>
        <w:t xml:space="preserve">RED QUEEN</w:t>
      </w:r>
      <w:r w:rsidDel="00000000" w:rsidR="00000000" w:rsidRPr="00000000">
        <w:rPr>
          <w:rtl w:val="0"/>
        </w:rPr>
        <w:t xml:space="preserve">, establecer un sistema de diseño moderno en modo oscuro y guiar al estudiante de manera fluida hacia el catálogo de laboratorios o el acceso a la plataforma.</w:t>
      </w:r>
    </w:p>
    <w:p w:rsidR="00000000" w:rsidDel="00000000" w:rsidP="00000000" w:rsidRDefault="00000000" w:rsidRPr="00000000" w14:paraId="000000E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7338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733800"/>
                    </a:xfrm>
                    <a:prstGeom prst="rect"/>
                    <a:ln/>
                  </pic:spPr>
                </pic:pic>
              </a:graphicData>
            </a:graphic>
          </wp:anchor>
        </w:drawing>
      </w:r>
    </w:p>
    <w:p w:rsidR="00000000" w:rsidDel="00000000" w:rsidP="00000000" w:rsidRDefault="00000000" w:rsidRPr="00000000" w14:paraId="000000EE">
      <w:pPr>
        <w:jc w:val="both"/>
        <w:rPr/>
      </w:pPr>
      <w:r w:rsidDel="00000000" w:rsidR="00000000" w:rsidRPr="00000000">
        <w:rPr>
          <w:b w:val="1"/>
          <w:bCs w:val="1"/>
          <w:color w:val="434343"/>
          <w:sz w:val="24"/>
          <w:szCs w:val="24"/>
          <w:rtl w:val="0"/>
        </w:rPr>
        <w:t xml:space="preserve">Patrones de diseño e inspiración en soluciones consolidadas </w:t>
      </w: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El diseño visual y la arquitectura de interacción de RED QUEEN han sido modelados a partir de un análisis comparativo de las plataformas comerciales y académicas más relevantes del sector.</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Plataforma / Referencia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 Inspirador Adoptado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Aplicación en la Arquitectura de RED QUEEN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TryHackMe / Hack The 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tl w:val="0"/>
              </w:rPr>
              <w:t xml:space="preserve">Disposición interactiva dividida (</w:t>
            </w:r>
            <w:r w:rsidDel="00000000" w:rsidR="00000000" w:rsidRPr="00000000">
              <w:rPr>
                <w:rFonts w:ascii="Arial" w:cs="Arial" w:eastAsia="Arial" w:hAnsi="Arial"/>
                <w:i w:val="1"/>
                <w:iCs w:val="1"/>
                <w:rtl w:val="0"/>
              </w:rPr>
              <w:t xml:space="preserve">Split-Screen</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Vista de laboratorio dividida: 40% panel de tareas, guías y entrega de </w:t>
            </w:r>
            <w:r w:rsidDel="00000000" w:rsidR="00000000" w:rsidRPr="00000000">
              <w:rPr>
                <w:rFonts w:ascii="Arial" w:cs="Arial" w:eastAsia="Arial" w:hAnsi="Arial"/>
                <w:i w:val="1"/>
                <w:iCs w:val="1"/>
                <w:rtl w:val="0"/>
              </w:rPr>
              <w:t xml:space="preserve">flags</w:t>
            </w:r>
            <w:r w:rsidDel="00000000" w:rsidR="00000000" w:rsidRPr="00000000">
              <w:rPr>
                <w:rFonts w:ascii="Arial" w:cs="Arial" w:eastAsia="Arial" w:hAnsi="Arial"/>
                <w:rtl w:val="0"/>
              </w:rPr>
              <w:t xml:space="preserve"> a la izquierda; 60% consola o escritorio a la derecha.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CTFd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tl w:val="0"/>
              </w:rPr>
              <w:t xml:space="preserve">Estructura de catálogo modular y validación de </w:t>
            </w:r>
            <w:r w:rsidDel="00000000" w:rsidR="00000000" w:rsidRPr="00000000">
              <w:rPr>
                <w:rFonts w:ascii="Arial" w:cs="Arial" w:eastAsia="Arial" w:hAnsi="Arial"/>
                <w:i w:val="1"/>
                <w:iCs w:val="1"/>
                <w:rtl w:val="0"/>
              </w:rPr>
              <w:t xml:space="preserve">flags</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Vista de catálogo en cuadrícula (</w:t>
            </w:r>
            <w:r w:rsidDel="00000000" w:rsidR="00000000" w:rsidRPr="00000000">
              <w:rPr>
                <w:rFonts w:ascii="Arial" w:cs="Arial" w:eastAsia="Arial" w:hAnsi="Arial"/>
                <w:i w:val="1"/>
                <w:iCs w:val="1"/>
                <w:rtl w:val="0"/>
              </w:rPr>
              <w:t xml:space="preserve">grid</w:t>
            </w:r>
            <w:r w:rsidDel="00000000" w:rsidR="00000000" w:rsidRPr="00000000">
              <w:rPr>
                <w:rFonts w:ascii="Arial" w:cs="Arial" w:eastAsia="Arial" w:hAnsi="Arial"/>
                <w:rtl w:val="0"/>
              </w:rPr>
              <w:t xml:space="preserve">) con filtrado por categoría y motor de verificación de </w:t>
            </w:r>
            <w:r w:rsidDel="00000000" w:rsidR="00000000" w:rsidRPr="00000000">
              <w:rPr>
                <w:rFonts w:ascii="Arial" w:cs="Arial" w:eastAsia="Arial" w:hAnsi="Arial"/>
                <w:i w:val="1"/>
                <w:iCs w:val="1"/>
                <w:rtl w:val="0"/>
              </w:rPr>
              <w:t xml:space="preserve">flags</w:t>
            </w:r>
            <w:r w:rsidDel="00000000" w:rsidR="00000000" w:rsidRPr="00000000">
              <w:rPr>
                <w:rFonts w:ascii="Arial" w:cs="Arial" w:eastAsia="Arial" w:hAnsi="Arial"/>
                <w:rtl w:val="0"/>
              </w:rPr>
              <w:t xml:space="preserve"> por </w:t>
            </w:r>
            <w:r w:rsidDel="00000000" w:rsidR="00000000" w:rsidRPr="00000000">
              <w:rPr>
                <w:rFonts w:ascii="Arial" w:cs="Arial" w:eastAsia="Arial" w:hAnsi="Arial"/>
                <w:i w:val="1"/>
                <w:iCs w:val="1"/>
                <w:rtl w:val="0"/>
              </w:rPr>
              <w:t xml:space="preserve">hashes</w:t>
            </w:r>
            <w:r w:rsidDel="00000000" w:rsidR="00000000" w:rsidRPr="00000000">
              <w:rPr>
                <w:rFonts w:ascii="Arial" w:cs="Arial" w:eastAsia="Arial" w:hAnsi="Arial"/>
                <w:rtl w:val="0"/>
              </w:rPr>
              <w:t xml:space="preserve"> en base de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OpenCTI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i w:val="1"/>
                <w:iCs w:val="1"/>
                <w:rtl w:val="0"/>
              </w:rPr>
              <w:t xml:space="preserve">Dashboards</w:t>
            </w:r>
            <w:r w:rsidDel="00000000" w:rsidR="00000000" w:rsidRPr="00000000">
              <w:rPr>
                <w:rFonts w:ascii="Arial" w:cs="Arial" w:eastAsia="Arial" w:hAnsi="Arial"/>
                <w:rtl w:val="0"/>
              </w:rPr>
              <w:t xml:space="preserve"> analíticos y representación de telemetría.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Cuadro de mando del estudiante con mapa de calor en tiempo real para medir la cobertura sobre la matriz </w:t>
            </w:r>
            <w:r w:rsidDel="00000000" w:rsidR="00000000" w:rsidRPr="00000000">
              <w:rPr>
                <w:rFonts w:ascii="Arial" w:cs="Arial" w:eastAsia="Arial" w:hAnsi="Arial"/>
                <w:b w:val="1"/>
                <w:bCs w:val="1"/>
                <w:rtl w:val="0"/>
              </w:rPr>
              <w:t xml:space="preserve">MITRE ATT&amp;CK</w:t>
            </w:r>
            <w:r w:rsidDel="00000000" w:rsidR="00000000" w:rsidRPr="00000000">
              <w:rPr>
                <w:rFonts w:ascii="Arial" w:cs="Arial" w:eastAsia="Arial" w:hAnsi="Arial"/>
                <w:rtl w:val="0"/>
              </w:rPr>
              <w:t xml:space="preserv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xterm.js / Apache Guacamole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tl w:val="0"/>
              </w:rPr>
              <w:t xml:space="preserve">Acceso remoto e interacción </w:t>
            </w:r>
            <w:r w:rsidDel="00000000" w:rsidR="00000000" w:rsidRPr="00000000">
              <w:rPr>
                <w:rFonts w:ascii="Arial" w:cs="Arial" w:eastAsia="Arial" w:hAnsi="Arial"/>
                <w:i w:val="1"/>
                <w:iCs w:val="1"/>
                <w:rtl w:val="0"/>
              </w:rPr>
              <w:t xml:space="preserve">clientless</w:t>
            </w:r>
            <w:r w:rsidDel="00000000" w:rsidR="00000000" w:rsidRPr="00000000">
              <w:rPr>
                <w:rFonts w:ascii="Arial" w:cs="Arial" w:eastAsia="Arial" w:hAnsi="Arial"/>
                <w:rtl w:val="0"/>
              </w:rPr>
              <w:t xml:space="preserve"> en el navegador.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Streaming bidireccional nativo mediante WebSockets para terminales Bash CLI y escritorios remotos GUI sin software local </w:t>
            </w:r>
          </w:p>
        </w:tc>
      </w:tr>
    </w:tbl>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pStyle w:val="Heading2"/>
        <w:jc w:val="both"/>
        <w:rPr/>
      </w:pPr>
      <w:bookmarkStart w:colFirst="0" w:colLast="0" w:name="_4jpmw01tslyh" w:id="27"/>
      <w:bookmarkEnd w:id="27"/>
      <w:r w:rsidDel="00000000" w:rsidR="00000000" w:rsidRPr="00000000">
        <w:rPr>
          <w:rtl w:val="0"/>
        </w:rPr>
        <w:t xml:space="preserve">9. Metodología y organización del equipo</w:t>
      </w:r>
    </w:p>
    <w:p w:rsidR="00000000" w:rsidDel="00000000" w:rsidP="00000000" w:rsidRDefault="00000000" w:rsidRPr="00000000" w14:paraId="00000105">
      <w:pPr>
        <w:pStyle w:val="Heading3"/>
        <w:jc w:val="both"/>
        <w:rPr/>
      </w:pPr>
      <w:bookmarkStart w:colFirst="0" w:colLast="0" w:name="_nzfhqwvqb1mm" w:id="28"/>
      <w:bookmarkEnd w:id="28"/>
      <w:r w:rsidDel="00000000" w:rsidR="00000000" w:rsidRPr="00000000">
        <w:rPr>
          <w:rtl w:val="0"/>
        </w:rPr>
        <w:t xml:space="preserve">Investigación y desarrollo</w:t>
      </w:r>
    </w:p>
    <w:p w:rsidR="00000000" w:rsidDel="00000000" w:rsidP="00000000" w:rsidRDefault="00000000" w:rsidRPr="00000000" w14:paraId="00000106">
      <w:pPr>
        <w:jc w:val="both"/>
        <w:rPr/>
      </w:pPr>
      <w:r w:rsidDel="00000000" w:rsidR="00000000" w:rsidRPr="00000000">
        <w:rPr>
          <w:rtl w:val="0"/>
        </w:rPr>
        <w:t xml:space="preserve">La fase inicial combinará revisión bibliográfica y definición del sistema. Se registrarán las búsquedas, la fecha, las fuentes consultadas y los criterios de selección. Entre las consultas estarán “knowledge tracing cybersecurity”, “adaptive cyber range”, “cyber range scenario generation” y “RAG intelligent tutoring”. Los artículos aportarán evidencia científica; la documentación y los repositorios describirán implementaciones y compatibilidad técnica.</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Cada fuente se resumirá con su problema, método, datos, resultados, limitaciones y relación con RED QUEEN. La revisión inicial reunirá los tres ejes del proyecto: adaptación del aprendizaje, tutoría con LLM y ejecución de laboratorios. Se actualizará durante el desarrollo, especialmente antes de cerrar la elección del modelo.</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El desarrollo será incremental. Primero se acordarán habilidades, hitos y contratos de datos; después se probará cada módulo con entradas conocidas; a continuación se conectará un único laboratorio de extremo a extremo. Una vez funcione ese recorrido se ampliarán las variantes, el generador y la evaluación. La memoria recogerá decisiones y resultados desde el inicio.</w:t>
      </w:r>
    </w:p>
    <w:p w:rsidR="00000000" w:rsidDel="00000000" w:rsidP="00000000" w:rsidRDefault="00000000" w:rsidRPr="00000000" w14:paraId="0000010B">
      <w:pPr>
        <w:pStyle w:val="Heading3"/>
        <w:jc w:val="both"/>
        <w:rPr/>
      </w:pPr>
      <w:bookmarkStart w:colFirst="0" w:colLast="0" w:name="_5opqhasbvwta" w:id="29"/>
      <w:bookmarkEnd w:id="29"/>
      <w:r w:rsidDel="00000000" w:rsidR="00000000" w:rsidRPr="00000000">
        <w:rPr>
          <w:rtl w:val="0"/>
        </w:rPr>
        <w:t xml:space="preserve">Responsabilidades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35101533361"/>
        <w:gridCol w:w="7244.160795690013"/>
        <w:tblGridChange w:id="0">
          <w:tblGrid>
            <w:gridCol w:w="1781.35101533361"/>
            <w:gridCol w:w="7244.160795690013"/>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Integrante</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Responsabilidad principal</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Mario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Profesor conversacional, recuperación documental, conexión con el LLM y evaluación de las ayudas. Estudio de modelos abiertos y posible ajuste.</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Norberto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Infraestructura, portal, backend y telemetría, dentro del bloque compartido con Francesca. Concretar entre ambos el reparto de componentes.</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Francesca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Infraestructura, portal, backend y telemetría, dentro del bloque compartido con Norberto. Concretar entre ambos el reparto de componentes.</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Miguel Sevilla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rFonts w:ascii="Cardo" w:cs="Cardo" w:eastAsia="Cardo" w:hAnsi="Cardo"/>
                <w:sz w:val="20"/>
                <w:szCs w:val="20"/>
                <w:rtl w:val="0"/>
              </w:rPr>
              <w:t xml:space="preserve">Investigación del modelo del alumno, mapa de habilidades con el equipo, demo Python y política de adaptación. Coordinación de la relación perfil → escenario.</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Definición de escenarios, contrato de integración, pruebas conjuntas, discusión de resultados, memoria y preparación de la defensa.</w:t>
            </w:r>
          </w:p>
        </w:tc>
      </w:tr>
    </w:tbl>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Se propone una reunión semanal con demostración breve de avances y una revisión quincenal de integración. Cada tarea tendrá responsable, criterio de terminación y dependencias. Los cambios que afecten a varios módulos se registrarán en el repositorio junto con la versión del contrato. La dirección revisará el planteamiento y los hitos académicos según su disponibilidad.</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2"/>
        <w:jc w:val="both"/>
        <w:rPr/>
      </w:pPr>
      <w:bookmarkStart w:colFirst="0" w:colLast="0" w:name="_6hy6gcot5b1w" w:id="30"/>
      <w:bookmarkEnd w:id="30"/>
      <w:r w:rsidDel="00000000" w:rsidR="00000000" w:rsidRPr="00000000">
        <w:rPr>
          <w:rtl w:val="0"/>
        </w:rPr>
        <w:t xml:space="preserve">10. Cronograma propuesto</w:t>
      </w:r>
    </w:p>
    <w:p w:rsidR="00000000" w:rsidDel="00000000" w:rsidP="00000000" w:rsidRDefault="00000000" w:rsidRPr="00000000" w14:paraId="0000011D">
      <w:pPr>
        <w:pStyle w:val="Heading3"/>
        <w:jc w:val="both"/>
        <w:rPr/>
      </w:pPr>
      <w:bookmarkStart w:colFirst="0" w:colLast="0" w:name="_521p7syji2jo" w:id="31"/>
      <w:bookmarkEnd w:id="31"/>
      <w:r w:rsidDel="00000000" w:rsidR="00000000" w:rsidRPr="00000000">
        <w:rPr>
          <w:rtl w:val="0"/>
        </w:rPr>
        <w:t xml:space="preserve">Fases y periodos de trabajo previstos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6684624948202"/>
        <w:gridCol w:w="2063.3982594280983"/>
        <w:gridCol w:w="4542.445089100705"/>
        <w:tblGridChange w:id="0">
          <w:tblGrid>
            <w:gridCol w:w="2419.6684624948202"/>
            <w:gridCol w:w="2063.3982594280983"/>
            <w:gridCol w:w="4542.445089100705"/>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Fase</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Periodo</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Resultado principal</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 Conceptualización y planificación</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08/10–18/12/2026</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Planteamiento, revisión inicial, requisitos, contratos y pruebas pequeñas de los módulos.</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II Desarrollo e iteración</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08/01–18/03/2027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Recorrido integrado, adaptación, generación controlada y chat. Ampliación del catálogo tras validar el recorrido.</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III Síntesis y redacción</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19/03–30/04/2027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Evaluación, análisis de resultados y memoria completa. La redacción y las pruebas habrán comenzado antes.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IV Revisión y defensa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03/05–09/06/2027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Correcciones, entregas académicas, ensayo, defensa y versión final.</w:t>
            </w:r>
          </w:p>
        </w:tc>
      </w:tr>
    </w:tbl>
    <w:p w:rsidR="00000000" w:rsidDel="00000000" w:rsidP="00000000" w:rsidRDefault="00000000" w:rsidRPr="00000000" w14:paraId="0000012D">
      <w:pPr>
        <w:pStyle w:val="Heading3"/>
        <w:jc w:val="both"/>
        <w:rPr/>
      </w:pPr>
      <w:bookmarkStart w:colFirst="0" w:colLast="0" w:name="_4caovd1cohrn" w:id="32"/>
      <w:bookmarkEnd w:id="32"/>
      <w:r w:rsidDel="00000000" w:rsidR="00000000" w:rsidRPr="00000000">
        <w:rPr>
          <w:rtl w:val="0"/>
        </w:rPr>
        <w:t xml:space="preserve">Hitos internos propuestos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201427407781"/>
        <w:gridCol w:w="6002.187657577287"/>
        <w:gridCol w:w="1556.1227260385558"/>
        <w:tblGridChange w:id="0">
          <w:tblGrid>
            <w:gridCol w:w="1467.201427407781"/>
            <w:gridCol w:w="6002.187657577287"/>
            <w:gridCol w:w="1556.1227260385558"/>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Fecha</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Hito y criterio de terminación</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Responsables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23/10/2026</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H1 Planteamiento revisado: objetivos, alcance, aportaciones y calendario contrastados con la dirección.</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20/11/2026</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H2 Revisión inicial y requisitos: habilidades, primer laboratorio, eventos y contrato acordados.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18/12/2026</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H3 Bases de los módulos: demo de adaptación, tutor portable y prueba de despliegue de un laboratorio.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Cada bloque</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28/01/2027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H4 Recorrido integrado: acceso, práctica, evidencia, perfil actualizado y siguiente actividad, con chat.</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26/02/2027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H5 Versión evaluable: variantes y escenario nuevo validados. Decisión sobre incluir un modelo abierto o su ajuste.</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18/03/2027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H6 Cierre del alcance funcional: catálogo previsto y pruebas de integración; priorizar evaluación y correcciones.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23/04/2027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H7 Resultados analizados y capítulos completos para revisión interna.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30/04/2027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H8 Memoria completa y demostración reproducible, con aportaciones individuales.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07/05/2027</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H9 Borrador listo para el director, con margen antes del plazo publicado.</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Los cuatro</w:t>
            </w:r>
          </w:p>
        </w:tc>
      </w:tr>
    </w:tbl>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pStyle w:val="Heading2"/>
        <w:jc w:val="both"/>
        <w:rPr/>
      </w:pPr>
      <w:bookmarkStart w:colFirst="0" w:colLast="0" w:name="_zglafyu3frwp" w:id="33"/>
      <w:bookmarkEnd w:id="33"/>
      <w:r w:rsidDel="00000000" w:rsidR="00000000" w:rsidRPr="00000000">
        <w:rPr>
          <w:rtl w:val="0"/>
        </w:rPr>
        <w:t xml:space="preserve">11. Riesgos y decisiones de alcance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2.9589722337346"/>
        <w:gridCol w:w="6442.552838789889"/>
        <w:tblGridChange w:id="0">
          <w:tblGrid>
            <w:gridCol w:w="2582.9589722337346"/>
            <w:gridCol w:w="6442.552838789889"/>
          </w:tblGrid>
        </w:tblGridChange>
      </w:tblGrid>
      <w:tr>
        <w:trPr>
          <w:cantSplit w:val="0"/>
          <w:trHeight w:val="465" w:hRule="atLeast"/>
          <w:tblHeader w:val="0"/>
        </w:trPr>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Riesgo</w:t>
            </w:r>
          </w:p>
        </w:tc>
        <w:tc>
          <w:tcPr>
            <w:tcBorders>
              <w:top w:color="d9d9d9" w:space="0" w:sz="4" w:val="single"/>
              <w:left w:color="d9d9d9" w:space="0" w:sz="4" w:val="single"/>
              <w:bottom w:color="d9d9d9" w:space="0" w:sz="4" w:val="single"/>
              <w:right w:color="d9d9d9" w:space="0" w:sz="4" w:val="single"/>
            </w:tcBorders>
            <w:shd w:fill="e7ebef" w:val="clear"/>
            <w:tcMar>
              <w:top w:w="80.0" w:type="dxa"/>
              <w:left w:w="100.0" w:type="dxa"/>
              <w:bottom w:w="80.0" w:type="dxa"/>
              <w:right w:w="10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b w:val="1"/>
                <w:bCs w:val="1"/>
                <w:sz w:val="20"/>
                <w:szCs w:val="20"/>
              </w:rPr>
            </w:pPr>
            <w:r w:rsidDel="00000000" w:rsidR="00000000" w:rsidRPr="00000000">
              <w:rPr>
                <w:b w:val="1"/>
                <w:bCs w:val="1"/>
                <w:sz w:val="20"/>
                <w:szCs w:val="20"/>
                <w:rtl w:val="0"/>
              </w:rPr>
              <w:t xml:space="preserve">Respuesta y decisión</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Pocos datos de aprendizaje</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Separar demo de inferencia y ajuste de parámetros; usar ejemplos declarados como ilustrativos y limitar las conclusiones.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Integración tardía</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Fijar el contrato en noviembre y completar un laboratorio de extremo a extremo en enero.</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Escenarios generados inválidos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Aplicar catálogo, validación semántica y prueba de solución; conservar una actividad validada como alternativa.</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Ayudas incorrectas o demasiado explícitas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Revisar el corpus y las fuentes de cada respuesta, aplicar una rúbrica y probar solicitudes de soluciones.</w:t>
            </w:r>
          </w:p>
        </w:tc>
      </w:tr>
      <w:tr>
        <w:trPr>
          <w:cantSplit w:val="0"/>
          <w:trHeight w:val="660"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Coste o latencia del LLM</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Medir consumo y latencia; limitar contexto y estudiar un proveedor intercambiable o inferencia local.</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Exceso de ampliaciones</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Decidir en febrero sobre modelos abiertos y ajuste; posponer Windows, escritorio y entrenamiento desde cero si comprometen evaluación y memoria.</w:t>
            </w:r>
          </w:p>
        </w:tc>
      </w:tr>
      <w:tr>
        <w:trPr>
          <w:cantSplit w:val="0"/>
          <w:trHeight w:val="885" w:hRule="atLeast"/>
          <w:tblHeader w:val="0"/>
        </w:trPr>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Disponibilidad desigual</w:t>
            </w:r>
          </w:p>
        </w:tc>
        <w:tc>
          <w:tcPr>
            <w:tcBorders>
              <w:top w:color="d9d9d9" w:space="0" w:sz="4" w:val="single"/>
              <w:left w:color="d9d9d9" w:space="0" w:sz="4" w:val="single"/>
              <w:bottom w:color="d9d9d9" w:space="0" w:sz="4" w:val="single"/>
              <w:right w:color="d9d9d9" w:space="0" w:sz="4" w:val="single"/>
            </w:tcBorders>
            <w:tcMar>
              <w:top w:w="80.0" w:type="dxa"/>
              <w:left w:w="100.0" w:type="dxa"/>
              <w:bottom w:w="80.0" w:type="dxa"/>
              <w:right w:w="10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0" w:before="20" w:line="254.4" w:lineRule="auto"/>
              <w:jc w:val="both"/>
              <w:rPr>
                <w:sz w:val="20"/>
                <w:szCs w:val="20"/>
              </w:rPr>
            </w:pPr>
            <w:r w:rsidDel="00000000" w:rsidR="00000000" w:rsidRPr="00000000">
              <w:rPr>
                <w:sz w:val="20"/>
                <w:szCs w:val="20"/>
                <w:rtl w:val="0"/>
              </w:rPr>
              <w:t xml:space="preserve">Distribuir tareas por capacidad real; revisar dependencias semanalmente y mantener el reparto conjunto de infraestructura hasta concretarlo.</w:t>
            </w:r>
          </w:p>
        </w:tc>
      </w:tr>
    </w:tbl>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El resultado esperado es una demostración web reproducible que conecte los módulos del equipo, acompañada de una justificación del modelo del alumno y una evaluación explícita de sus límites. El estado del arte fundamentará las elecciones, los resultados del desarrollo y la evaluación permitirán revisar el planteamiento inicial.</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pStyle w:val="Heading2"/>
        <w:jc w:val="both"/>
        <w:rPr/>
      </w:pPr>
      <w:bookmarkStart w:colFirst="0" w:colLast="0" w:name="_scqtxxhexmhd" w:id="34"/>
      <w:bookmarkEnd w:id="34"/>
      <w:r w:rsidDel="00000000" w:rsidR="00000000" w:rsidRPr="00000000">
        <w:rPr>
          <w:rtl w:val="0"/>
        </w:rPr>
        <w:t xml:space="preserve">12. Referencias</w:t>
      </w:r>
    </w:p>
    <w:p w:rsidR="00000000" w:rsidDel="00000000" w:rsidP="00000000" w:rsidRDefault="00000000" w:rsidRPr="00000000" w14:paraId="00000177">
      <w:pPr>
        <w:jc w:val="both"/>
        <w:rPr/>
      </w:pPr>
      <w:r w:rsidDel="00000000" w:rsidR="00000000" w:rsidRPr="00000000">
        <w:rPr>
          <w:rtl w:val="0"/>
        </w:rPr>
        <w:t xml:space="preserve">Las citas de autor y año incluidas en el texto enlazan a las fuentes. La propuesta de infraestructura procede del documento de investigación de Norberto y Francesca aportado al equipo. Las características del tutor se vinculan al código de la versión indicada. Las fechas internas, requisitos y tamaños del prototipo son propuestas del proyecto.</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numPr>
          <w:ilvl w:val="0"/>
          <w:numId w:val="1"/>
        </w:numPr>
        <w:ind w:left="720" w:hanging="360"/>
        <w:jc w:val="both"/>
        <w:rPr>
          <w:u w:val="none"/>
        </w:rPr>
      </w:pPr>
      <w:r w:rsidDel="00000000" w:rsidR="00000000" w:rsidRPr="00000000">
        <w:rPr>
          <w:rtl w:val="0"/>
        </w:rPr>
        <w:t xml:space="preserve">Apache Software Foundation. (s. f.). Implementation and architecture. Apache Guacamole Manual. Recuperado el 8 de octubre de 2026, de </w:t>
      </w:r>
      <w:hyperlink r:id="rId13">
        <w:r w:rsidDel="00000000" w:rsidR="00000000" w:rsidRPr="00000000">
          <w:rPr>
            <w:color w:val="1155cc"/>
            <w:u w:val="single"/>
            <w:rtl w:val="0"/>
          </w:rPr>
          <w:t xml:space="preserve">https://guacamole.apache.org/doc/gug/guacamole-architecture.html</w:t>
        </w:r>
      </w:hyperlink>
      <w:r w:rsidDel="00000000" w:rsidR="00000000" w:rsidRPr="00000000">
        <w:rPr>
          <w:rtl w:val="0"/>
        </w:rPr>
        <w:t xml:space="preserve"> </w:t>
      </w:r>
    </w:p>
    <w:p w:rsidR="00000000" w:rsidDel="00000000" w:rsidP="00000000" w:rsidRDefault="00000000" w:rsidRPr="00000000" w14:paraId="0000017A">
      <w:pPr>
        <w:ind w:left="720" w:firstLine="0"/>
        <w:jc w:val="both"/>
        <w:rPr/>
      </w:pPr>
      <w:r w:rsidDel="00000000" w:rsidR="00000000" w:rsidRPr="00000000">
        <w:rPr>
          <w:rtl w:val="0"/>
        </w:rPr>
      </w:r>
    </w:p>
    <w:p w:rsidR="00000000" w:rsidDel="00000000" w:rsidP="00000000" w:rsidRDefault="00000000" w:rsidRPr="00000000" w14:paraId="0000017B">
      <w:pPr>
        <w:numPr>
          <w:ilvl w:val="0"/>
          <w:numId w:val="1"/>
        </w:numPr>
        <w:ind w:left="720" w:hanging="360"/>
        <w:jc w:val="both"/>
        <w:rPr>
          <w:u w:val="none"/>
        </w:rPr>
      </w:pPr>
      <w:r w:rsidDel="00000000" w:rsidR="00000000" w:rsidRPr="00000000">
        <w:rPr>
          <w:rtl w:val="0"/>
        </w:rPr>
        <w:t xml:space="preserve">Badrinath, A., Wang, F., &amp; Pardos, Z. (2021). pyBKT: An accessible Python library of Bayesian knowledge tracing models. En Proceedings of the 14th International Conference on Educational Data Mining (pp. 468–474). International Educational Data Mining Society. </w:t>
      </w:r>
      <w:hyperlink r:id="rId14">
        <w:r w:rsidDel="00000000" w:rsidR="00000000" w:rsidRPr="00000000">
          <w:rPr>
            <w:color w:val="1155cc"/>
            <w:u w:val="single"/>
            <w:rtl w:val="0"/>
          </w:rPr>
          <w:t xml:space="preserve">https://files.eric.ed.gov/fulltext/ED615610.pdf</w:t>
        </w:r>
      </w:hyperlink>
      <w:r w:rsidDel="00000000" w:rsidR="00000000" w:rsidRPr="00000000">
        <w:rPr>
          <w:rtl w:val="0"/>
        </w:rPr>
        <w:t xml:space="preserve"> </w:t>
      </w:r>
    </w:p>
    <w:p w:rsidR="00000000" w:rsidDel="00000000" w:rsidP="00000000" w:rsidRDefault="00000000" w:rsidRPr="00000000" w14:paraId="0000017C">
      <w:pPr>
        <w:ind w:left="720" w:firstLine="0"/>
        <w:jc w:val="both"/>
        <w:rPr/>
      </w:pPr>
      <w:r w:rsidDel="00000000" w:rsidR="00000000" w:rsidRPr="00000000">
        <w:rPr>
          <w:rtl w:val="0"/>
        </w:rPr>
      </w:r>
    </w:p>
    <w:p w:rsidR="00000000" w:rsidDel="00000000" w:rsidP="00000000" w:rsidRDefault="00000000" w:rsidRPr="00000000" w14:paraId="0000017D">
      <w:pPr>
        <w:numPr>
          <w:ilvl w:val="0"/>
          <w:numId w:val="1"/>
        </w:numPr>
        <w:ind w:left="720" w:hanging="360"/>
        <w:jc w:val="both"/>
        <w:rPr>
          <w:u w:val="none"/>
        </w:rPr>
      </w:pPr>
      <w:r w:rsidDel="00000000" w:rsidR="00000000" w:rsidRPr="00000000">
        <w:rPr>
          <w:rtl w:val="0"/>
        </w:rPr>
        <w:t xml:space="preserve">Corbett, A. T., &amp; Anderson, J. R. (1994). Knowledge tracing: Modeling the acquisition of procedural knowledge. User Modeling and User-Adapted Interaction, 4(4), 253–278. </w:t>
      </w:r>
      <w:hyperlink r:id="rId15">
        <w:r w:rsidDel="00000000" w:rsidR="00000000" w:rsidRPr="00000000">
          <w:rPr>
            <w:color w:val="1155cc"/>
            <w:u w:val="single"/>
            <w:rtl w:val="0"/>
          </w:rPr>
          <w:t xml:space="preserve">https://doi.org/10.1007/BF01099821</w:t>
        </w:r>
      </w:hyperlink>
      <w:r w:rsidDel="00000000" w:rsidR="00000000" w:rsidRPr="00000000">
        <w:rPr>
          <w:rtl w:val="0"/>
        </w:rPr>
        <w:t xml:space="preserve">  Versión de lectura</w:t>
      </w:r>
    </w:p>
    <w:p w:rsidR="00000000" w:rsidDel="00000000" w:rsidP="00000000" w:rsidRDefault="00000000" w:rsidRPr="00000000" w14:paraId="0000017E">
      <w:pPr>
        <w:ind w:left="720" w:firstLine="0"/>
        <w:jc w:val="both"/>
        <w:rPr/>
      </w:pPr>
      <w:r w:rsidDel="00000000" w:rsidR="00000000" w:rsidRPr="00000000">
        <w:rPr>
          <w:rtl w:val="0"/>
        </w:rPr>
      </w:r>
    </w:p>
    <w:p w:rsidR="00000000" w:rsidDel="00000000" w:rsidP="00000000" w:rsidRDefault="00000000" w:rsidRPr="00000000" w14:paraId="0000017F">
      <w:pPr>
        <w:numPr>
          <w:ilvl w:val="0"/>
          <w:numId w:val="1"/>
        </w:numPr>
        <w:ind w:left="720" w:hanging="360"/>
        <w:jc w:val="both"/>
        <w:rPr>
          <w:u w:val="none"/>
        </w:rPr>
      </w:pPr>
      <w:r w:rsidDel="00000000" w:rsidR="00000000" w:rsidRPr="00000000">
        <w:rPr>
          <w:rtl w:val="0"/>
        </w:rPr>
        <w:t xml:space="preserve">Docker. (s. f.). Docker docs. Recuperado el 8 de octubre de 2026, de </w:t>
      </w:r>
      <w:hyperlink r:id="rId16">
        <w:r w:rsidDel="00000000" w:rsidR="00000000" w:rsidRPr="00000000">
          <w:rPr>
            <w:color w:val="1155cc"/>
            <w:u w:val="single"/>
            <w:rtl w:val="0"/>
          </w:rPr>
          <w:t xml:space="preserve">https://docs.docker.com/</w:t>
        </w:r>
      </w:hyperlink>
      <w:r w:rsidDel="00000000" w:rsidR="00000000" w:rsidRPr="00000000">
        <w:rPr>
          <w:rtl w:val="0"/>
        </w:rPr>
        <w:t xml:space="preserve"> </w:t>
      </w:r>
    </w:p>
    <w:p w:rsidR="00000000" w:rsidDel="00000000" w:rsidP="00000000" w:rsidRDefault="00000000" w:rsidRPr="00000000" w14:paraId="00000180">
      <w:pPr>
        <w:ind w:left="720" w:firstLine="0"/>
        <w:jc w:val="both"/>
        <w:rPr/>
      </w:pPr>
      <w:r w:rsidDel="00000000" w:rsidR="00000000" w:rsidRPr="00000000">
        <w:rPr>
          <w:rtl w:val="0"/>
        </w:rPr>
      </w:r>
    </w:p>
    <w:p w:rsidR="00000000" w:rsidDel="00000000" w:rsidP="00000000" w:rsidRDefault="00000000" w:rsidRPr="00000000" w14:paraId="00000181">
      <w:pPr>
        <w:numPr>
          <w:ilvl w:val="0"/>
          <w:numId w:val="1"/>
        </w:numPr>
        <w:ind w:left="720" w:hanging="360"/>
        <w:jc w:val="both"/>
        <w:rPr>
          <w:u w:val="none"/>
        </w:rPr>
      </w:pPr>
      <w:r w:rsidDel="00000000" w:rsidR="00000000" w:rsidRPr="00000000">
        <w:rPr>
          <w:rtl w:val="0"/>
        </w:rPr>
        <w:t xml:space="preserve">Equipo RED QUEEN. (2026). Agente profesor ChatBot Beta [Código fuente, versión 04fd7d2]. GitHub. </w:t>
      </w:r>
      <w:hyperlink r:id="rId17">
        <w:r w:rsidDel="00000000" w:rsidR="00000000" w:rsidRPr="00000000">
          <w:rPr>
            <w:color w:val="1155cc"/>
            <w:u w:val="single"/>
            <w:rtl w:val="0"/>
          </w:rPr>
          <w:t xml:space="preserve">https://github.com/sevillaa/Red-Queen/tree/04fd7d29c8d7af4068fa465d354028798547da06/C%C3%B3digo/Agente-Profesor/ChatBot_Beta</w:t>
        </w:r>
      </w:hyperlink>
      <w:r w:rsidDel="00000000" w:rsidR="00000000" w:rsidRPr="00000000">
        <w:rPr>
          <w:rtl w:val="0"/>
        </w:rPr>
        <w:t xml:space="preserve"> </w:t>
      </w:r>
    </w:p>
    <w:p w:rsidR="00000000" w:rsidDel="00000000" w:rsidP="00000000" w:rsidRDefault="00000000" w:rsidRPr="00000000" w14:paraId="00000182">
      <w:pPr>
        <w:ind w:left="720" w:firstLine="0"/>
        <w:jc w:val="both"/>
        <w:rPr/>
      </w:pPr>
      <w:r w:rsidDel="00000000" w:rsidR="00000000" w:rsidRPr="00000000">
        <w:rPr>
          <w:rtl w:val="0"/>
        </w:rPr>
      </w:r>
    </w:p>
    <w:p w:rsidR="00000000" w:rsidDel="00000000" w:rsidP="00000000" w:rsidRDefault="00000000" w:rsidRPr="00000000" w14:paraId="00000183">
      <w:pPr>
        <w:numPr>
          <w:ilvl w:val="0"/>
          <w:numId w:val="1"/>
        </w:numPr>
        <w:ind w:left="720" w:hanging="360"/>
        <w:jc w:val="both"/>
        <w:rPr>
          <w:u w:val="none"/>
        </w:rPr>
      </w:pPr>
      <w:r w:rsidDel="00000000" w:rsidR="00000000" w:rsidRPr="00000000">
        <w:rPr>
          <w:rtl w:val="0"/>
        </w:rPr>
        <w:t xml:space="preserve">Facultad de Informática de la Universidad Complutense de Madrid. (2026, 13 de mayo). Calendario de TFG y TFM para el curso 2026–2027. </w:t>
      </w:r>
      <w:hyperlink r:id="rId18">
        <w:r w:rsidDel="00000000" w:rsidR="00000000" w:rsidRPr="00000000">
          <w:rPr>
            <w:color w:val="1155cc"/>
            <w:u w:val="single"/>
            <w:rtl w:val="0"/>
          </w:rPr>
          <w:t xml:space="preserve">https://informatica.ucm.es/file/p07-calendario-tfg-tfm-26-27?ver=</w:t>
        </w:r>
      </w:hyperlink>
      <w:r w:rsidDel="00000000" w:rsidR="00000000" w:rsidRPr="00000000">
        <w:rPr>
          <w:rtl w:val="0"/>
        </w:rPr>
        <w:t xml:space="preserve"> </w:t>
      </w:r>
    </w:p>
    <w:p w:rsidR="00000000" w:rsidDel="00000000" w:rsidP="00000000" w:rsidRDefault="00000000" w:rsidRPr="00000000" w14:paraId="00000184">
      <w:pPr>
        <w:ind w:left="720" w:firstLine="0"/>
        <w:jc w:val="both"/>
        <w:rPr/>
      </w:pPr>
      <w:r w:rsidDel="00000000" w:rsidR="00000000" w:rsidRPr="00000000">
        <w:rPr>
          <w:rtl w:val="0"/>
        </w:rPr>
      </w:r>
    </w:p>
    <w:p w:rsidR="00000000" w:rsidDel="00000000" w:rsidP="00000000" w:rsidRDefault="00000000" w:rsidRPr="00000000" w14:paraId="00000185">
      <w:pPr>
        <w:numPr>
          <w:ilvl w:val="0"/>
          <w:numId w:val="1"/>
        </w:numPr>
        <w:ind w:left="720" w:hanging="360"/>
        <w:jc w:val="both"/>
        <w:rPr>
          <w:u w:val="none"/>
        </w:rPr>
      </w:pPr>
      <w:r w:rsidDel="00000000" w:rsidR="00000000" w:rsidRPr="00000000">
        <w:rPr>
          <w:rtl w:val="0"/>
        </w:rPr>
        <w:t xml:space="preserve">FastAPI. (s. f.). FastAPI documentation. Recuperado el 8 de octubre de 2026, de </w:t>
      </w:r>
      <w:hyperlink r:id="rId19">
        <w:r w:rsidDel="00000000" w:rsidR="00000000" w:rsidRPr="00000000">
          <w:rPr>
            <w:color w:val="1155cc"/>
            <w:u w:val="single"/>
            <w:rtl w:val="0"/>
          </w:rPr>
          <w:t xml:space="preserve">https://fastapi.tiangolo.com/</w:t>
        </w:r>
      </w:hyperlink>
      <w:r w:rsidDel="00000000" w:rsidR="00000000" w:rsidRPr="00000000">
        <w:rPr>
          <w:rtl w:val="0"/>
        </w:rPr>
        <w:t xml:space="preserve"> </w:t>
      </w:r>
    </w:p>
    <w:p w:rsidR="00000000" w:rsidDel="00000000" w:rsidP="00000000" w:rsidRDefault="00000000" w:rsidRPr="00000000" w14:paraId="00000186">
      <w:pPr>
        <w:ind w:left="720" w:firstLine="0"/>
        <w:jc w:val="both"/>
        <w:rPr/>
      </w:pPr>
      <w:r w:rsidDel="00000000" w:rsidR="00000000" w:rsidRPr="00000000">
        <w:rPr>
          <w:rtl w:val="0"/>
        </w:rPr>
      </w:r>
    </w:p>
    <w:p w:rsidR="00000000" w:rsidDel="00000000" w:rsidP="00000000" w:rsidRDefault="00000000" w:rsidRPr="00000000" w14:paraId="00000187">
      <w:pPr>
        <w:numPr>
          <w:ilvl w:val="0"/>
          <w:numId w:val="1"/>
        </w:numPr>
        <w:ind w:left="720" w:hanging="360"/>
        <w:jc w:val="both"/>
        <w:rPr>
          <w:u w:val="none"/>
        </w:rPr>
      </w:pPr>
      <w:r w:rsidDel="00000000" w:rsidR="00000000" w:rsidRPr="00000000">
        <w:rPr>
          <w:rtl w:val="0"/>
        </w:rPr>
        <w:t xml:space="preserve">Ghosh, A., Heffernan, N., &amp; Lan, A. S. (2020). Context-aware attentive knowledge tracing. En Proceedings of the 26th ACM SIGKDD International Conference on Knowledge Discovery &amp; Data Mining. Association for Computing Machinery. </w:t>
      </w:r>
      <w:hyperlink r:id="rId20">
        <w:r w:rsidDel="00000000" w:rsidR="00000000" w:rsidRPr="00000000">
          <w:rPr>
            <w:color w:val="1155cc"/>
            <w:u w:val="single"/>
            <w:rtl w:val="0"/>
          </w:rPr>
          <w:t xml:space="preserve">https://doi.org/10.1145/3394486.3403282</w:t>
        </w:r>
      </w:hyperlink>
      <w:r w:rsidDel="00000000" w:rsidR="00000000" w:rsidRPr="00000000">
        <w:rPr>
          <w:rtl w:val="0"/>
        </w:rPr>
        <w:t xml:space="preserve">  Versión de lectura</w:t>
      </w:r>
    </w:p>
    <w:p w:rsidR="00000000" w:rsidDel="00000000" w:rsidP="00000000" w:rsidRDefault="00000000" w:rsidRPr="00000000" w14:paraId="00000188">
      <w:pPr>
        <w:ind w:left="720" w:firstLine="0"/>
        <w:jc w:val="both"/>
        <w:rPr/>
      </w:pPr>
      <w:r w:rsidDel="00000000" w:rsidR="00000000" w:rsidRPr="00000000">
        <w:rPr>
          <w:rtl w:val="0"/>
        </w:rPr>
      </w:r>
    </w:p>
    <w:p w:rsidR="00000000" w:rsidDel="00000000" w:rsidP="00000000" w:rsidRDefault="00000000" w:rsidRPr="00000000" w14:paraId="00000189">
      <w:pPr>
        <w:numPr>
          <w:ilvl w:val="0"/>
          <w:numId w:val="1"/>
        </w:numPr>
        <w:ind w:left="720" w:hanging="360"/>
        <w:jc w:val="both"/>
        <w:rPr>
          <w:u w:val="none"/>
        </w:rPr>
      </w:pPr>
      <w:r w:rsidDel="00000000" w:rsidR="00000000" w:rsidRPr="00000000">
        <w:rPr>
          <w:rtl w:val="0"/>
        </w:rPr>
        <w:t xml:space="preserve">Hack The Box. (s. f.). FAQs. Hack The Box Academy. Recuperado el 8 de octubre de 2026, de </w:t>
      </w:r>
      <w:hyperlink r:id="rId21">
        <w:r w:rsidDel="00000000" w:rsidR="00000000" w:rsidRPr="00000000">
          <w:rPr>
            <w:color w:val="1155cc"/>
            <w:u w:val="single"/>
            <w:rtl w:val="0"/>
          </w:rPr>
          <w:t xml:space="preserve">https://academy.hackthebox.com/faq</w:t>
        </w:r>
      </w:hyperlink>
      <w:r w:rsidDel="00000000" w:rsidR="00000000" w:rsidRPr="00000000">
        <w:rPr>
          <w:rtl w:val="0"/>
        </w:rPr>
        <w:t xml:space="preserve"> </w:t>
      </w:r>
    </w:p>
    <w:p w:rsidR="00000000" w:rsidDel="00000000" w:rsidP="00000000" w:rsidRDefault="00000000" w:rsidRPr="00000000" w14:paraId="0000018A">
      <w:pPr>
        <w:ind w:left="720" w:firstLine="0"/>
        <w:jc w:val="both"/>
        <w:rPr/>
      </w:pPr>
      <w:r w:rsidDel="00000000" w:rsidR="00000000" w:rsidRPr="00000000">
        <w:rPr>
          <w:rtl w:val="0"/>
        </w:rPr>
      </w:r>
    </w:p>
    <w:p w:rsidR="00000000" w:rsidDel="00000000" w:rsidP="00000000" w:rsidRDefault="00000000" w:rsidRPr="00000000" w14:paraId="0000018B">
      <w:pPr>
        <w:ind w:left="720" w:firstLine="0"/>
        <w:jc w:val="both"/>
        <w:rPr/>
      </w:pPr>
      <w:r w:rsidDel="00000000" w:rsidR="00000000" w:rsidRPr="00000000">
        <w:rPr>
          <w:rtl w:val="0"/>
        </w:rPr>
      </w:r>
    </w:p>
    <w:p w:rsidR="00000000" w:rsidDel="00000000" w:rsidP="00000000" w:rsidRDefault="00000000" w:rsidRPr="00000000" w14:paraId="0000018C">
      <w:pPr>
        <w:ind w:left="720" w:firstLine="0"/>
        <w:jc w:val="both"/>
        <w:rPr/>
      </w:pPr>
      <w:r w:rsidDel="00000000" w:rsidR="00000000" w:rsidRPr="00000000">
        <w:rPr>
          <w:rtl w:val="0"/>
        </w:rPr>
      </w:r>
    </w:p>
    <w:p w:rsidR="00000000" w:rsidDel="00000000" w:rsidP="00000000" w:rsidRDefault="00000000" w:rsidRPr="00000000" w14:paraId="0000018D">
      <w:pPr>
        <w:ind w:left="720" w:firstLine="0"/>
        <w:jc w:val="both"/>
        <w:rPr/>
      </w:pPr>
      <w:r w:rsidDel="00000000" w:rsidR="00000000" w:rsidRPr="00000000">
        <w:rPr>
          <w:rtl w:val="0"/>
        </w:rPr>
      </w:r>
    </w:p>
    <w:p w:rsidR="00000000" w:rsidDel="00000000" w:rsidP="00000000" w:rsidRDefault="00000000" w:rsidRPr="00000000" w14:paraId="0000018E">
      <w:pPr>
        <w:numPr>
          <w:ilvl w:val="0"/>
          <w:numId w:val="1"/>
        </w:numPr>
        <w:ind w:left="720" w:hanging="360"/>
        <w:jc w:val="both"/>
        <w:rPr>
          <w:u w:val="none"/>
        </w:rPr>
      </w:pPr>
      <w:r w:rsidDel="00000000" w:rsidR="00000000" w:rsidRPr="00000000">
        <w:rPr>
          <w:rtl w:val="0"/>
        </w:rPr>
        <w:t xml:space="preserve">Hu, E. J., Shen, Y., Wallis, P., Allen-Zhu, Z., Li, Y., Wang, S., Wang, L., &amp; Chen, W. (2022). LoRA: Low-rank adaptation of large language models. En International Conference on Learning Representations. </w:t>
      </w:r>
      <w:hyperlink r:id="rId22">
        <w:r w:rsidDel="00000000" w:rsidR="00000000" w:rsidRPr="00000000">
          <w:rPr>
            <w:color w:val="1155cc"/>
            <w:u w:val="single"/>
            <w:rtl w:val="0"/>
          </w:rPr>
          <w:t xml:space="preserve">https://www.microsoft.com/en-us/research/publication/lora-low-rank-adaptation-of-large-language-models/</w:t>
        </w:r>
      </w:hyperlink>
      <w:r w:rsidDel="00000000" w:rsidR="00000000" w:rsidRPr="00000000">
        <w:rPr>
          <w:rtl w:val="0"/>
        </w:rPr>
        <w:t xml:space="preserve"> </w:t>
      </w:r>
    </w:p>
    <w:p w:rsidR="00000000" w:rsidDel="00000000" w:rsidP="00000000" w:rsidRDefault="00000000" w:rsidRPr="00000000" w14:paraId="0000018F">
      <w:pPr>
        <w:ind w:left="720" w:firstLine="0"/>
        <w:jc w:val="both"/>
        <w:rPr/>
      </w:pPr>
      <w:r w:rsidDel="00000000" w:rsidR="00000000" w:rsidRPr="00000000">
        <w:rPr>
          <w:rtl w:val="0"/>
        </w:rPr>
      </w:r>
    </w:p>
    <w:p w:rsidR="00000000" w:rsidDel="00000000" w:rsidP="00000000" w:rsidRDefault="00000000" w:rsidRPr="00000000" w14:paraId="00000190">
      <w:pPr>
        <w:numPr>
          <w:ilvl w:val="0"/>
          <w:numId w:val="1"/>
        </w:numPr>
        <w:ind w:left="720" w:hanging="360"/>
        <w:jc w:val="both"/>
        <w:rPr>
          <w:u w:val="none"/>
        </w:rPr>
      </w:pPr>
      <w:r w:rsidDel="00000000" w:rsidR="00000000" w:rsidRPr="00000000">
        <w:rPr>
          <w:rtl w:val="0"/>
        </w:rPr>
        <w:t xml:space="preserve">JSON Schema. (s. f.). Creating your first schema. Recuperado el 8 de octubre de 2026, de </w:t>
      </w:r>
      <w:hyperlink r:id="rId23">
        <w:r w:rsidDel="00000000" w:rsidR="00000000" w:rsidRPr="00000000">
          <w:rPr>
            <w:color w:val="1155cc"/>
            <w:u w:val="single"/>
            <w:rtl w:val="0"/>
          </w:rPr>
          <w:t xml:space="preserve">https://json-schema.org/learn/getting-started-step-by-step</w:t>
        </w:r>
      </w:hyperlink>
      <w:r w:rsidDel="00000000" w:rsidR="00000000" w:rsidRPr="00000000">
        <w:rPr>
          <w:rtl w:val="0"/>
        </w:rPr>
        <w:t xml:space="preserve"> </w:t>
      </w:r>
    </w:p>
    <w:p w:rsidR="00000000" w:rsidDel="00000000" w:rsidP="00000000" w:rsidRDefault="00000000" w:rsidRPr="00000000" w14:paraId="00000191">
      <w:pPr>
        <w:ind w:left="720" w:firstLine="0"/>
        <w:jc w:val="both"/>
        <w:rPr/>
      </w:pPr>
      <w:r w:rsidDel="00000000" w:rsidR="00000000" w:rsidRPr="00000000">
        <w:rPr>
          <w:rtl w:val="0"/>
        </w:rPr>
      </w:r>
    </w:p>
    <w:p w:rsidR="00000000" w:rsidDel="00000000" w:rsidP="00000000" w:rsidRDefault="00000000" w:rsidRPr="00000000" w14:paraId="00000192">
      <w:pPr>
        <w:numPr>
          <w:ilvl w:val="0"/>
          <w:numId w:val="1"/>
        </w:numPr>
        <w:ind w:left="720" w:hanging="360"/>
        <w:jc w:val="both"/>
        <w:rPr>
          <w:u w:val="none"/>
        </w:rPr>
      </w:pPr>
      <w:r w:rsidDel="00000000" w:rsidR="00000000" w:rsidRPr="00000000">
        <w:rPr>
          <w:rtl w:val="0"/>
        </w:rPr>
        <w:t xml:space="preserve">K3s project. (s. f.). K3s lightweight Kubernetes. Recuperado el 8 de octubre de 2026, de </w:t>
      </w:r>
      <w:hyperlink r:id="rId24">
        <w:r w:rsidDel="00000000" w:rsidR="00000000" w:rsidRPr="00000000">
          <w:rPr>
            <w:color w:val="1155cc"/>
            <w:u w:val="single"/>
            <w:rtl w:val="0"/>
          </w:rPr>
          <w:t xml:space="preserve">https://docs.k3s.io/</w:t>
        </w:r>
      </w:hyperlink>
      <w:r w:rsidDel="00000000" w:rsidR="00000000" w:rsidRPr="00000000">
        <w:rPr>
          <w:rtl w:val="0"/>
        </w:rPr>
        <w:t xml:space="preserve"> </w:t>
      </w:r>
    </w:p>
    <w:p w:rsidR="00000000" w:rsidDel="00000000" w:rsidP="00000000" w:rsidRDefault="00000000" w:rsidRPr="00000000" w14:paraId="00000193">
      <w:pPr>
        <w:ind w:left="720" w:firstLine="0"/>
        <w:jc w:val="both"/>
        <w:rPr/>
      </w:pPr>
      <w:r w:rsidDel="00000000" w:rsidR="00000000" w:rsidRPr="00000000">
        <w:rPr>
          <w:rtl w:val="0"/>
        </w:rPr>
      </w:r>
    </w:p>
    <w:p w:rsidR="00000000" w:rsidDel="00000000" w:rsidP="00000000" w:rsidRDefault="00000000" w:rsidRPr="00000000" w14:paraId="00000194">
      <w:pPr>
        <w:numPr>
          <w:ilvl w:val="0"/>
          <w:numId w:val="1"/>
        </w:numPr>
        <w:ind w:left="720" w:hanging="360"/>
        <w:jc w:val="both"/>
        <w:rPr>
          <w:u w:val="none"/>
        </w:rPr>
      </w:pPr>
      <w:r w:rsidDel="00000000" w:rsidR="00000000" w:rsidRPr="00000000">
        <w:rPr>
          <w:rtl w:val="0"/>
        </w:rPr>
        <w:t xml:space="preserve">Keycloak. (s. f.). Documentation. Recuperado el 8 de octubre de 2026, de </w:t>
      </w:r>
      <w:hyperlink r:id="rId25">
        <w:r w:rsidDel="00000000" w:rsidR="00000000" w:rsidRPr="00000000">
          <w:rPr>
            <w:color w:val="1155cc"/>
            <w:u w:val="single"/>
            <w:rtl w:val="0"/>
          </w:rPr>
          <w:t xml:space="preserve">https://www.keycloak.org/documentation</w:t>
        </w:r>
      </w:hyperlink>
      <w:r w:rsidDel="00000000" w:rsidR="00000000" w:rsidRPr="00000000">
        <w:rPr>
          <w:rtl w:val="0"/>
        </w:rPr>
        <w:t xml:space="preserve"> </w:t>
      </w:r>
    </w:p>
    <w:p w:rsidR="00000000" w:rsidDel="00000000" w:rsidP="00000000" w:rsidRDefault="00000000" w:rsidRPr="00000000" w14:paraId="00000195">
      <w:pPr>
        <w:ind w:left="720" w:firstLine="0"/>
        <w:jc w:val="both"/>
        <w:rPr/>
      </w:pPr>
      <w:r w:rsidDel="00000000" w:rsidR="00000000" w:rsidRPr="00000000">
        <w:rPr>
          <w:rtl w:val="0"/>
        </w:rPr>
      </w:r>
    </w:p>
    <w:p w:rsidR="00000000" w:rsidDel="00000000" w:rsidP="00000000" w:rsidRDefault="00000000" w:rsidRPr="00000000" w14:paraId="00000196">
      <w:pPr>
        <w:numPr>
          <w:ilvl w:val="0"/>
          <w:numId w:val="1"/>
        </w:numPr>
        <w:ind w:left="720" w:hanging="360"/>
        <w:jc w:val="both"/>
        <w:rPr>
          <w:u w:val="none"/>
        </w:rPr>
      </w:pPr>
      <w:r w:rsidDel="00000000" w:rsidR="00000000" w:rsidRPr="00000000">
        <w:rPr>
          <w:rtl w:val="0"/>
        </w:rPr>
        <w:t xml:space="preserve">Khajah, M., Lindsey, R. V., &amp; Mozer, M. C. (2016). How deep is knowledge tracing? En Proceedings of the 9th International Conference on Educational Data Mining (pp. 94–101). International Educational Data Mining Society. </w:t>
      </w:r>
      <w:hyperlink r:id="rId26">
        <w:r w:rsidDel="00000000" w:rsidR="00000000" w:rsidRPr="00000000">
          <w:rPr>
            <w:color w:val="1155cc"/>
            <w:u w:val="single"/>
            <w:rtl w:val="0"/>
          </w:rPr>
          <w:t xml:space="preserve">https://arxiv.org/abs/1604.02416</w:t>
        </w:r>
      </w:hyperlink>
      <w:r w:rsidDel="00000000" w:rsidR="00000000" w:rsidRPr="00000000">
        <w:rPr>
          <w:rtl w:val="0"/>
        </w:rPr>
        <w:t xml:space="preserve"> </w:t>
      </w:r>
    </w:p>
    <w:p w:rsidR="00000000" w:rsidDel="00000000" w:rsidP="00000000" w:rsidRDefault="00000000" w:rsidRPr="00000000" w14:paraId="00000197">
      <w:pPr>
        <w:ind w:left="720" w:firstLine="0"/>
        <w:jc w:val="both"/>
        <w:rPr/>
      </w:pPr>
      <w:r w:rsidDel="00000000" w:rsidR="00000000" w:rsidRPr="00000000">
        <w:rPr>
          <w:rtl w:val="0"/>
        </w:rPr>
      </w:r>
    </w:p>
    <w:p w:rsidR="00000000" w:rsidDel="00000000" w:rsidP="00000000" w:rsidRDefault="00000000" w:rsidRPr="00000000" w14:paraId="00000198">
      <w:pPr>
        <w:numPr>
          <w:ilvl w:val="0"/>
          <w:numId w:val="1"/>
        </w:numPr>
        <w:ind w:left="720" w:hanging="360"/>
        <w:jc w:val="both"/>
        <w:rPr>
          <w:u w:val="none"/>
        </w:rPr>
      </w:pPr>
      <w:r w:rsidDel="00000000" w:rsidR="00000000" w:rsidRPr="00000000">
        <w:rPr>
          <w:rtl w:val="0"/>
        </w:rPr>
        <w:t xml:space="preserve">Kubernetes. (s. f.-a). Network policies. Recuperado el 8 de octubre de 2026, de </w:t>
      </w:r>
      <w:hyperlink r:id="rId27">
        <w:r w:rsidDel="00000000" w:rsidR="00000000" w:rsidRPr="00000000">
          <w:rPr>
            <w:color w:val="1155cc"/>
            <w:u w:val="single"/>
            <w:rtl w:val="0"/>
          </w:rPr>
          <w:t xml:space="preserve">https://kubernetes.io/docs/concepts/services-networking/network-policies/</w:t>
        </w:r>
      </w:hyperlink>
      <w:r w:rsidDel="00000000" w:rsidR="00000000" w:rsidRPr="00000000">
        <w:rPr>
          <w:rtl w:val="0"/>
        </w:rPr>
        <w:t xml:space="preserve"> </w:t>
      </w:r>
    </w:p>
    <w:p w:rsidR="00000000" w:rsidDel="00000000" w:rsidP="00000000" w:rsidRDefault="00000000" w:rsidRPr="00000000" w14:paraId="00000199">
      <w:pPr>
        <w:ind w:left="720" w:firstLine="0"/>
        <w:jc w:val="both"/>
        <w:rPr/>
      </w:pPr>
      <w:r w:rsidDel="00000000" w:rsidR="00000000" w:rsidRPr="00000000">
        <w:rPr>
          <w:rtl w:val="0"/>
        </w:rPr>
      </w:r>
    </w:p>
    <w:p w:rsidR="00000000" w:rsidDel="00000000" w:rsidP="00000000" w:rsidRDefault="00000000" w:rsidRPr="00000000" w14:paraId="0000019A">
      <w:pPr>
        <w:numPr>
          <w:ilvl w:val="0"/>
          <w:numId w:val="1"/>
        </w:numPr>
        <w:ind w:left="720" w:hanging="360"/>
        <w:jc w:val="both"/>
        <w:rPr>
          <w:u w:val="none"/>
        </w:rPr>
      </w:pPr>
      <w:r w:rsidDel="00000000" w:rsidR="00000000" w:rsidRPr="00000000">
        <w:rPr>
          <w:rtl w:val="0"/>
        </w:rPr>
        <w:t xml:space="preserve">Kubernetes. (s. f.-b). Resource management for pods and containers. Recuperado el 8 de octubre de 2026, de </w:t>
      </w:r>
      <w:hyperlink r:id="rId28">
        <w:r w:rsidDel="00000000" w:rsidR="00000000" w:rsidRPr="00000000">
          <w:rPr>
            <w:color w:val="1155cc"/>
            <w:u w:val="single"/>
            <w:rtl w:val="0"/>
          </w:rPr>
          <w:t xml:space="preserve">https://kubernetes.io/docs/concepts/configuration/manage-resources-containers/</w:t>
        </w:r>
      </w:hyperlink>
      <w:r w:rsidDel="00000000" w:rsidR="00000000" w:rsidRPr="00000000">
        <w:rPr>
          <w:rtl w:val="0"/>
        </w:rPr>
        <w:t xml:space="preserve"> </w:t>
      </w:r>
    </w:p>
    <w:p w:rsidR="00000000" w:rsidDel="00000000" w:rsidP="00000000" w:rsidRDefault="00000000" w:rsidRPr="00000000" w14:paraId="0000019B">
      <w:pPr>
        <w:ind w:left="720" w:firstLine="0"/>
        <w:jc w:val="both"/>
        <w:rPr/>
      </w:pPr>
      <w:r w:rsidDel="00000000" w:rsidR="00000000" w:rsidRPr="00000000">
        <w:rPr>
          <w:rtl w:val="0"/>
        </w:rPr>
      </w:r>
    </w:p>
    <w:p w:rsidR="00000000" w:rsidDel="00000000" w:rsidP="00000000" w:rsidRDefault="00000000" w:rsidRPr="00000000" w14:paraId="0000019C">
      <w:pPr>
        <w:numPr>
          <w:ilvl w:val="0"/>
          <w:numId w:val="1"/>
        </w:numPr>
        <w:ind w:left="720" w:hanging="360"/>
        <w:jc w:val="both"/>
        <w:rPr>
          <w:u w:val="none"/>
        </w:rPr>
      </w:pPr>
      <w:r w:rsidDel="00000000" w:rsidR="00000000" w:rsidRPr="00000000">
        <w:rPr>
          <w:rtl w:val="0"/>
        </w:rPr>
        <w:t xml:space="preserve">Lewis, P., Perez, E., Piktus, A., Petroni, F., Karpukhin, V., Goyal, N., Küttler, H., Lewis, M., Yih, W.-t., Rocktäschel, T., Riedel, S., &amp; Kiela, D. (2020). Retrieval-augmented generation for knowledge-intensive NLP tasks. Advances in Neural Information Processing Systems, 33, 9459–9474. </w:t>
      </w:r>
      <w:hyperlink r:id="rId29">
        <w:r w:rsidDel="00000000" w:rsidR="00000000" w:rsidRPr="00000000">
          <w:rPr>
            <w:color w:val="1155cc"/>
            <w:u w:val="single"/>
            <w:rtl w:val="0"/>
          </w:rPr>
          <w:t xml:space="preserve">https://proceedings.neurips.cc/paper/2020/hash/6b493230205f780e1bc26945df7481e5-Abstract.html</w:t>
        </w:r>
      </w:hyperlink>
      <w:r w:rsidDel="00000000" w:rsidR="00000000" w:rsidRPr="00000000">
        <w:rPr>
          <w:rtl w:val="0"/>
        </w:rPr>
        <w:t xml:space="preserve"> </w:t>
      </w:r>
    </w:p>
    <w:p w:rsidR="00000000" w:rsidDel="00000000" w:rsidP="00000000" w:rsidRDefault="00000000" w:rsidRPr="00000000" w14:paraId="0000019D">
      <w:pPr>
        <w:ind w:left="720" w:firstLine="0"/>
        <w:jc w:val="both"/>
        <w:rPr/>
      </w:pPr>
      <w:r w:rsidDel="00000000" w:rsidR="00000000" w:rsidRPr="00000000">
        <w:rPr>
          <w:rtl w:val="0"/>
        </w:rPr>
      </w:r>
    </w:p>
    <w:p w:rsidR="00000000" w:rsidDel="00000000" w:rsidP="00000000" w:rsidRDefault="00000000" w:rsidRPr="00000000" w14:paraId="0000019E">
      <w:pPr>
        <w:numPr>
          <w:ilvl w:val="0"/>
          <w:numId w:val="1"/>
        </w:numPr>
        <w:ind w:left="720" w:hanging="360"/>
        <w:jc w:val="both"/>
        <w:rPr>
          <w:u w:val="none"/>
        </w:rPr>
      </w:pPr>
      <w:r w:rsidDel="00000000" w:rsidR="00000000" w:rsidRPr="00000000">
        <w:rPr>
          <w:rtl w:val="0"/>
        </w:rPr>
        <w:t xml:space="preserve">Liu, Z., Liu, Q., Chen, J., Huang, S., Tang, J., &amp; Luo, W. (2022). pyKT: A Python library to benchmark deep learning based knowledge tracing models. Advances in Neural Information Processing Systems, 35. </w:t>
      </w:r>
      <w:hyperlink r:id="rId30">
        <w:r w:rsidDel="00000000" w:rsidR="00000000" w:rsidRPr="00000000">
          <w:rPr>
            <w:color w:val="1155cc"/>
            <w:u w:val="single"/>
            <w:rtl w:val="0"/>
          </w:rPr>
          <w:t xml:space="preserve">https://doi.org/10.52202/068431-1347</w:t>
        </w:r>
      </w:hyperlink>
      <w:r w:rsidDel="00000000" w:rsidR="00000000" w:rsidRPr="00000000">
        <w:rPr>
          <w:rtl w:val="0"/>
        </w:rPr>
        <w:t xml:space="preserve">  Versión de lectura</w:t>
      </w:r>
    </w:p>
    <w:p w:rsidR="00000000" w:rsidDel="00000000" w:rsidP="00000000" w:rsidRDefault="00000000" w:rsidRPr="00000000" w14:paraId="0000019F">
      <w:pPr>
        <w:ind w:left="720" w:firstLine="0"/>
        <w:jc w:val="both"/>
        <w:rPr/>
      </w:pPr>
      <w:r w:rsidDel="00000000" w:rsidR="00000000" w:rsidRPr="00000000">
        <w:rPr>
          <w:rtl w:val="0"/>
        </w:rPr>
      </w:r>
    </w:p>
    <w:p w:rsidR="00000000" w:rsidDel="00000000" w:rsidP="00000000" w:rsidRDefault="00000000" w:rsidRPr="00000000" w14:paraId="000001A0">
      <w:pPr>
        <w:numPr>
          <w:ilvl w:val="0"/>
          <w:numId w:val="1"/>
        </w:numPr>
        <w:ind w:left="720" w:hanging="360"/>
        <w:jc w:val="both"/>
        <w:rPr>
          <w:u w:val="none"/>
        </w:rPr>
      </w:pPr>
      <w:r w:rsidDel="00000000" w:rsidR="00000000" w:rsidRPr="00000000">
        <w:rPr>
          <w:rtl w:val="0"/>
        </w:rPr>
        <w:t xml:space="preserve">Martou, P., Mens, K., Duhoux, B., &amp; Legay, A. (2022). Generating virtual scenarios for cyber ranges from feature-based context-oriented models: A case study. En Proceedings of the 14th ACM International Workshop on Context-Oriented Programming and Advanced Modularity (pp. 35–43). Association for Computing Machinery. </w:t>
      </w:r>
      <w:hyperlink r:id="rId31">
        <w:r w:rsidDel="00000000" w:rsidR="00000000" w:rsidRPr="00000000">
          <w:rPr>
            <w:color w:val="1155cc"/>
            <w:u w:val="single"/>
            <w:rtl w:val="0"/>
          </w:rPr>
          <w:t xml:space="preserve">https://doi.org/10.1145/3570353.3570358</w:t>
        </w:r>
      </w:hyperlink>
      <w:r w:rsidDel="00000000" w:rsidR="00000000" w:rsidRPr="00000000">
        <w:rPr>
          <w:rtl w:val="0"/>
        </w:rPr>
        <w:t xml:space="preserve">  Versión de lectura</w:t>
      </w:r>
    </w:p>
    <w:p w:rsidR="00000000" w:rsidDel="00000000" w:rsidP="00000000" w:rsidRDefault="00000000" w:rsidRPr="00000000" w14:paraId="000001A1">
      <w:pPr>
        <w:ind w:left="720" w:firstLine="0"/>
        <w:jc w:val="both"/>
        <w:rPr/>
      </w:pPr>
      <w:r w:rsidDel="00000000" w:rsidR="00000000" w:rsidRPr="00000000">
        <w:rPr>
          <w:rtl w:val="0"/>
        </w:rPr>
      </w:r>
    </w:p>
    <w:p w:rsidR="00000000" w:rsidDel="00000000" w:rsidP="00000000" w:rsidRDefault="00000000" w:rsidRPr="00000000" w14:paraId="000001A2">
      <w:pPr>
        <w:numPr>
          <w:ilvl w:val="0"/>
          <w:numId w:val="1"/>
        </w:numPr>
        <w:ind w:left="720" w:hanging="360"/>
        <w:jc w:val="both"/>
        <w:rPr>
          <w:u w:val="none"/>
        </w:rPr>
      </w:pPr>
      <w:r w:rsidDel="00000000" w:rsidR="00000000" w:rsidRPr="00000000">
        <w:rPr>
          <w:rtl w:val="0"/>
        </w:rPr>
        <w:t xml:space="preserve">MITRE. (s. f.). MITRE ATT&amp;CK. Recuperado el 8 de octubre de 2026, de  </w:t>
      </w:r>
      <w:hyperlink r:id="rId32">
        <w:r w:rsidDel="00000000" w:rsidR="00000000" w:rsidRPr="00000000">
          <w:rPr>
            <w:color w:val="1155cc"/>
            <w:u w:val="single"/>
            <w:rtl w:val="0"/>
          </w:rPr>
          <w:t xml:space="preserve">https://attack.mitre.org/</w:t>
        </w:r>
      </w:hyperlink>
      <w:r w:rsidDel="00000000" w:rsidR="00000000" w:rsidRPr="00000000">
        <w:rPr>
          <w:rtl w:val="0"/>
        </w:rPr>
        <w:t xml:space="preserve"> </w:t>
      </w:r>
    </w:p>
    <w:p w:rsidR="00000000" w:rsidDel="00000000" w:rsidP="00000000" w:rsidRDefault="00000000" w:rsidRPr="00000000" w14:paraId="000001A3">
      <w:pPr>
        <w:ind w:left="720" w:firstLine="0"/>
        <w:jc w:val="both"/>
        <w:rPr/>
      </w:pPr>
      <w:r w:rsidDel="00000000" w:rsidR="00000000" w:rsidRPr="00000000">
        <w:rPr>
          <w:rtl w:val="0"/>
        </w:rPr>
      </w:r>
    </w:p>
    <w:p w:rsidR="00000000" w:rsidDel="00000000" w:rsidP="00000000" w:rsidRDefault="00000000" w:rsidRPr="00000000" w14:paraId="000001A4">
      <w:pPr>
        <w:numPr>
          <w:ilvl w:val="0"/>
          <w:numId w:val="1"/>
        </w:numPr>
        <w:ind w:left="720" w:hanging="360"/>
        <w:jc w:val="both"/>
        <w:rPr>
          <w:u w:val="none"/>
        </w:rPr>
      </w:pPr>
      <w:r w:rsidDel="00000000" w:rsidR="00000000" w:rsidRPr="00000000">
        <w:rPr>
          <w:rtl w:val="0"/>
        </w:rPr>
        <w:t xml:space="preserve">Palumickas, M., Yamin, M. M., Katt, B., &amp; Lal, C. (2026). Evaluating ASCERT: Generative AI for cyber-range scenario generation. International Journal of Information Security, 25, Artículo 8. </w:t>
      </w:r>
      <w:hyperlink r:id="rId33">
        <w:r w:rsidDel="00000000" w:rsidR="00000000" w:rsidRPr="00000000">
          <w:rPr>
            <w:color w:val="1155cc"/>
            <w:u w:val="single"/>
            <w:rtl w:val="0"/>
          </w:rPr>
          <w:t xml:space="preserve">https://doi.org/10.1007/s10207-025-01179-w</w:t>
        </w:r>
      </w:hyperlink>
      <w:r w:rsidDel="00000000" w:rsidR="00000000" w:rsidRPr="00000000">
        <w:rPr>
          <w:rtl w:val="0"/>
        </w:rPr>
        <w:t xml:space="preserve">  Versión de lectura</w:t>
      </w:r>
    </w:p>
    <w:p w:rsidR="00000000" w:rsidDel="00000000" w:rsidP="00000000" w:rsidRDefault="00000000" w:rsidRPr="00000000" w14:paraId="000001A5">
      <w:pPr>
        <w:ind w:left="720" w:firstLine="0"/>
        <w:jc w:val="both"/>
        <w:rPr/>
      </w:pPr>
      <w:r w:rsidDel="00000000" w:rsidR="00000000" w:rsidRPr="00000000">
        <w:rPr>
          <w:rtl w:val="0"/>
        </w:rPr>
      </w:r>
    </w:p>
    <w:p w:rsidR="00000000" w:rsidDel="00000000" w:rsidP="00000000" w:rsidRDefault="00000000" w:rsidRPr="00000000" w14:paraId="000001A6">
      <w:pPr>
        <w:numPr>
          <w:ilvl w:val="0"/>
          <w:numId w:val="1"/>
        </w:numPr>
        <w:ind w:left="720" w:hanging="360"/>
        <w:jc w:val="both"/>
        <w:rPr>
          <w:u w:val="none"/>
        </w:rPr>
      </w:pPr>
      <w:r w:rsidDel="00000000" w:rsidR="00000000" w:rsidRPr="00000000">
        <w:rPr>
          <w:rtl w:val="0"/>
        </w:rPr>
        <w:t xml:space="preserve">Pavlik, P. I., Jr., Cen, H., &amp; Koedinger, K. R. (2009). Performance factors analysis: A new alternative to knowledge tracing. Frontiers in Artificial Intelligence and Applications, 200, 531–538. </w:t>
      </w:r>
      <w:hyperlink r:id="rId34">
        <w:r w:rsidDel="00000000" w:rsidR="00000000" w:rsidRPr="00000000">
          <w:rPr>
            <w:color w:val="1155cc"/>
            <w:u w:val="single"/>
            <w:rtl w:val="0"/>
          </w:rPr>
          <w:t xml:space="preserve">https://doi.org/10.3233/978-1-60750-028-5-531</w:t>
        </w:r>
      </w:hyperlink>
      <w:r w:rsidDel="00000000" w:rsidR="00000000" w:rsidRPr="00000000">
        <w:rPr>
          <w:rtl w:val="0"/>
        </w:rPr>
        <w:t xml:space="preserve">  Versión de lectura</w:t>
      </w:r>
    </w:p>
    <w:p w:rsidR="00000000" w:rsidDel="00000000" w:rsidP="00000000" w:rsidRDefault="00000000" w:rsidRPr="00000000" w14:paraId="000001A7">
      <w:pPr>
        <w:ind w:left="720" w:firstLine="0"/>
        <w:jc w:val="both"/>
        <w:rPr/>
      </w:pPr>
      <w:r w:rsidDel="00000000" w:rsidR="00000000" w:rsidRPr="00000000">
        <w:rPr>
          <w:rtl w:val="0"/>
        </w:rPr>
      </w:r>
    </w:p>
    <w:p w:rsidR="00000000" w:rsidDel="00000000" w:rsidP="00000000" w:rsidRDefault="00000000" w:rsidRPr="00000000" w14:paraId="000001A8">
      <w:pPr>
        <w:numPr>
          <w:ilvl w:val="0"/>
          <w:numId w:val="1"/>
        </w:numPr>
        <w:ind w:left="720" w:hanging="360"/>
        <w:jc w:val="both"/>
        <w:rPr>
          <w:u w:val="none"/>
        </w:rPr>
      </w:pPr>
      <w:r w:rsidDel="00000000" w:rsidR="00000000" w:rsidRPr="00000000">
        <w:rPr>
          <w:rtl w:val="0"/>
        </w:rPr>
        <w:t xml:space="preserve">Piech, C., Bassen, J., Huang, J., Ganguli, S., Sahami, M., Guibas, L., &amp; Sohl-Dickstein, J. (2015). Deep knowledge tracing. Advances in Neural Information Processing Systems, 28, 505–513. </w:t>
      </w:r>
      <w:hyperlink r:id="rId35">
        <w:r w:rsidDel="00000000" w:rsidR="00000000" w:rsidRPr="00000000">
          <w:rPr>
            <w:color w:val="1155cc"/>
            <w:u w:val="single"/>
            <w:rtl w:val="0"/>
          </w:rPr>
          <w:t xml:space="preserve">https://stanford.edu/~cpiech/bio/papers/deepKnowledgeTracing.pdf</w:t>
        </w:r>
      </w:hyperlink>
      <w:r w:rsidDel="00000000" w:rsidR="00000000" w:rsidRPr="00000000">
        <w:rPr>
          <w:rtl w:val="0"/>
        </w:rPr>
        <w:t xml:space="preserve"> </w:t>
      </w:r>
    </w:p>
    <w:p w:rsidR="00000000" w:rsidDel="00000000" w:rsidP="00000000" w:rsidRDefault="00000000" w:rsidRPr="00000000" w14:paraId="000001A9">
      <w:pPr>
        <w:ind w:left="720" w:firstLine="0"/>
        <w:jc w:val="both"/>
        <w:rPr/>
      </w:pPr>
      <w:r w:rsidDel="00000000" w:rsidR="00000000" w:rsidRPr="00000000">
        <w:rPr>
          <w:rtl w:val="0"/>
        </w:rPr>
      </w:r>
    </w:p>
    <w:p w:rsidR="00000000" w:rsidDel="00000000" w:rsidP="00000000" w:rsidRDefault="00000000" w:rsidRPr="00000000" w14:paraId="000001AA">
      <w:pPr>
        <w:numPr>
          <w:ilvl w:val="0"/>
          <w:numId w:val="1"/>
        </w:numPr>
        <w:ind w:left="720" w:hanging="360"/>
        <w:jc w:val="both"/>
        <w:rPr>
          <w:u w:val="none"/>
        </w:rPr>
      </w:pPr>
      <w:r w:rsidDel="00000000" w:rsidR="00000000" w:rsidRPr="00000000">
        <w:rPr>
          <w:rtl w:val="0"/>
        </w:rPr>
        <w:t xml:space="preserve">React. (s. f.). React reference overview. Recuperado el 8 de octubre de 2026, de </w:t>
      </w:r>
      <w:hyperlink r:id="rId36">
        <w:r w:rsidDel="00000000" w:rsidR="00000000" w:rsidRPr="00000000">
          <w:rPr>
            <w:color w:val="1155cc"/>
            <w:u w:val="single"/>
            <w:rtl w:val="0"/>
          </w:rPr>
          <w:t xml:space="preserve">https://react.dev/reference/react</w:t>
        </w:r>
      </w:hyperlink>
      <w:r w:rsidDel="00000000" w:rsidR="00000000" w:rsidRPr="00000000">
        <w:rPr>
          <w:rtl w:val="0"/>
        </w:rPr>
        <w:t xml:space="preserve"> </w:t>
      </w:r>
    </w:p>
    <w:p w:rsidR="00000000" w:rsidDel="00000000" w:rsidP="00000000" w:rsidRDefault="00000000" w:rsidRPr="00000000" w14:paraId="000001AB">
      <w:pPr>
        <w:ind w:left="720" w:firstLine="0"/>
        <w:jc w:val="both"/>
        <w:rPr/>
      </w:pPr>
      <w:r w:rsidDel="00000000" w:rsidR="00000000" w:rsidRPr="00000000">
        <w:rPr>
          <w:rtl w:val="0"/>
        </w:rPr>
      </w:r>
    </w:p>
    <w:p w:rsidR="00000000" w:rsidDel="00000000" w:rsidP="00000000" w:rsidRDefault="00000000" w:rsidRPr="00000000" w14:paraId="000001AC">
      <w:pPr>
        <w:numPr>
          <w:ilvl w:val="0"/>
          <w:numId w:val="1"/>
        </w:numPr>
        <w:ind w:left="720" w:hanging="360"/>
        <w:jc w:val="both"/>
        <w:rPr>
          <w:u w:val="none"/>
        </w:rPr>
      </w:pPr>
      <w:r w:rsidDel="00000000" w:rsidR="00000000" w:rsidRPr="00000000">
        <w:rPr>
          <w:rtl w:val="0"/>
        </w:rPr>
        <w:t xml:space="preserve">scikit-learn developers. (s. f.). Probability calibration. Scikit-learn documentation. Recuperado el 8 de octubre de 2026, de </w:t>
      </w:r>
      <w:hyperlink r:id="rId37">
        <w:r w:rsidDel="00000000" w:rsidR="00000000" w:rsidRPr="00000000">
          <w:rPr>
            <w:color w:val="1155cc"/>
            <w:u w:val="single"/>
            <w:rtl w:val="0"/>
          </w:rPr>
          <w:t xml:space="preserve">https://scikit-learn.org/stable/modules/calibration.html</w:t>
        </w:r>
      </w:hyperlink>
      <w:r w:rsidDel="00000000" w:rsidR="00000000" w:rsidRPr="00000000">
        <w:rPr>
          <w:rtl w:val="0"/>
        </w:rPr>
        <w:t xml:space="preserve"> </w:t>
      </w:r>
    </w:p>
    <w:p w:rsidR="00000000" w:rsidDel="00000000" w:rsidP="00000000" w:rsidRDefault="00000000" w:rsidRPr="00000000" w14:paraId="000001AD">
      <w:pPr>
        <w:ind w:left="720" w:firstLine="0"/>
        <w:jc w:val="both"/>
        <w:rPr/>
      </w:pPr>
      <w:r w:rsidDel="00000000" w:rsidR="00000000" w:rsidRPr="00000000">
        <w:rPr>
          <w:rtl w:val="0"/>
        </w:rPr>
      </w:r>
    </w:p>
    <w:p w:rsidR="00000000" w:rsidDel="00000000" w:rsidP="00000000" w:rsidRDefault="00000000" w:rsidRPr="00000000" w14:paraId="000001AE">
      <w:pPr>
        <w:numPr>
          <w:ilvl w:val="0"/>
          <w:numId w:val="1"/>
        </w:numPr>
        <w:ind w:left="720" w:hanging="360"/>
        <w:jc w:val="both"/>
        <w:rPr>
          <w:u w:val="none"/>
        </w:rPr>
      </w:pPr>
      <w:r w:rsidDel="00000000" w:rsidR="00000000" w:rsidRPr="00000000">
        <w:rPr>
          <w:rtl w:val="0"/>
        </w:rPr>
        <w:t xml:space="preserve">Vie, J.-J., &amp; Kashima, H. (2019). Knowledge tracing machines: Factorization machines for knowledge tracing. Proceedings of the AAAI Conference on Artificial Intelligence, 33(1), 750–757. </w:t>
      </w:r>
      <w:hyperlink r:id="rId38">
        <w:r w:rsidDel="00000000" w:rsidR="00000000" w:rsidRPr="00000000">
          <w:rPr>
            <w:color w:val="1155cc"/>
            <w:u w:val="single"/>
            <w:rtl w:val="0"/>
          </w:rPr>
          <w:t xml:space="preserve">https://doi.org/10.1609/aaai.v33i01.3301750</w:t>
        </w:r>
      </w:hyperlink>
      <w:r w:rsidDel="00000000" w:rsidR="00000000" w:rsidRPr="00000000">
        <w:rPr>
          <w:rtl w:val="0"/>
        </w:rPr>
        <w:t xml:space="preserve">  Versión de lectura</w:t>
      </w:r>
    </w:p>
    <w:p w:rsidR="00000000" w:rsidDel="00000000" w:rsidP="00000000" w:rsidRDefault="00000000" w:rsidRPr="00000000" w14:paraId="000001AF">
      <w:pPr>
        <w:ind w:left="720" w:firstLine="0"/>
        <w:jc w:val="both"/>
        <w:rPr/>
      </w:pPr>
      <w:r w:rsidDel="00000000" w:rsidR="00000000" w:rsidRPr="00000000">
        <w:rPr>
          <w:rtl w:val="0"/>
        </w:rPr>
      </w:r>
    </w:p>
    <w:p w:rsidR="00000000" w:rsidDel="00000000" w:rsidP="00000000" w:rsidRDefault="00000000" w:rsidRPr="00000000" w14:paraId="000001B0">
      <w:pPr>
        <w:numPr>
          <w:ilvl w:val="0"/>
          <w:numId w:val="1"/>
        </w:numPr>
        <w:ind w:left="720" w:hanging="360"/>
        <w:jc w:val="both"/>
        <w:rPr>
          <w:u w:val="none"/>
        </w:rPr>
      </w:pPr>
      <w:r w:rsidDel="00000000" w:rsidR="00000000" w:rsidRPr="00000000">
        <w:rPr>
          <w:rtl w:val="0"/>
        </w:rPr>
        <w:t xml:space="preserve">Vykopal, J., Seda, P., Švábenský, V., &amp; Čeleda, P. (2023). Smart environment for adaptive learning of cybersecurity skills. IEEE Transactions on Learning Technologies, 16(3), 443–456. </w:t>
      </w:r>
      <w:hyperlink r:id="rId39">
        <w:r w:rsidDel="00000000" w:rsidR="00000000" w:rsidRPr="00000000">
          <w:rPr>
            <w:color w:val="1155cc"/>
            <w:u w:val="single"/>
            <w:rtl w:val="0"/>
          </w:rPr>
          <w:t xml:space="preserve">https://doi.org/10.1109/TLT.2022.3216345</w:t>
        </w:r>
      </w:hyperlink>
      <w:r w:rsidDel="00000000" w:rsidR="00000000" w:rsidRPr="00000000">
        <w:rPr>
          <w:rtl w:val="0"/>
        </w:rPr>
        <w:t xml:space="preserve">  Versión de lectura</w:t>
      </w:r>
    </w:p>
    <w:p w:rsidR="00000000" w:rsidDel="00000000" w:rsidP="00000000" w:rsidRDefault="00000000" w:rsidRPr="00000000" w14:paraId="000001B1">
      <w:pPr>
        <w:ind w:left="720" w:firstLine="0"/>
        <w:jc w:val="both"/>
        <w:rPr/>
      </w:pPr>
      <w:r w:rsidDel="00000000" w:rsidR="00000000" w:rsidRPr="00000000">
        <w:rPr>
          <w:rtl w:val="0"/>
        </w:rPr>
      </w:r>
    </w:p>
    <w:p w:rsidR="00000000" w:rsidDel="00000000" w:rsidP="00000000" w:rsidRDefault="00000000" w:rsidRPr="00000000" w14:paraId="000001B2">
      <w:pPr>
        <w:numPr>
          <w:ilvl w:val="0"/>
          <w:numId w:val="1"/>
        </w:numPr>
        <w:ind w:left="720" w:hanging="360"/>
        <w:jc w:val="both"/>
        <w:rPr>
          <w:u w:val="none"/>
        </w:rPr>
      </w:pPr>
      <w:r w:rsidDel="00000000" w:rsidR="00000000" w:rsidRPr="00000000">
        <w:rPr>
          <w:rtl w:val="0"/>
        </w:rPr>
        <w:t xml:space="preserve">xterm.js project. (s. f.). Xterm.js. Recuperado el 8 de octubre de 2026, de </w:t>
      </w:r>
      <w:hyperlink r:id="rId40">
        <w:r w:rsidDel="00000000" w:rsidR="00000000" w:rsidRPr="00000000">
          <w:rPr>
            <w:color w:val="1155cc"/>
            <w:u w:val="single"/>
            <w:rtl w:val="0"/>
          </w:rPr>
          <w:t xml:space="preserve">https://xtermjs.org/</w:t>
        </w:r>
      </w:hyperlink>
      <w:r w:rsidDel="00000000" w:rsidR="00000000" w:rsidRPr="00000000">
        <w:rPr>
          <w:rtl w:val="0"/>
        </w:rPr>
        <w:t xml:space="preserve"> </w:t>
      </w:r>
      <w:r w:rsidDel="00000000" w:rsidR="00000000" w:rsidRPr="00000000">
        <w:rPr>
          <w:rtl w:val="0"/>
        </w:rPr>
      </w:r>
    </w:p>
    <w:sectPr>
      <w:footerReference r:id="rId41" w:type="default"/>
      <w:footerReference r:id="rId4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xtermjs.org/" TargetMode="External"/><Relationship Id="rId20" Type="http://schemas.openxmlformats.org/officeDocument/2006/relationships/hyperlink" Target="https://doi.org/10.1145/3394486.3403282" TargetMode="External"/><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hyperlink" Target="https://www.microsoft.com/en-us/research/publication/lora-low-rank-adaptation-of-large-language-models/" TargetMode="External"/><Relationship Id="rId21" Type="http://schemas.openxmlformats.org/officeDocument/2006/relationships/hyperlink" Target="https://academy.hackthebox.com/faq" TargetMode="External"/><Relationship Id="rId24" Type="http://schemas.openxmlformats.org/officeDocument/2006/relationships/hyperlink" Target="https://docs.k3s.io/" TargetMode="External"/><Relationship Id="rId23" Type="http://schemas.openxmlformats.org/officeDocument/2006/relationships/hyperlink" Target="https://json-schema.org/learn/getting-started-step-by-ste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js.aaai.org/index.php/AAAI/article/view/3853" TargetMode="External"/><Relationship Id="rId26" Type="http://schemas.openxmlformats.org/officeDocument/2006/relationships/hyperlink" Target="https://arxiv.org/abs/1604.02416" TargetMode="External"/><Relationship Id="rId25" Type="http://schemas.openxmlformats.org/officeDocument/2006/relationships/hyperlink" Target="https://www.keycloak.org/documentation" TargetMode="External"/><Relationship Id="rId28" Type="http://schemas.openxmlformats.org/officeDocument/2006/relationships/hyperlink" Target="https://kubernetes.io/docs/concepts/configuration/manage-resources-containers/" TargetMode="External"/><Relationship Id="rId27" Type="http://schemas.openxmlformats.org/officeDocument/2006/relationships/hyperlink" Target="https://kubernetes.io/docs/concepts/services-networking/network-policie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proceedings.neurips.cc/paper/2020/hash/6b493230205f780e1bc26945df7481e5-Abstract.html" TargetMode="External"/><Relationship Id="rId7" Type="http://schemas.openxmlformats.org/officeDocument/2006/relationships/hyperlink" Target="https://files.eric.ed.gov/fulltext/ED615610.pdf" TargetMode="External"/><Relationship Id="rId8" Type="http://schemas.openxmlformats.org/officeDocument/2006/relationships/hyperlink" Target="https://files.eric.ed.gov/fulltext/ED506305.pdf" TargetMode="External"/><Relationship Id="rId31" Type="http://schemas.openxmlformats.org/officeDocument/2006/relationships/hyperlink" Target="https://doi.org/10.1145/3570353.3570358" TargetMode="External"/><Relationship Id="rId30" Type="http://schemas.openxmlformats.org/officeDocument/2006/relationships/hyperlink" Target="https://doi.org/10.52202/068431-1347" TargetMode="External"/><Relationship Id="rId11" Type="http://schemas.openxmlformats.org/officeDocument/2006/relationships/hyperlink" Target="https://arxiv.org/abs/2007.12324" TargetMode="External"/><Relationship Id="rId33" Type="http://schemas.openxmlformats.org/officeDocument/2006/relationships/hyperlink" Target="https://doi.org/10.1007/s10207-025-01179-w" TargetMode="External"/><Relationship Id="rId10" Type="http://schemas.openxmlformats.org/officeDocument/2006/relationships/hyperlink" Target="https://stanford.edu/~cpiech/bio/papers/deepKnowledgeTracing.pdf" TargetMode="External"/><Relationship Id="rId32" Type="http://schemas.openxmlformats.org/officeDocument/2006/relationships/hyperlink" Target="https://attack.mitre.org/" TargetMode="External"/><Relationship Id="rId13" Type="http://schemas.openxmlformats.org/officeDocument/2006/relationships/hyperlink" Target="https://guacamole.apache.org/doc/gug/guacamole-architecture.html" TargetMode="External"/><Relationship Id="rId35" Type="http://schemas.openxmlformats.org/officeDocument/2006/relationships/hyperlink" Target="https://stanford.edu/~cpiech/bio/papers/deepKnowledgeTracing.pdf" TargetMode="External"/><Relationship Id="rId12" Type="http://schemas.openxmlformats.org/officeDocument/2006/relationships/image" Target="media/image1.png"/><Relationship Id="rId34" Type="http://schemas.openxmlformats.org/officeDocument/2006/relationships/hyperlink" Target="https://doi.org/10.3233/978-1-60750-028-5-531" TargetMode="External"/><Relationship Id="rId15" Type="http://schemas.openxmlformats.org/officeDocument/2006/relationships/hyperlink" Target="https://doi.org/10.1007/BF01099821" TargetMode="External"/><Relationship Id="rId37" Type="http://schemas.openxmlformats.org/officeDocument/2006/relationships/hyperlink" Target="https://scikit-learn.org/stable/modules/calibration.html" TargetMode="External"/><Relationship Id="rId14" Type="http://schemas.openxmlformats.org/officeDocument/2006/relationships/hyperlink" Target="https://files.eric.ed.gov/fulltext/ED615610.pdf" TargetMode="External"/><Relationship Id="rId36" Type="http://schemas.openxmlformats.org/officeDocument/2006/relationships/hyperlink" Target="https://react.dev/reference/react" TargetMode="External"/><Relationship Id="rId17" Type="http://schemas.openxmlformats.org/officeDocument/2006/relationships/hyperlink" Target="https://github.com/sevillaa/Red-Queen/tree/04fd7d29c8d7af4068fa465d354028798547da06/C%C3%B3digo/Agente-Profesor/ChatBot_Beta" TargetMode="External"/><Relationship Id="rId39" Type="http://schemas.openxmlformats.org/officeDocument/2006/relationships/hyperlink" Target="https://doi.org/10.1109/TLT.2022.3216345" TargetMode="External"/><Relationship Id="rId16" Type="http://schemas.openxmlformats.org/officeDocument/2006/relationships/hyperlink" Target="https://docs.docker.com/" TargetMode="External"/><Relationship Id="rId38" Type="http://schemas.openxmlformats.org/officeDocument/2006/relationships/hyperlink" Target="https://doi.org/10.1609/aaai.v33i01.3301750" TargetMode="External"/><Relationship Id="rId19" Type="http://schemas.openxmlformats.org/officeDocument/2006/relationships/hyperlink" Target="https://fastapi.tiangolo.com/" TargetMode="External"/><Relationship Id="rId18" Type="http://schemas.openxmlformats.org/officeDocument/2006/relationships/hyperlink" Target="https://informatica.ucm.es/file/p07-calendario-tfg-tfm-26-27?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