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40"/>
        <w:jc w:val="center"/>
      </w:pPr>
      <w:r>
        <w:rPr>
          <w:rFonts w:ascii="Arial" w:cs="Arial" w:eastAsia="Arial" w:hAnsi="Arial"/>
          <w:b/>
          <w:bCs/>
          <w:color w:val="1F4E79"/>
          <w:sz w:val="56"/>
          <w:szCs w:val="56"/>
        </w:rPr>
        <w:t xml:space="preserve">MARL Aşaması</w:t>
      </w:r>
    </w:p>
    <w:p>
      <w:pPr>
        <w:spacing w:after="200" w:before="0"/>
        <w:jc w:val="center"/>
      </w:pPr>
      <w:r>
        <w:rPr>
          <w:rFonts w:ascii="Arial" w:cs="Arial" w:eastAsia="Arial" w:hAnsi="Arial"/>
          <w:b/>
          <w:bCs/>
          <w:i/>
          <w:iCs/>
          <w:color w:val="555555"/>
          <w:sz w:val="32"/>
          <w:szCs w:val="32"/>
        </w:rPr>
        <w:t xml:space="preserve">Kapsamlı Teknik ve Akademik Rehber</w:t>
      </w:r>
    </w:p>
    <w:p>
      <w:pPr>
        <w:spacing w:after="100" w:before="0"/>
        <w:jc w:val="center"/>
      </w:pPr>
      <w:r>
        <w:rPr>
          <w:rFonts w:ascii="Arial" w:cs="Arial" w:eastAsia="Arial" w:hAnsi="Arial"/>
          <w:color w:val="555555"/>
          <w:sz w:val="24"/>
          <w:szCs w:val="24"/>
        </w:rPr>
        <w:t xml:space="preserve">Robot Shop Mikroservis Ölçeklendirme Sistemi</w:t>
      </w:r>
    </w:p>
    <w:p>
      <w:pPr>
        <w:pBdr>
          <w:bottom w:val="single" w:color="1F4E79" w:sz="6" w:space="1"/>
        </w:pBdr>
        <w:spacing w:after="100" w:before="200"/>
        <w:jc w:val="center"/>
      </w:pPr>
      <w:r>
        <w:rPr>
          <w:rFonts w:ascii="Arial" w:cs="Arial" w:eastAsia="Arial" w:hAnsi="Arial"/>
          <w:b/>
          <w:bCs/>
          <w:color w:val="555555"/>
          <w:sz w:val="22"/>
          <w:szCs w:val="22"/>
        </w:rPr>
        <w:t xml:space="preserve">Proje, Makale ve Savunma Hazırlık Dokümanı</w:t>
      </w:r>
    </w:p>
    <w:p>
      <w:pPr>
        <w:spacing w:after="0" w:before="100"/>
        <w:jc w:val="center"/>
      </w:pPr>
      <w:r>
        <w:rPr>
          <w:rFonts w:ascii="Arial" w:cs="Arial" w:eastAsia="Arial" w:hAnsi="Arial"/>
          <w:color w:val="555555"/>
          <w:sz w:val="22"/>
          <w:szCs w:val="22"/>
        </w:rPr>
        <w:t xml:space="preserve">2025</w:t>
      </w:r>
    </w:p>
    <w:p>
      <w:r>
        <w:br w:type="page"/>
      </w:r>
    </w:p>
    <w:p>
      <w:pPr>
        <w:pStyle w:val="Heading1"/>
        <w:pBdr>
          <w:bottom w:val="single" w:color="1F4E79" w:sz="6" w:space="2"/>
        </w:pBdr>
        <w:spacing w:after="200" w:before="400"/>
      </w:pPr>
      <w:r>
        <w:rPr>
          <w:rFonts w:ascii="Arial" w:cs="Arial" w:eastAsia="Arial" w:hAnsi="Arial"/>
          <w:b/>
          <w:bCs/>
          <w:color w:val="1F4E79"/>
          <w:sz w:val="34"/>
          <w:szCs w:val="34"/>
        </w:rPr>
        <w:t xml:space="preserve">1. Bu Projede MARL Tam Olarak Nasıl Çalışıyor?</w:t>
      </w:r>
    </w:p>
    <w:p>
      <w:pPr>
        <w:spacing w:after="80" w:before="80"/>
      </w:pPr>
      <w:r>
        <w:rPr>
          <w:rFonts w:ascii="Arial" w:cs="Arial" w:eastAsia="Arial" w:hAnsi="Arial"/>
          <w:b w:val="false"/>
          <w:bCs w:val="false"/>
          <w:i w:val="false"/>
          <w:iCs w:val="false"/>
          <w:color w:val="000000"/>
          <w:sz w:val="22"/>
          <w:szCs w:val="22"/>
        </w:rPr>
        <w:t xml:space="preserve">Bu bölüm projenin MARL mimarisini sıfırdan açıklar. Her kavram hem teknik hem sezgisel olarak anlatılmıştır.</w:t>
      </w:r>
    </w:p>
    <w:p>
      <w:pPr>
        <w:spacing w:after="100" w:before="100"/>
      </w:pPr>
      <w:r>
        <w:t xml:space="preserve"/>
      </w:r>
    </w:p>
    <w:p>
      <w:pPr>
        <w:pStyle w:val="Heading2"/>
        <w:spacing w:after="150" w:before="300"/>
      </w:pPr>
      <w:r>
        <w:rPr>
          <w:rFonts w:ascii="Arial" w:cs="Arial" w:eastAsia="Arial" w:hAnsi="Arial"/>
          <w:b/>
          <w:bCs/>
          <w:color w:val="154360"/>
          <w:sz w:val="27"/>
          <w:szCs w:val="27"/>
        </w:rPr>
        <w:t xml:space="preserve">1.1 Genel Bakış — Sistemin Akışı</w:t>
      </w:r>
    </w:p>
    <w:p>
      <w:pPr>
        <w:pBdr>
          <w:left w:val="single" w:color="1F4E79" w:sz="12" w:space="4"/>
        </w:pBdr>
        <w:shd w:fill="D6E4F0" w:val="clear"/>
        <w:spacing w:after="120" w:before="120"/>
        <w:ind w:left="360" w:right="360"/>
      </w:pPr>
      <w:r>
        <w:rPr>
          <w:rFonts w:ascii="Arial" w:cs="Arial" w:eastAsia="Arial" w:hAnsi="Arial"/>
          <w:i/>
          <w:iCs/>
          <w:sz w:val="21"/>
          <w:szCs w:val="21"/>
        </w:rPr>
        <w:t xml:space="preserve">SAR Veri Toplama → Digital Twin Eğitimi → MARL Ortamı → Algoritma Eğitimi → Değerlendirme</w:t>
      </w:r>
    </w:p>
    <w:p>
      <w:pPr>
        <w:spacing w:after="100" w:before="100"/>
      </w:pPr>
      <w:r>
        <w:t xml:space="preserve"/>
      </w:r>
    </w:p>
    <w:p>
      <w:pPr>
        <w:spacing w:after="80" w:before="80"/>
      </w:pPr>
      <w:r>
        <w:rPr>
          <w:rFonts w:ascii="Arial" w:cs="Arial" w:eastAsia="Arial" w:hAnsi="Arial"/>
          <w:b w:val="false"/>
          <w:bCs w:val="false"/>
          <w:i w:val="false"/>
          <w:iCs w:val="false"/>
          <w:color w:val="000000"/>
          <w:sz w:val="22"/>
          <w:szCs w:val="22"/>
        </w:rPr>
        <w:t xml:space="preserve">Sistem beş katmandan oluşur:</w:t>
      </w:r>
    </w:p>
    <w:p>
      <w:pPr>
        <w:pStyle w:val="ListParagraph"/>
        <w:numPr>
          <w:ilvl w:val="0"/>
          <w:numId w:val="2"/>
        </w:numPr>
        <w:spacing w:after="60" w:before="60"/>
      </w:pPr>
      <w:r>
        <w:rPr>
          <w:rFonts w:ascii="Arial" w:cs="Arial" w:eastAsia="Arial" w:hAnsi="Arial"/>
          <w:sz w:val="22"/>
          <w:szCs w:val="22"/>
        </w:rPr>
        <w:t xml:space="preserve">Veri Katmanı: 84+ saatlik Kubernetes cluster verisi, 14,390 SAR geçişi</w:t>
      </w:r>
    </w:p>
    <w:p>
      <w:pPr>
        <w:pStyle w:val="ListParagraph"/>
        <w:numPr>
          <w:ilvl w:val="0"/>
          <w:numId w:val="2"/>
        </w:numPr>
        <w:spacing w:after="60" w:before="60"/>
      </w:pPr>
      <w:r>
        <w:rPr>
          <w:rFonts w:ascii="Arial" w:cs="Arial" w:eastAsia="Arial" w:hAnsi="Arial"/>
          <w:sz w:val="22"/>
          <w:szCs w:val="22"/>
        </w:rPr>
        <w:t xml:space="preserve">DT Katmanı: Sistem dinamiklerini öğrenen MLP (R²=0.907), MARL için simülatör</w:t>
      </w:r>
    </w:p>
    <w:p>
      <w:pPr>
        <w:pStyle w:val="ListParagraph"/>
        <w:numPr>
          <w:ilvl w:val="0"/>
          <w:numId w:val="2"/>
        </w:numPr>
        <w:spacing w:after="60" w:before="60"/>
      </w:pPr>
      <w:r>
        <w:rPr>
          <w:rFonts w:ascii="Arial" w:cs="Arial" w:eastAsia="Arial" w:hAnsi="Arial"/>
          <w:sz w:val="22"/>
          <w:szCs w:val="22"/>
        </w:rPr>
        <w:t xml:space="preserve">Ortam Katmanı: MarlEnvironment — DT wrapper, partial obs, reward hesabı</w:t>
      </w:r>
    </w:p>
    <w:p>
      <w:pPr>
        <w:pStyle w:val="ListParagraph"/>
        <w:numPr>
          <w:ilvl w:val="0"/>
          <w:numId w:val="2"/>
        </w:numPr>
        <w:spacing w:after="60" w:before="60"/>
      </w:pPr>
      <w:r>
        <w:rPr>
          <w:rFonts w:ascii="Arial" w:cs="Arial" w:eastAsia="Arial" w:hAnsi="Arial"/>
          <w:sz w:val="22"/>
          <w:szCs w:val="22"/>
        </w:rPr>
        <w:t xml:space="preserve">Agent Katmanı: 6 agent, her biri bir mikroservis, bağımsız kararlar</w:t>
      </w:r>
    </w:p>
    <w:p>
      <w:pPr>
        <w:pStyle w:val="ListParagraph"/>
        <w:numPr>
          <w:ilvl w:val="0"/>
          <w:numId w:val="2"/>
        </w:numPr>
        <w:spacing w:after="60" w:before="60"/>
      </w:pPr>
      <w:r>
        <w:rPr>
          <w:rFonts w:ascii="Arial" w:cs="Arial" w:eastAsia="Arial" w:hAnsi="Arial"/>
          <w:sz w:val="22"/>
          <w:szCs w:val="22"/>
        </w:rPr>
        <w:t xml:space="preserve">Değerlendirme Katmanı: 7 politika karşılaştırması, istatistiksel testler</w:t>
      </w:r>
    </w:p>
    <w:p>
      <w:pPr>
        <w:spacing w:after="100" w:before="100"/>
      </w:pPr>
      <w:r>
        <w:t xml:space="preserve"/>
      </w:r>
    </w:p>
    <w:p>
      <w:pPr>
        <w:pStyle w:val="Heading2"/>
        <w:spacing w:after="150" w:before="300"/>
      </w:pPr>
      <w:r>
        <w:rPr>
          <w:rFonts w:ascii="Arial" w:cs="Arial" w:eastAsia="Arial" w:hAnsi="Arial"/>
          <w:b/>
          <w:bCs/>
          <w:color w:val="154360"/>
          <w:sz w:val="27"/>
          <w:szCs w:val="27"/>
        </w:rPr>
        <w:t xml:space="preserve">1.2 State (Durum) Nedir?</w:t>
      </w:r>
    </w:p>
    <w:p>
      <w:pPr>
        <w:spacing w:after="80" w:before="80"/>
      </w:pPr>
      <w:r>
        <w:rPr>
          <w:rFonts w:ascii="Arial" w:cs="Arial" w:eastAsia="Arial" w:hAnsi="Arial"/>
          <w:b w:val="false"/>
          <w:bCs w:val="false"/>
          <w:i w:val="false"/>
          <w:iCs w:val="false"/>
          <w:color w:val="000000"/>
          <w:sz w:val="22"/>
          <w:szCs w:val="22"/>
        </w:rPr>
        <w:t xml:space="preserve">State, sistemin anlık fotoğrafıdır — agent'ların karar verirken kullandığı bilgi tabanı.</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800"/>
        <w:gridCol w:w="15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Boyut</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İçerik</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Servis Başına</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Toplam</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Metrikler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num_pods, cpu_usage, mem_usage, request_rate, latency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5 boyut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30 boyut</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Normalizasyon</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MinMaxScaler, [0,1] aralığı, train split'e fit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Kapsam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6 servis: cart, catalogue, payment, shipping, ratings, 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6×5=30</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Güncelleme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Her DT step sonrası, 10 adım episode sınırı</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r>
    </w:tbl>
    <w:p>
      <w:pPr>
        <w:spacing w:after="100" w:before="100"/>
      </w:pPr>
      <w:r>
        <w:t xml:space="preserve"/>
      </w:r>
    </w:p>
    <w:p>
      <w:pPr>
        <w:pBdr>
          <w:left w:val="single" w:color="1E8449" w:sz="12" w:space="4"/>
        </w:pBdr>
        <w:shd w:fill="D5F5E3" w:val="clear"/>
        <w:spacing w:after="120" w:before="120"/>
        <w:ind w:left="360" w:right="360"/>
      </w:pPr>
      <w:r>
        <w:rPr>
          <w:rFonts w:ascii="Arial" w:cs="Arial" w:eastAsia="Arial" w:hAnsi="Arial"/>
          <w:i/>
          <w:iCs/>
          <w:sz w:val="21"/>
          <w:szCs w:val="21"/>
        </w:rPr>
        <w:t xml:space="preserve">Global state (30 boyut) DT ve reward hesabı tarafından kullanılır. Her agent bu state'in yalnızca kendi servisine ait kısmını ve komşularını görür (partial observability).</w:t>
      </w:r>
    </w:p>
    <w:p>
      <w:pPr>
        <w:spacing w:after="100" w:before="100"/>
      </w:pPr>
      <w:r>
        <w:t xml:space="preserve"/>
      </w:r>
    </w:p>
    <w:p>
      <w:pPr>
        <w:pStyle w:val="Heading2"/>
        <w:spacing w:after="150" w:before="300"/>
      </w:pPr>
      <w:r>
        <w:rPr>
          <w:rFonts w:ascii="Arial" w:cs="Arial" w:eastAsia="Arial" w:hAnsi="Arial"/>
          <w:b/>
          <w:bCs/>
          <w:color w:val="154360"/>
          <w:sz w:val="27"/>
          <w:szCs w:val="27"/>
        </w:rPr>
        <w:t xml:space="preserve">1.3 Action (Aksiyon) Nedir?</w:t>
      </w:r>
    </w:p>
    <w:p>
      <w:pPr>
        <w:spacing w:after="80" w:before="80"/>
      </w:pPr>
      <w:r>
        <w:rPr>
          <w:rFonts w:ascii="Arial" w:cs="Arial" w:eastAsia="Arial" w:hAnsi="Arial"/>
          <w:b w:val="false"/>
          <w:bCs w:val="false"/>
          <w:i w:val="false"/>
          <w:iCs w:val="false"/>
          <w:color w:val="000000"/>
          <w:sz w:val="22"/>
          <w:szCs w:val="22"/>
        </w:rPr>
        <w:t xml:space="preserve">Her agent her adımda üç aksiyondan birini seçer: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Aksiyon</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İç Temsil</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Anlamı</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Sınır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0 (scale_down)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Bir pod azalt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Minimum pod sınırına kadar</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 (keep)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Pod sayısını koru</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 (scale_up)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Bir pod artır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Maksimum 8 pod</w:t>
            </w:r>
          </w:p>
        </w:tc>
      </w:tr>
    </w:tbl>
    <w:p>
      <w:pPr>
        <w:spacing w:after="100" w:before="100"/>
      </w:pPr>
      <w:r>
        <w:t xml:space="preserve"/>
      </w:r>
    </w:p>
    <w:p>
      <w:pPr>
        <w:spacing w:after="80" w:before="80"/>
      </w:pPr>
      <w:r>
        <w:rPr>
          <w:rFonts w:ascii="Arial" w:cs="Arial" w:eastAsia="Arial" w:hAnsi="Arial"/>
          <w:b w:val="false"/>
          <w:bCs w:val="false"/>
          <w:i w:val="false"/>
          <w:iCs w:val="false"/>
          <w:color w:val="000000"/>
          <w:sz w:val="22"/>
          <w:szCs w:val="22"/>
        </w:rPr>
        <w:t xml:space="preserve">6 agent aynı anda karar verir → 3⁶ = 729 olası aksiyon kombinasyonu. MARL ile her agent bağımsız seçim yapar, merkezi koordinasyon gerekmez.</w:t>
      </w:r>
    </w:p>
    <w:p>
      <w:pPr>
        <w:spacing w:after="100" w:before="100"/>
      </w:pPr>
      <w:r>
        <w:t xml:space="preserve"/>
      </w:r>
    </w:p>
    <w:p>
      <w:pPr>
        <w:pStyle w:val="Heading2"/>
        <w:spacing w:after="150" w:before="300"/>
      </w:pPr>
      <w:r>
        <w:rPr>
          <w:rFonts w:ascii="Arial" w:cs="Arial" w:eastAsia="Arial" w:hAnsi="Arial"/>
          <w:b/>
          <w:bCs/>
          <w:color w:val="154360"/>
          <w:sz w:val="27"/>
          <w:szCs w:val="27"/>
        </w:rPr>
        <w:t xml:space="preserve">1.4 Reward Nasıl Hesaplanıyor?</w:t>
      </w:r>
    </w:p>
    <w:p>
      <w:pPr>
        <w:spacing w:after="80" w:before="80"/>
      </w:pPr>
      <w:r>
        <w:rPr>
          <w:rFonts w:ascii="Arial" w:cs="Arial" w:eastAsia="Arial" w:hAnsi="Arial"/>
          <w:b w:val="false"/>
          <w:bCs w:val="false"/>
          <w:i w:val="false"/>
          <w:iCs w:val="false"/>
          <w:color w:val="000000"/>
          <w:sz w:val="22"/>
          <w:szCs w:val="22"/>
        </w:rPr>
        <w:t xml:space="preserve">Reward fonksiyonu projenin hedefini (latency+kaynak optimizasyonu) matematiksel olarak ifade eder:</w:t>
      </w:r>
    </w:p>
    <w:p>
      <w:pPr>
        <w:spacing w:after="100" w:before="100"/>
      </w:pPr>
      <w:r>
        <w:t xml:space="preserve"/>
      </w:r>
    </w:p>
    <w:p>
      <w:pPr>
        <w:pBdr>
          <w:left w:val="single" w:color="1F4E79" w:sz="10" w:space="4"/>
        </w:pBdr>
        <w:shd w:fill="F2F2F2" w:val="clear"/>
        <w:spacing w:after="120" w:before="120"/>
        <w:ind w:left="360"/>
      </w:pPr>
      <w:r>
        <w:rPr>
          <w:rFonts w:ascii="Courier New" w:cs="Courier New" w:eastAsia="Courier New" w:hAnsi="Courier New"/>
          <w:b/>
          <w:bCs/>
          <w:sz w:val="22"/>
          <w:szCs w:val="22"/>
        </w:rPr>
        <w:t xml:space="preserve">R = Σᵢ tanh(1 - latency_i / p50_i) × weight_i  −  0.05 × total_pods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Bileşen</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Değer</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Açıklama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tanh(1 - lat/p50)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Latency p50'nin altındaysa pozitif, üstündeyse negatif</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weight_i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cart:1.5, cat:1.5, ship:2.0, rat:0.5, user:1.0, pay:0.0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Kritiklik ağırlığı</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p50 eşikleri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Dataset'ten otomatik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Non-zero latency değerlerinin medyanı</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Pod cezası</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−0.05 × toplam pod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Kaynak israfını cezalandırır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Payment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weight=0.0 (Option 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Shipping bottleneck kaynaklı ölçüm boşlukları</w:t>
            </w:r>
          </w:p>
        </w:tc>
      </w:tr>
    </w:tbl>
    <w:p>
      <w:pPr>
        <w:spacing w:after="100" w:before="100"/>
      </w:pPr>
      <w:r>
        <w:t xml:space="preserve"/>
      </w:r>
    </w:p>
    <w:p>
      <w:pPr>
        <w:pBdr>
          <w:left w:val="single" w:color="D35400" w:sz="12" w:space="4"/>
        </w:pBdr>
        <w:shd w:fill="FDEBD0" w:val="clear"/>
        <w:spacing w:after="120" w:before="120"/>
        <w:ind w:left="360" w:right="360"/>
      </w:pPr>
      <w:r>
        <w:rPr>
          <w:rFonts w:ascii="Arial" w:cs="Arial" w:eastAsia="Arial" w:hAnsi="Arial"/>
          <w:i/>
          <w:iCs/>
          <w:sz w:val="21"/>
          <w:szCs w:val="21"/>
        </w:rPr>
        <w:t xml:space="preserve">tanh fonksiyonu reward'ı doğal olarak sınırlar: latency ne kadar kötü olursa olsun tek bir servis reward'ı -weight_i'dan aşağı düşüremez. Bu gradient sinyalini korur, eğitimi stabilize eder.</w:t>
      </w:r>
    </w:p>
    <w:p>
      <w:pPr>
        <w:spacing w:after="100" w:before="100"/>
      </w:pPr>
      <w:r>
        <w:t xml:space="preserve"/>
      </w:r>
    </w:p>
    <w:p>
      <w:pPr>
        <w:pStyle w:val="Heading2"/>
        <w:spacing w:after="150" w:before="300"/>
      </w:pPr>
      <w:r>
        <w:rPr>
          <w:rFonts w:ascii="Arial" w:cs="Arial" w:eastAsia="Arial" w:hAnsi="Arial"/>
          <w:b/>
          <w:bCs/>
          <w:color w:val="154360"/>
          <w:sz w:val="27"/>
          <w:szCs w:val="27"/>
        </w:rPr>
        <w:t xml:space="preserve">1.5 Digital Twin Nasıl Kullanılıyor?</w:t>
      </w:r>
    </w:p>
    <w:p>
      <w:pPr>
        <w:spacing w:after="80" w:before="80"/>
      </w:pPr>
      <w:r>
        <w:rPr>
          <w:rFonts w:ascii="Arial" w:cs="Arial" w:eastAsia="Arial" w:hAnsi="Arial"/>
          <w:b w:val="false"/>
          <w:bCs w:val="false"/>
          <w:i w:val="false"/>
          <w:iCs w:val="false"/>
          <w:color w:val="000000"/>
          <w:sz w:val="22"/>
          <w:szCs w:val="22"/>
        </w:rPr>
        <w:t xml:space="preserve">Digital Twin, gerçek Kubernetes cluster'ı yerine kullanılan bir simülatördür. Her MARL adımında şu akış gerçekleşir:</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Agent'lar mevcut state'i gözlemler (partial obs olarak)</w:t>
      </w:r>
    </w:p>
    <w:p>
      <w:pPr>
        <w:pStyle w:val="ListParagraph"/>
        <w:numPr>
          <w:ilvl w:val="0"/>
          <w:numId w:val="2"/>
        </w:numPr>
        <w:spacing w:after="60" w:before="60"/>
      </w:pPr>
      <w:r>
        <w:rPr>
          <w:rFonts w:ascii="Arial" w:cs="Arial" w:eastAsia="Arial" w:hAnsi="Arial"/>
          <w:sz w:val="22"/>
          <w:szCs w:val="22"/>
        </w:rPr>
        <w:t xml:space="preserve">Her agent bir aksiyon seçer</w:t>
      </w:r>
    </w:p>
    <w:p>
      <w:pPr>
        <w:pStyle w:val="ListParagraph"/>
        <w:numPr>
          <w:ilvl w:val="0"/>
          <w:numId w:val="2"/>
        </w:numPr>
        <w:spacing w:after="60" w:before="60"/>
      </w:pPr>
      <w:r>
        <w:rPr>
          <w:rFonts w:ascii="Arial" w:cs="Arial" w:eastAsia="Arial" w:hAnsi="Arial"/>
          <w:sz w:val="22"/>
          <w:szCs w:val="22"/>
        </w:rPr>
        <w:t xml:space="preserve">MarlEnvironment aksiyonları DT'ye iletir: input = [state(30) + action(6)] = 36 boyut</w:t>
      </w:r>
    </w:p>
    <w:p>
      <w:pPr>
        <w:pStyle w:val="ListParagraph"/>
        <w:numPr>
          <w:ilvl w:val="0"/>
          <w:numId w:val="2"/>
        </w:numPr>
        <w:spacing w:after="60" w:before="60"/>
      </w:pPr>
      <w:r>
        <w:rPr>
          <w:rFonts w:ascii="Arial" w:cs="Arial" w:eastAsia="Arial" w:hAnsi="Arial"/>
          <w:sz w:val="22"/>
          <w:szCs w:val="22"/>
        </w:rPr>
        <w:t xml:space="preserve">DT next_state tahmin eder: output = 30 boyut (normalize)</w:t>
      </w:r>
    </w:p>
    <w:p>
      <w:pPr>
        <w:pStyle w:val="ListParagraph"/>
        <w:numPr>
          <w:ilvl w:val="0"/>
          <w:numId w:val="2"/>
        </w:numPr>
        <w:spacing w:after="60" w:before="60"/>
      </w:pPr>
      <w:r>
        <w:rPr>
          <w:rFonts w:ascii="Arial" w:cs="Arial" w:eastAsia="Arial" w:hAnsi="Arial"/>
          <w:sz w:val="22"/>
          <w:szCs w:val="22"/>
        </w:rPr>
        <w:t xml:space="preserve">Reward hesaplanır (next_state üzerinden)</w:t>
      </w:r>
    </w:p>
    <w:p>
      <w:pPr>
        <w:pStyle w:val="ListParagraph"/>
        <w:numPr>
          <w:ilvl w:val="0"/>
          <w:numId w:val="2"/>
        </w:numPr>
        <w:spacing w:after="60" w:before="60"/>
      </w:pPr>
      <w:r>
        <w:rPr>
          <w:rFonts w:ascii="Arial" w:cs="Arial" w:eastAsia="Arial" w:hAnsi="Arial"/>
          <w:sz w:val="22"/>
          <w:szCs w:val="22"/>
        </w:rPr>
        <w:t xml:space="preserve">Yeni state agent'lara dağıtılır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DT Parametresi</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Değer</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Önemi</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Mimari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36→256→256→128→30 MLP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State+action → next_state</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R²</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0.907</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Sistem dinamiklerini %90.7 açıklıyor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Güvenli horizon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10 adım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MAE bu noktada kabul edilebilir sınırda</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Loss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Huber</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Shipping outlier'larına karşı robust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Sigmoid çıktı</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Normalize state ile uyumlu</w:t>
            </w:r>
          </w:p>
        </w:tc>
      </w:tr>
    </w:tbl>
    <w:p>
      <w:pPr>
        <w:spacing w:after="100" w:before="100"/>
      </w:pPr>
      <w:r>
        <w:t xml:space="preserve"/>
      </w:r>
    </w:p>
    <w:p>
      <w:pPr>
        <w:pBdr>
          <w:left w:val="single" w:color="1E8449" w:sz="12" w:space="4"/>
        </w:pBdr>
        <w:shd w:fill="D5F5E3" w:val="clear"/>
        <w:spacing w:after="120" w:before="120"/>
        <w:ind w:left="360" w:right="360"/>
      </w:pPr>
      <w:r>
        <w:rPr>
          <w:rFonts w:ascii="Arial" w:cs="Arial" w:eastAsia="Arial" w:hAnsi="Arial"/>
          <w:i/>
          <w:iCs/>
          <w:sz w:val="21"/>
          <w:szCs w:val="21"/>
        </w:rPr>
        <w:t xml:space="preserve">DT online eğitim yapılmadan MARL'ın çalışmasını sağlar. Gerçek cluster'a dokunmadan binlerce episode simüle edilebilir.</w:t>
      </w:r>
    </w:p>
    <w:p>
      <w:pPr>
        <w:spacing w:after="100" w:before="100"/>
      </w:pPr>
      <w:r>
        <w:t xml:space="preserve"/>
      </w:r>
    </w:p>
    <w:p>
      <w:pPr>
        <w:pStyle w:val="Heading2"/>
        <w:spacing w:after="150" w:before="300"/>
      </w:pPr>
      <w:r>
        <w:rPr>
          <w:rFonts w:ascii="Arial" w:cs="Arial" w:eastAsia="Arial" w:hAnsi="Arial"/>
          <w:b/>
          <w:bCs/>
          <w:color w:val="154360"/>
          <w:sz w:val="27"/>
          <w:szCs w:val="27"/>
        </w:rPr>
        <w:t xml:space="preserve">1.6 Partial Observability Ne Anlama Geliyor?</w:t>
      </w:r>
    </w:p>
    <w:p>
      <w:pPr>
        <w:spacing w:after="80" w:before="80"/>
      </w:pPr>
      <w:r>
        <w:rPr>
          <w:rFonts w:ascii="Arial" w:cs="Arial" w:eastAsia="Arial" w:hAnsi="Arial"/>
          <w:b w:val="false"/>
          <w:bCs w:val="false"/>
          <w:i w:val="false"/>
          <w:iCs w:val="false"/>
          <w:color w:val="000000"/>
          <w:sz w:val="22"/>
          <w:szCs w:val="22"/>
        </w:rPr>
        <w:t xml:space="preserve">Her agent tüm 30 boyutlu global state'i görmez — sadece kendi servisi ve robot_shop.py çağrı grafiğindeki komşularını görür: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400"/>
        <w:gridCol w:w="3760"/>
      </w:tblGrid>
      <w:tr>
        <w:trPr>
          <w:tblHeader/>
        </w:trP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Agent</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Gözlemlediği Servisler</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Obs Boyutu</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Neden Bu Komşular?</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cart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cart + catalogue + shipping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Catalogue'dan input alır, shipping'e output verir</w:t>
            </w:r>
          </w:p>
        </w:tc>
      </w:tr>
      <w:tr>
        <w:trPr>
          <w:tblHeader w:val="false"/>
        </w:trP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catalogue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catalogue + ratings + cart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15</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Ratings ve cart'ı besler</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payment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payment + shipping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Shipping confirm'den tetiklenir</w:t>
            </w:r>
          </w:p>
        </w:tc>
      </w:tr>
      <w:tr>
        <w:trPr>
          <w:tblHeader w:val="false"/>
        </w:trP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shipping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shipping + cart + payment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15</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Cart'tan input, payment'a output</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ratings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ratings + catalogue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Yalnızca catalogue tarafından tetiklenir</w:t>
            </w:r>
          </w:p>
        </w:tc>
      </w:tr>
      <w:tr>
        <w:trPr>
          <w:tblHeader w:val="false"/>
        </w:trP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user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user + cart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10</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Session ID cart'a gider</w:t>
            </w:r>
          </w:p>
        </w:tc>
      </w:tr>
    </w:tbl>
    <w:p>
      <w:pPr>
        <w:spacing w:after="100" w:before="100"/>
      </w:pPr>
      <w:r>
        <w:t xml:space="preserve"/>
      </w:r>
    </w:p>
    <w:p>
      <w:pPr>
        <w:pBdr>
          <w:left w:val="single" w:color="1E8449" w:sz="12" w:space="4"/>
        </w:pBdr>
        <w:shd w:fill="D5F5E3" w:val="clear"/>
        <w:spacing w:after="120" w:before="120"/>
        <w:ind w:left="360" w:right="360"/>
      </w:pPr>
      <w:r>
        <w:rPr>
          <w:rFonts w:ascii="Arial" w:cs="Arial" w:eastAsia="Arial" w:hAnsi="Arial"/>
          <w:i/>
          <w:iCs/>
          <w:sz w:val="21"/>
          <w:szCs w:val="21"/>
        </w:rPr>
        <w:t xml:space="preserve">Kilit bulgu: IPPO ≈ MAPPO (p=0.984). Bu, her agent'ın komşularını görmesinin tüm sistemi görmek kadar etkili olduğunu kanıtlar. Partial observability yeterlidir — dağıtık deployment için büyük avantaj.</w:t>
      </w:r>
    </w:p>
    <w:p>
      <w:pPr>
        <w:spacing w:after="100" w:before="100"/>
      </w:pPr>
      <w:r>
        <w:t xml:space="preserve"/>
      </w:r>
    </w:p>
    <w:p>
      <w:r>
        <w:br w:type="page"/>
      </w:r>
    </w:p>
    <w:p>
      <w:pPr>
        <w:pStyle w:val="Heading1"/>
        <w:pBdr>
          <w:bottom w:val="single" w:color="1F4E79" w:sz="6" w:space="2"/>
        </w:pBdr>
        <w:spacing w:after="200" w:before="400"/>
      </w:pPr>
      <w:r>
        <w:rPr>
          <w:rFonts w:ascii="Arial" w:cs="Arial" w:eastAsia="Arial" w:hAnsi="Arial"/>
          <w:b/>
          <w:bCs/>
          <w:color w:val="1F4E79"/>
          <w:sz w:val="34"/>
          <w:szCs w:val="34"/>
        </w:rPr>
        <w:t xml:space="preserve">2. Algoritmaların Mantığı — Bu Projede Nasıl Uygulandı?</w:t>
      </w:r>
    </w:p>
    <w:p>
      <w:pPr>
        <w:spacing w:after="100" w:before="100"/>
      </w:pPr>
      <w:r>
        <w:t xml:space="preserve"/>
      </w:r>
    </w:p>
    <w:p>
      <w:pPr>
        <w:pStyle w:val="Heading2"/>
        <w:spacing w:after="150" w:before="300"/>
      </w:pPr>
      <w:r>
        <w:rPr>
          <w:rFonts w:ascii="Arial" w:cs="Arial" w:eastAsia="Arial" w:hAnsi="Arial"/>
          <w:b/>
          <w:bCs/>
          <w:color w:val="154360"/>
          <w:sz w:val="27"/>
          <w:szCs w:val="27"/>
        </w:rPr>
        <w:t xml:space="preserve">2.1 IPPO — Independent Proximal Policy Optimization</w:t>
      </w:r>
    </w:p>
    <w:p>
      <w:pPr>
        <w:spacing w:after="100" w:before="200"/>
      </w:pPr>
      <w:r>
        <w:rPr>
          <w:rFonts w:ascii="Arial" w:cs="Arial" w:eastAsia="Arial" w:hAnsi="Arial"/>
          <w:b/>
          <w:bCs/>
          <w:color w:val="555555"/>
          <w:sz w:val="23"/>
          <w:szCs w:val="23"/>
        </w:rPr>
        <w:t xml:space="preserve">Ne Yapar?</w:t>
      </w:r>
    </w:p>
    <w:p>
      <w:pPr>
        <w:spacing w:after="80" w:before="80"/>
      </w:pPr>
      <w:r>
        <w:rPr>
          <w:rFonts w:ascii="Arial" w:cs="Arial" w:eastAsia="Arial" w:hAnsi="Arial"/>
          <w:b w:val="false"/>
          <w:bCs w:val="false"/>
          <w:i w:val="false"/>
          <w:iCs w:val="false"/>
          <w:color w:val="000000"/>
          <w:sz w:val="22"/>
          <w:szCs w:val="22"/>
        </w:rPr>
        <w:t xml:space="preserve">Her servis için tamamen bağımsız bir PPO agent eğitilir. Agent kendi partial obs'undan aksiyon seçer, diğer agent'larla parametre paylaşmaz. 'Multi-agent' tarafı: 6 agent aynı DT ortamında aynı anda çalışır.</w:t>
      </w:r>
    </w:p>
    <w:p>
      <w:pPr>
        <w:spacing w:after="100" w:before="100"/>
      </w:pPr>
      <w:r>
        <w:t xml:space="preserve"/>
      </w:r>
    </w:p>
    <w:p>
      <w:pPr>
        <w:spacing w:after="100" w:before="200"/>
      </w:pPr>
      <w:r>
        <w:rPr>
          <w:rFonts w:ascii="Arial" w:cs="Arial" w:eastAsia="Arial" w:hAnsi="Arial"/>
          <w:b/>
          <w:bCs/>
          <w:color w:val="555555"/>
          <w:sz w:val="23"/>
          <w:szCs w:val="23"/>
        </w:rPr>
        <w:t xml:space="preserve">Bu Projede Nasıl Uygulandı?</w:t>
      </w:r>
    </w:p>
    <w:p>
      <w:pPr>
        <w:pStyle w:val="ListParagraph"/>
        <w:numPr>
          <w:ilvl w:val="0"/>
          <w:numId w:val="2"/>
        </w:numPr>
        <w:spacing w:after="60" w:before="60"/>
      </w:pPr>
      <w:r>
        <w:rPr>
          <w:rFonts w:ascii="Arial" w:cs="Arial" w:eastAsia="Arial" w:hAnsi="Arial"/>
          <w:sz w:val="22"/>
          <w:szCs w:val="22"/>
        </w:rPr>
        <w:t xml:space="preserve">Actor-Critic mimarisi: obs_dim → 128 → 64 → 3 (actor), obs_dim → 128 → 64 → 1 (critic)</w:t>
      </w:r>
    </w:p>
    <w:p>
      <w:pPr>
        <w:pStyle w:val="ListParagraph"/>
        <w:numPr>
          <w:ilvl w:val="0"/>
          <w:numId w:val="2"/>
        </w:numPr>
        <w:spacing w:after="60" w:before="60"/>
      </w:pPr>
      <w:r>
        <w:rPr>
          <w:rFonts w:ascii="Arial" w:cs="Arial" w:eastAsia="Arial" w:hAnsi="Arial"/>
          <w:sz w:val="22"/>
          <w:szCs w:val="22"/>
        </w:rPr>
        <w:t xml:space="preserve">GAE (Generalized Advantage Estimation) ile advantage hesabı</w:t>
      </w:r>
    </w:p>
    <w:p>
      <w:pPr>
        <w:pStyle w:val="ListParagraph"/>
        <w:numPr>
          <w:ilvl w:val="0"/>
          <w:numId w:val="2"/>
        </w:numPr>
        <w:spacing w:after="60" w:before="60"/>
      </w:pPr>
      <w:r>
        <w:rPr>
          <w:rFonts w:ascii="Arial" w:cs="Arial" w:eastAsia="Arial" w:hAnsi="Arial"/>
          <w:sz w:val="22"/>
          <w:szCs w:val="22"/>
        </w:rPr>
        <w:t xml:space="preserve">PPO-Clip (ε=0.2): büyük policy değişimlerini engeller</w:t>
      </w:r>
    </w:p>
    <w:p>
      <w:pPr>
        <w:pStyle w:val="ListParagraph"/>
        <w:numPr>
          <w:ilvl w:val="0"/>
          <w:numId w:val="2"/>
        </w:numPr>
        <w:spacing w:after="60" w:before="60"/>
      </w:pPr>
      <w:r>
        <w:rPr>
          <w:rFonts w:ascii="Arial" w:cs="Arial" w:eastAsia="Arial" w:hAnsi="Arial"/>
          <w:sz w:val="22"/>
          <w:szCs w:val="22"/>
        </w:rPr>
        <w:t xml:space="preserve">5 episode × 10 adım = 50 transition/update (multi-episode buffer)</w:t>
      </w:r>
    </w:p>
    <w:p>
      <w:pPr>
        <w:pStyle w:val="ListParagraph"/>
        <w:numPr>
          <w:ilvl w:val="0"/>
          <w:numId w:val="2"/>
        </w:numPr>
        <w:spacing w:after="60" w:before="60"/>
      </w:pPr>
      <w:r>
        <w:rPr>
          <w:rFonts w:ascii="Arial" w:cs="Arial" w:eastAsia="Arial" w:hAnsi="Arial"/>
          <w:sz w:val="22"/>
          <w:szCs w:val="22"/>
        </w:rPr>
        <w:t xml:space="preserve">RunningNormalizer: reward'ı online normalize eder (Welford algoritması)</w:t>
      </w:r>
    </w:p>
    <w:p>
      <w:pPr>
        <w:pStyle w:val="ListParagraph"/>
        <w:numPr>
          <w:ilvl w:val="0"/>
          <w:numId w:val="2"/>
        </w:numPr>
        <w:spacing w:after="60" w:before="60"/>
      </w:pPr>
      <w:r>
        <w:rPr>
          <w:rFonts w:ascii="Arial" w:cs="Arial" w:eastAsia="Arial" w:hAnsi="Arial"/>
          <w:sz w:val="22"/>
          <w:szCs w:val="22"/>
        </w:rPr>
        <w:t xml:space="preserve">K_epochs=8: aynı veriyi 8 kez kullanır</w:t>
      </w:r>
    </w:p>
    <w:p>
      <w:pPr>
        <w:spacing w:after="100" w:before="100"/>
      </w:pPr>
      <w:r>
        <w:t xml:space="preserve"/>
      </w:r>
    </w:p>
    <w:p>
      <w:pPr>
        <w:spacing w:after="100" w:before="200"/>
      </w:pPr>
      <w:r>
        <w:rPr>
          <w:rFonts w:ascii="Arial" w:cs="Arial" w:eastAsia="Arial" w:hAnsi="Arial"/>
          <w:b/>
          <w:bCs/>
          <w:color w:val="555555"/>
          <w:sz w:val="23"/>
          <w:szCs w:val="23"/>
        </w:rPr>
        <w:t xml:space="preserve">Neden İşe Yaradı?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Faktör</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Açıklama</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Kısa horizon uyumu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10 adımlık episode'larda PPO-clip kararlı güncelleme sağlar</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Partial obs ile uyum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Her agent bağımsız → farklı obs boyutları sorun olmaz</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On-policy avantajı</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Her episode fresh data → DT'nin değişen tahminlerine adapte olur</w:t>
            </w:r>
          </w:p>
        </w:tc>
      </w:tr>
      <w:tr>
        <w:trPr>
          <w:tblHeader w:val="false"/>
        </w:trP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Entropy bonus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Erken yakınsama ve yerel optimalden kaçınma</w:t>
            </w:r>
          </w:p>
        </w:tc>
      </w:tr>
    </w:tbl>
    <w:p>
      <w:pPr>
        <w:spacing w:after="100" w:before="100"/>
      </w:pPr>
      <w:r>
        <w:t xml:space="preserve"/>
      </w:r>
    </w:p>
    <w:p>
      <w:pPr>
        <w:spacing w:after="80" w:before="80"/>
      </w:pPr>
      <w:r>
        <w:rPr>
          <w:rFonts w:ascii="Arial" w:cs="Arial" w:eastAsia="Arial" w:hAnsi="Arial"/>
          <w:b w:val="false"/>
          <w:bCs w:val="false"/>
          <w:i w:val="false"/>
          <w:iCs w:val="false"/>
          <w:color w:val="000000"/>
          <w:sz w:val="22"/>
          <w:szCs w:val="22"/>
        </w:rPr>
        <w:t xml:space="preserve">Sonuç: Rule-based'e göre +13.3 reward (p&lt;0.0001). Cart %33, catalogue %48, user %58 latency azalması.</w:t>
      </w:r>
    </w:p>
    <w:p>
      <w:pPr>
        <w:spacing w:after="100" w:before="100"/>
      </w:pPr>
      <w:r>
        <w:t xml:space="preserve"/>
      </w:r>
    </w:p>
    <w:p>
      <w:pPr>
        <w:pStyle w:val="Heading2"/>
        <w:spacing w:after="150" w:before="300"/>
      </w:pPr>
      <w:r>
        <w:rPr>
          <w:rFonts w:ascii="Arial" w:cs="Arial" w:eastAsia="Arial" w:hAnsi="Arial"/>
          <w:b/>
          <w:bCs/>
          <w:color w:val="154360"/>
          <w:sz w:val="27"/>
          <w:szCs w:val="27"/>
        </w:rPr>
        <w:t xml:space="preserve">2.2 MAPPO — Multi-Agent PPO (Centralized Critic)</w:t>
      </w:r>
    </w:p>
    <w:p>
      <w:pPr>
        <w:spacing w:after="100" w:before="200"/>
      </w:pPr>
      <w:r>
        <w:rPr>
          <w:rFonts w:ascii="Arial" w:cs="Arial" w:eastAsia="Arial" w:hAnsi="Arial"/>
          <w:b/>
          <w:bCs/>
          <w:color w:val="555555"/>
          <w:sz w:val="23"/>
          <w:szCs w:val="23"/>
        </w:rPr>
        <w:t xml:space="preserve">Ne Yapar?</w:t>
      </w:r>
    </w:p>
    <w:p>
      <w:pPr>
        <w:spacing w:after="80" w:before="80"/>
      </w:pPr>
      <w:r>
        <w:rPr>
          <w:rFonts w:ascii="Arial" w:cs="Arial" w:eastAsia="Arial" w:hAnsi="Arial"/>
          <w:b w:val="false"/>
          <w:bCs w:val="false"/>
          <w:i w:val="false"/>
          <w:iCs w:val="false"/>
          <w:color w:val="000000"/>
          <w:sz w:val="22"/>
          <w:szCs w:val="22"/>
        </w:rPr>
        <w:t xml:space="preserve">IPPO'dan tek farkı: Critic global state (30 boyut) görür, actor hâlâ partial obs kullanır. Bu 'Centralized Training, Decentralized Execution' (CTDE) paradigması.</w:t>
      </w:r>
    </w:p>
    <w:p>
      <w:pPr>
        <w:spacing w:after="100" w:before="100"/>
      </w:pPr>
      <w:r>
        <w:t xml:space="preserve"/>
      </w:r>
    </w:p>
    <w:p>
      <w:pPr>
        <w:spacing w:after="100" w:before="200"/>
      </w:pPr>
      <w:r>
        <w:rPr>
          <w:rFonts w:ascii="Arial" w:cs="Arial" w:eastAsia="Arial" w:hAnsi="Arial"/>
          <w:b/>
          <w:bCs/>
          <w:color w:val="555555"/>
          <w:sz w:val="23"/>
          <w:szCs w:val="23"/>
        </w:rPr>
        <w:t xml:space="preserve">Bu Projede Nasıl Uygulandı?</w:t>
      </w:r>
    </w:p>
    <w:p>
      <w:pPr>
        <w:pStyle w:val="ListParagraph"/>
        <w:numPr>
          <w:ilvl w:val="0"/>
          <w:numId w:val="2"/>
        </w:numPr>
        <w:spacing w:after="60" w:before="60"/>
      </w:pPr>
      <w:r>
        <w:rPr>
          <w:rFonts w:ascii="Arial" w:cs="Arial" w:eastAsia="Arial" w:hAnsi="Arial"/>
          <w:sz w:val="22"/>
          <w:szCs w:val="22"/>
        </w:rPr>
        <w:t xml:space="preserve">Actor: obs_dim → 128 → 64 → 3  (IPPO ile aynı, partial obs)</w:t>
      </w:r>
    </w:p>
    <w:p>
      <w:pPr>
        <w:pStyle w:val="ListParagraph"/>
        <w:numPr>
          <w:ilvl w:val="0"/>
          <w:numId w:val="2"/>
        </w:numPr>
        <w:spacing w:after="60" w:before="60"/>
      </w:pPr>
      <w:r>
        <w:rPr>
          <w:rFonts w:ascii="Arial" w:cs="Arial" w:eastAsia="Arial" w:hAnsi="Arial"/>
          <w:sz w:val="22"/>
          <w:szCs w:val="22"/>
        </w:rPr>
        <w:t xml:space="preserve">Critic: 30 → 128 → 64 → 1  (global state görür — IPPO'dan fark)</w:t>
      </w:r>
    </w:p>
    <w:p>
      <w:pPr>
        <w:pStyle w:val="ListParagraph"/>
        <w:numPr>
          <w:ilvl w:val="0"/>
          <w:numId w:val="2"/>
        </w:numPr>
        <w:spacing w:after="60" w:before="60"/>
      </w:pPr>
      <w:r>
        <w:rPr>
          <w:rFonts w:ascii="Arial" w:cs="Arial" w:eastAsia="Arial" w:hAnsi="Arial"/>
          <w:sz w:val="22"/>
          <w:szCs w:val="22"/>
        </w:rPr>
        <w:t xml:space="preserve">Training loop IPPO ile özdeş, sadece critic input'u farklı</w:t>
      </w:r>
    </w:p>
    <w:p>
      <w:pPr>
        <w:spacing w:after="100" w:before="100"/>
      </w:pPr>
      <w:r>
        <w:t xml:space="preserve"/>
      </w:r>
    </w:p>
    <w:p>
      <w:pPr>
        <w:spacing w:after="100" w:before="200"/>
      </w:pPr>
      <w:r>
        <w:rPr>
          <w:rFonts w:ascii="Arial" w:cs="Arial" w:eastAsia="Arial" w:hAnsi="Arial"/>
          <w:b/>
          <w:bCs/>
          <w:color w:val="555555"/>
          <w:sz w:val="23"/>
          <w:szCs w:val="23"/>
        </w:rPr>
        <w:t xml:space="preserve">Neden IPPO ≈ MAPPO Çıktı?</w:t>
      </w:r>
    </w:p>
    <w:p>
      <w:pPr>
        <w:pBdr>
          <w:left w:val="single" w:color="1E8449" w:sz="12" w:space="4"/>
        </w:pBdr>
        <w:shd w:fill="D5F5E3" w:val="clear"/>
        <w:spacing w:after="120" w:before="120"/>
        <w:ind w:left="360" w:right="360"/>
      </w:pPr>
      <w:r>
        <w:rPr>
          <w:rFonts w:ascii="Arial" w:cs="Arial" w:eastAsia="Arial" w:hAnsi="Arial"/>
          <w:i/>
          <w:iCs/>
          <w:sz w:val="21"/>
          <w:szCs w:val="21"/>
        </w:rPr>
        <w:t xml:space="preserve">IPPO vs MAPPO: p=0.984 — istatistiksel fark yok. Bu, mikroservis ortamında komşu bilgisinin (partial obs) tüm sistem bilgisi kadar etkili olduğunu gösteriyor.</w:t>
      </w:r>
    </w:p>
    <w:p>
      <w:pPr>
        <w:spacing w:after="80" w:before="80"/>
      </w:pPr>
      <w:r>
        <w:rPr>
          <w:rFonts w:ascii="Arial" w:cs="Arial" w:eastAsia="Arial" w:hAnsi="Arial"/>
          <w:b w:val="false"/>
          <w:bCs w:val="false"/>
          <w:i w:val="false"/>
          <w:iCs w:val="false"/>
          <w:color w:val="000000"/>
          <w:sz w:val="22"/>
          <w:szCs w:val="22"/>
        </w:rPr>
        <w:t xml:space="preserve">İki olası açıklama:</w:t>
      </w:r>
    </w:p>
    <w:p>
      <w:pPr>
        <w:pStyle w:val="ListParagraph"/>
        <w:numPr>
          <w:ilvl w:val="0"/>
          <w:numId w:val="2"/>
        </w:numPr>
        <w:spacing w:after="60" w:before="60"/>
      </w:pPr>
      <w:r>
        <w:rPr>
          <w:rFonts w:ascii="Arial" w:cs="Arial" w:eastAsia="Arial" w:hAnsi="Arial"/>
          <w:sz w:val="22"/>
          <w:szCs w:val="22"/>
        </w:rPr>
        <w:t xml:space="preserve">Partial observability yeterince iyi tasarlanmış: her agent kritik upstream/downstream servisleri görüyor</w:t>
      </w:r>
    </w:p>
    <w:p>
      <w:pPr>
        <w:pStyle w:val="ListParagraph"/>
        <w:numPr>
          <w:ilvl w:val="0"/>
          <w:numId w:val="2"/>
        </w:numPr>
        <w:spacing w:after="60" w:before="60"/>
      </w:pPr>
      <w:r>
        <w:rPr>
          <w:rFonts w:ascii="Arial" w:cs="Arial" w:eastAsia="Arial" w:hAnsi="Arial"/>
          <w:sz w:val="22"/>
          <w:szCs w:val="22"/>
        </w:rPr>
        <w:t xml:space="preserve">10 adımlık kısa horizon: centralized critic avantajı kendini gösterecek kadar zaman yok</w:t>
      </w:r>
    </w:p>
    <w:p>
      <w:pPr>
        <w:spacing w:after="80" w:before="80"/>
      </w:pPr>
      <w:r>
        <w:rPr>
          <w:rFonts w:ascii="Arial" w:cs="Arial" w:eastAsia="Arial" w:hAnsi="Arial"/>
          <w:b w:val="false"/>
          <w:bCs w:val="false"/>
          <w:i w:val="false"/>
          <w:iCs w:val="false"/>
          <w:color w:val="000000"/>
          <w:sz w:val="22"/>
          <w:szCs w:val="22"/>
        </w:rPr>
        <w:t xml:space="preserve">Her iki açıklama da akademik olarak savunulabilir ve değerlidir.</w:t>
      </w:r>
    </w:p>
    <w:p>
      <w:pPr>
        <w:spacing w:after="100" w:before="100"/>
      </w:pPr>
      <w:r>
        <w:t xml:space="preserve"/>
      </w:r>
    </w:p>
    <w:p>
      <w:pPr>
        <w:pStyle w:val="Heading2"/>
        <w:spacing w:after="150" w:before="300"/>
      </w:pPr>
      <w:r>
        <w:rPr>
          <w:rFonts w:ascii="Arial" w:cs="Arial" w:eastAsia="Arial" w:hAnsi="Arial"/>
          <w:b/>
          <w:bCs/>
          <w:color w:val="154360"/>
          <w:sz w:val="27"/>
          <w:szCs w:val="27"/>
        </w:rPr>
        <w:t xml:space="preserve">2.3 DQN — Deep Q-Network</w:t>
      </w:r>
    </w:p>
    <w:p>
      <w:pPr>
        <w:spacing w:after="100" w:before="200"/>
      </w:pPr>
      <w:r>
        <w:rPr>
          <w:rFonts w:ascii="Arial" w:cs="Arial" w:eastAsia="Arial" w:hAnsi="Arial"/>
          <w:b/>
          <w:bCs/>
          <w:color w:val="555555"/>
          <w:sz w:val="23"/>
          <w:szCs w:val="23"/>
        </w:rPr>
        <w:t xml:space="preserve">Ne Yapar?</w:t>
      </w:r>
    </w:p>
    <w:p>
      <w:pPr>
        <w:spacing w:after="80" w:before="80"/>
      </w:pPr>
      <w:r>
        <w:rPr>
          <w:rFonts w:ascii="Arial" w:cs="Arial" w:eastAsia="Arial" w:hAnsi="Arial"/>
          <w:b w:val="false"/>
          <w:bCs w:val="false"/>
          <w:i w:val="false"/>
          <w:iCs w:val="false"/>
          <w:color w:val="000000"/>
          <w:sz w:val="22"/>
          <w:szCs w:val="22"/>
        </w:rPr>
        <w:t xml:space="preserve">Her state için her aksiyonun uzun vadeli değerini (Q değeri) öğrenir. ε-greedy politika: başta rastgele keşif, sonra öğrenilen değerlere göre hareket.</w:t>
      </w:r>
    </w:p>
    <w:p>
      <w:pPr>
        <w:spacing w:after="100" w:before="100"/>
      </w:pPr>
      <w:r>
        <w:t xml:space="preserve"/>
      </w:r>
    </w:p>
    <w:p>
      <w:pPr>
        <w:spacing w:after="100" w:before="200"/>
      </w:pPr>
      <w:r>
        <w:rPr>
          <w:rFonts w:ascii="Arial" w:cs="Arial" w:eastAsia="Arial" w:hAnsi="Arial"/>
          <w:b/>
          <w:bCs/>
          <w:color w:val="555555"/>
          <w:sz w:val="23"/>
          <w:szCs w:val="23"/>
        </w:rPr>
        <w:t xml:space="preserve">Bu Projede Nasıl Uygulandı?</w:t>
      </w:r>
    </w:p>
    <w:p>
      <w:pPr>
        <w:pStyle w:val="ListParagraph"/>
        <w:numPr>
          <w:ilvl w:val="0"/>
          <w:numId w:val="2"/>
        </w:numPr>
        <w:spacing w:after="60" w:before="60"/>
      </w:pPr>
      <w:r>
        <w:rPr>
          <w:rFonts w:ascii="Arial" w:cs="Arial" w:eastAsia="Arial" w:hAnsi="Arial"/>
          <w:sz w:val="22"/>
          <w:szCs w:val="22"/>
        </w:rPr>
        <w:t xml:space="preserve">Q-Network: obs_dim → 128 → 64 → 3 (Q değerleri)</w:t>
      </w:r>
    </w:p>
    <w:p>
      <w:pPr>
        <w:pStyle w:val="ListParagraph"/>
        <w:numPr>
          <w:ilvl w:val="0"/>
          <w:numId w:val="2"/>
        </w:numPr>
        <w:spacing w:after="60" w:before="60"/>
      </w:pPr>
      <w:r>
        <w:rPr>
          <w:rFonts w:ascii="Arial" w:cs="Arial" w:eastAsia="Arial" w:hAnsi="Arial"/>
          <w:sz w:val="22"/>
          <w:szCs w:val="22"/>
        </w:rPr>
        <w:t xml:space="preserve">Replay buffer: 10,000 geçiş kapasitesi, temporal korelasyonu kırar</w:t>
      </w:r>
    </w:p>
    <w:p>
      <w:pPr>
        <w:pStyle w:val="ListParagraph"/>
        <w:numPr>
          <w:ilvl w:val="0"/>
          <w:numId w:val="2"/>
        </w:numPr>
        <w:spacing w:after="60" w:before="60"/>
      </w:pPr>
      <w:r>
        <w:rPr>
          <w:rFonts w:ascii="Arial" w:cs="Arial" w:eastAsia="Arial" w:hAnsi="Arial"/>
          <w:sz w:val="22"/>
          <w:szCs w:val="22"/>
        </w:rPr>
        <w:t xml:space="preserve">Target network: her 10 update'te senkronize (stabilite için)</w:t>
      </w:r>
    </w:p>
    <w:p>
      <w:pPr>
        <w:pStyle w:val="ListParagraph"/>
        <w:numPr>
          <w:ilvl w:val="0"/>
          <w:numId w:val="2"/>
        </w:numPr>
        <w:spacing w:after="60" w:before="60"/>
      </w:pPr>
      <w:r>
        <w:rPr>
          <w:rFonts w:ascii="Arial" w:cs="Arial" w:eastAsia="Arial" w:hAnsi="Arial"/>
          <w:sz w:val="22"/>
          <w:szCs w:val="22"/>
        </w:rPr>
        <w:t xml:space="preserve">ε: 1.0→0.05 lineer decay, episode ~150'de tamamlanır</w:t>
      </w:r>
    </w:p>
    <w:p>
      <w:pPr>
        <w:pStyle w:val="ListParagraph"/>
        <w:numPr>
          <w:ilvl w:val="0"/>
          <w:numId w:val="2"/>
        </w:numPr>
        <w:spacing w:after="60" w:before="60"/>
      </w:pPr>
      <w:r>
        <w:rPr>
          <w:rFonts w:ascii="Arial" w:cs="Arial" w:eastAsia="Arial" w:hAnsi="Arial"/>
          <w:sz w:val="22"/>
          <w:szCs w:val="22"/>
        </w:rPr>
        <w:t xml:space="preserve">Huber loss: Bellman hedefi için outlier-robust</w:t>
      </w:r>
    </w:p>
    <w:p>
      <w:pPr>
        <w:spacing w:after="100" w:before="100"/>
      </w:pPr>
      <w:r>
        <w:t xml:space="preserve"/>
      </w:r>
    </w:p>
    <w:p>
      <w:pPr>
        <w:spacing w:after="100" w:before="200"/>
      </w:pPr>
      <w:r>
        <w:rPr>
          <w:rFonts w:ascii="Arial" w:cs="Arial" w:eastAsia="Arial" w:hAnsi="Arial"/>
          <w:b/>
          <w:bCs/>
          <w:color w:val="555555"/>
          <w:sz w:val="23"/>
          <w:szCs w:val="23"/>
        </w:rPr>
        <w:t xml:space="preserve">Avantaj ve Dezavantajları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Avantaj</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Dezavantaj</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Replay buffer: veri verimliliği yüksek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Off-policy: DT'nin dinamik değişimlerine geç adapte olur</w:t>
            </w:r>
          </w:p>
        </w:tc>
      </w:tr>
      <w:tr>
        <w:trPr>
          <w:tblHeader w:val="false"/>
        </w:trP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Hızlı yakınsama (~ep 250)</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Q değerleri kısa horizon'da doğru yakınsayamayabilir</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Basit implementasyon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Discrete action için uygun (bizde var), continuous için DDPG gerekir</w:t>
            </w:r>
          </w:p>
        </w:tc>
      </w:tr>
    </w:tbl>
    <w:p>
      <w:pPr>
        <w:spacing w:after="100" w:before="100"/>
      </w:pPr>
      <w:r>
        <w:t xml:space="preserve"/>
      </w:r>
    </w:p>
    <w:p>
      <w:pPr>
        <w:pStyle w:val="Heading2"/>
        <w:spacing w:after="150" w:before="300"/>
      </w:pPr>
      <w:r>
        <w:rPr>
          <w:rFonts w:ascii="Arial" w:cs="Arial" w:eastAsia="Arial" w:hAnsi="Arial"/>
          <w:b/>
          <w:bCs/>
          <w:color w:val="154360"/>
          <w:sz w:val="27"/>
          <w:szCs w:val="27"/>
        </w:rPr>
        <w:t xml:space="preserve">2.4 A2C — Advantage Actor-Critic</w:t>
      </w:r>
    </w:p>
    <w:p>
      <w:pPr>
        <w:spacing w:after="100" w:before="200"/>
      </w:pPr>
      <w:r>
        <w:rPr>
          <w:rFonts w:ascii="Arial" w:cs="Arial" w:eastAsia="Arial" w:hAnsi="Arial"/>
          <w:b/>
          <w:bCs/>
          <w:color w:val="555555"/>
          <w:sz w:val="23"/>
          <w:szCs w:val="23"/>
        </w:rPr>
        <w:t xml:space="preserve">Ne Yapar?</w:t>
      </w:r>
    </w:p>
    <w:p>
      <w:pPr>
        <w:spacing w:after="80" w:before="80"/>
      </w:pPr>
      <w:r>
        <w:rPr>
          <w:rFonts w:ascii="Arial" w:cs="Arial" w:eastAsia="Arial" w:hAnsi="Arial"/>
          <w:b w:val="false"/>
          <w:bCs w:val="false"/>
          <w:i w:val="false"/>
          <w:iCs w:val="false"/>
          <w:color w:val="000000"/>
          <w:sz w:val="22"/>
          <w:szCs w:val="22"/>
        </w:rPr>
        <w:t xml:space="preserve">Her adımda anlık TD hatası (r + γV(s') - V(s)) hesaplanır ve hem actor hem critic güncellenir. Buffer biriktirmez, her adımda öğrenir.</w:t>
      </w:r>
    </w:p>
    <w:p>
      <w:pPr>
        <w:spacing w:after="100" w:before="100"/>
      </w:pPr>
      <w:r>
        <w:t xml:space="preserve"/>
      </w:r>
    </w:p>
    <w:p>
      <w:pPr>
        <w:spacing w:after="100" w:before="200"/>
      </w:pPr>
      <w:r>
        <w:rPr>
          <w:rFonts w:ascii="Arial" w:cs="Arial" w:eastAsia="Arial" w:hAnsi="Arial"/>
          <w:b/>
          <w:bCs/>
          <w:color w:val="555555"/>
          <w:sz w:val="23"/>
          <w:szCs w:val="23"/>
        </w:rPr>
        <w:t xml:space="preserve">Neden En Düşük Performansı Gösterdi?</w:t>
      </w:r>
    </w:p>
    <w:p>
      <w:pPr>
        <w:pStyle w:val="ListParagraph"/>
        <w:numPr>
          <w:ilvl w:val="0"/>
          <w:numId w:val="2"/>
        </w:numPr>
        <w:spacing w:after="60" w:before="60"/>
      </w:pPr>
      <w:r>
        <w:rPr>
          <w:rFonts w:ascii="Arial" w:cs="Arial" w:eastAsia="Arial" w:hAnsi="Arial"/>
          <w:sz w:val="22"/>
          <w:szCs w:val="22"/>
        </w:rPr>
        <w:t xml:space="preserve">Her adımda tek geçişle güncelleme: çok gürültülü gradient</w:t>
      </w:r>
    </w:p>
    <w:p>
      <w:pPr>
        <w:pStyle w:val="ListParagraph"/>
        <w:numPr>
          <w:ilvl w:val="0"/>
          <w:numId w:val="2"/>
        </w:numPr>
        <w:spacing w:after="60" w:before="60"/>
      </w:pPr>
      <w:r>
        <w:rPr>
          <w:rFonts w:ascii="Arial" w:cs="Arial" w:eastAsia="Arial" w:hAnsi="Arial"/>
          <w:sz w:val="22"/>
          <w:szCs w:val="22"/>
        </w:rPr>
        <w:t xml:space="preserve">10 adımlık kısa episode: yeterli temporal bilgi birikmiyor</w:t>
      </w:r>
    </w:p>
    <w:p>
      <w:pPr>
        <w:pStyle w:val="ListParagraph"/>
        <w:numPr>
          <w:ilvl w:val="0"/>
          <w:numId w:val="2"/>
        </w:numPr>
        <w:spacing w:after="60" w:before="60"/>
      </w:pPr>
      <w:r>
        <w:rPr>
          <w:rFonts w:ascii="Arial" w:cs="Arial" w:eastAsia="Arial" w:hAnsi="Arial"/>
          <w:sz w:val="22"/>
          <w:szCs w:val="22"/>
        </w:rPr>
        <w:t xml:space="preserve">IPPO/MAPPO farkı: K_epochs=8 ile aynı veriyi tekrar kullanmak çok daha verimli</w:t>
      </w:r>
    </w:p>
    <w:p>
      <w:pPr>
        <w:spacing w:after="80" w:before="80"/>
      </w:pPr>
      <w:r>
        <w:rPr>
          <w:rFonts w:ascii="Arial" w:cs="Arial" w:eastAsia="Arial" w:hAnsi="Arial"/>
          <w:b w:val="false"/>
          <w:bCs w:val="false"/>
          <w:i w:val="false"/>
          <w:iCs w:val="false"/>
          <w:color w:val="000000"/>
          <w:sz w:val="22"/>
          <w:szCs w:val="22"/>
        </w:rPr>
        <w:t xml:space="preserve">Sonuç: A2C teorik olarak IPPO'nun basitleştirilmiş versiyonu ama kısa episodlarda performans kaybı büyük.</w:t>
      </w:r>
    </w:p>
    <w:p>
      <w:pPr>
        <w:spacing w:after="100" w:before="100"/>
      </w:pPr>
      <w:r>
        <w:t xml:space="preserve"/>
      </w:r>
    </w:p>
    <w:p>
      <w:pPr>
        <w:pStyle w:val="Heading2"/>
        <w:spacing w:after="150" w:before="300"/>
      </w:pPr>
      <w:r>
        <w:rPr>
          <w:rFonts w:ascii="Arial" w:cs="Arial" w:eastAsia="Arial" w:hAnsi="Arial"/>
          <w:b/>
          <w:bCs/>
          <w:color w:val="154360"/>
          <w:sz w:val="27"/>
          <w:szCs w:val="27"/>
        </w:rPr>
        <w:t xml:space="preserve">2.5 QMIX — Monotonic Value Factorisation</w:t>
      </w:r>
    </w:p>
    <w:p>
      <w:pPr>
        <w:spacing w:after="100" w:before="200"/>
      </w:pPr>
      <w:r>
        <w:rPr>
          <w:rFonts w:ascii="Arial" w:cs="Arial" w:eastAsia="Arial" w:hAnsi="Arial"/>
          <w:b/>
          <w:bCs/>
          <w:color w:val="555555"/>
          <w:sz w:val="23"/>
          <w:szCs w:val="23"/>
        </w:rPr>
        <w:t xml:space="preserve">Ne Yapar?</w:t>
      </w:r>
    </w:p>
    <w:p>
      <w:pPr>
        <w:spacing w:after="80" w:before="80"/>
      </w:pPr>
      <w:r>
        <w:rPr>
          <w:rFonts w:ascii="Arial" w:cs="Arial" w:eastAsia="Arial" w:hAnsi="Arial"/>
          <w:b w:val="false"/>
          <w:bCs w:val="false"/>
          <w:i w:val="false"/>
          <w:iCs w:val="false"/>
          <w:color w:val="000000"/>
          <w:sz w:val="22"/>
          <w:szCs w:val="22"/>
        </w:rPr>
        <w:t xml:space="preserve">Her agent lokal Q değeri öğrenir, bir 'mixing network' bunları global Qtot'a birleştirir. Monotonicity constraint: bireysel Q'lar artınca global Q da artar.</w:t>
      </w:r>
    </w:p>
    <w:p>
      <w:pPr>
        <w:spacing w:after="100" w:before="100"/>
      </w:pPr>
      <w:r>
        <w:t xml:space="preserve"/>
      </w:r>
    </w:p>
    <w:p>
      <w:pPr>
        <w:spacing w:after="100" w:before="200"/>
      </w:pPr>
      <w:r>
        <w:rPr>
          <w:rFonts w:ascii="Arial" w:cs="Arial" w:eastAsia="Arial" w:hAnsi="Arial"/>
          <w:b/>
          <w:bCs/>
          <w:color w:val="555555"/>
          <w:sz w:val="23"/>
          <w:szCs w:val="23"/>
        </w:rPr>
        <w:t xml:space="preserve">Neden Başarısız Oldu?</w:t>
      </w:r>
    </w:p>
    <w:p>
      <w:pPr>
        <w:pBdr>
          <w:left w:val="single" w:color="C0392B" w:sz="12" w:space="4"/>
        </w:pBdr>
        <w:shd w:fill="FADBD8" w:val="clear"/>
        <w:spacing w:after="120" w:before="120"/>
        <w:ind w:left="360" w:right="360"/>
      </w:pPr>
      <w:r>
        <w:rPr>
          <w:rFonts w:ascii="Arial" w:cs="Arial" w:eastAsia="Arial" w:hAnsi="Arial"/>
          <w:i/>
          <w:iCs/>
          <w:sz w:val="21"/>
          <w:szCs w:val="21"/>
        </w:rPr>
        <w:t xml:space="preserve">QMIX eğitiminde Bellman loss 10¹² mertebesine ulaştı — Q değerleri diverge etti. Bu kısa horizon'un (10 adım) value decomposition ile uyumsuzluğundan kaynaklanıyor.</w:t>
      </w:r>
    </w:p>
    <w:p>
      <w:pPr>
        <w:pStyle w:val="ListParagraph"/>
        <w:numPr>
          <w:ilvl w:val="0"/>
          <w:numId w:val="2"/>
        </w:numPr>
        <w:spacing w:after="60" w:before="60"/>
      </w:pPr>
      <w:r>
        <w:rPr>
          <w:rFonts w:ascii="Arial" w:cs="Arial" w:eastAsia="Arial" w:hAnsi="Arial"/>
          <w:sz w:val="22"/>
          <w:szCs w:val="22"/>
        </w:rPr>
        <w:t xml:space="preserve">Kısa horizon sorunu: 10 adımda Q değerleri anlamlı uzun vadeli tahmin yapamaz</w:t>
      </w:r>
    </w:p>
    <w:p>
      <w:pPr>
        <w:pStyle w:val="ListParagraph"/>
        <w:numPr>
          <w:ilvl w:val="0"/>
          <w:numId w:val="2"/>
        </w:numPr>
        <w:spacing w:after="60" w:before="60"/>
      </w:pPr>
      <w:r>
        <w:rPr>
          <w:rFonts w:ascii="Arial" w:cs="Arial" w:eastAsia="Arial" w:hAnsi="Arial"/>
          <w:sz w:val="22"/>
          <w:szCs w:val="22"/>
        </w:rPr>
        <w:t xml:space="preserve">Mixing network amplifikasyonu: lokal Q hatalar mixing network'te katlanarak büyür</w:t>
      </w:r>
    </w:p>
    <w:p>
      <w:pPr>
        <w:pStyle w:val="ListParagraph"/>
        <w:numPr>
          <w:ilvl w:val="0"/>
          <w:numId w:val="2"/>
        </w:numPr>
        <w:spacing w:after="60" w:before="60"/>
      </w:pPr>
      <w:r>
        <w:rPr>
          <w:rFonts w:ascii="Arial" w:cs="Arial" w:eastAsia="Arial" w:hAnsi="Arial"/>
          <w:sz w:val="22"/>
          <w:szCs w:val="22"/>
        </w:rPr>
        <w:t xml:space="preserve">Düzeltme denemeleri (LR düşürme, target sync sıklaştırma) etkisiz kaldı</w:t>
      </w:r>
    </w:p>
    <w:p>
      <w:pPr>
        <w:spacing w:after="80" w:before="80"/>
      </w:pPr>
      <w:r>
        <w:rPr>
          <w:rFonts w:ascii="Arial" w:cs="Arial" w:eastAsia="Arial" w:hAnsi="Arial"/>
          <w:b w:val="false"/>
          <w:bCs w:val="false"/>
          <w:i w:val="false"/>
          <w:iCs w:val="false"/>
          <w:color w:val="000000"/>
          <w:sz w:val="22"/>
          <w:szCs w:val="22"/>
        </w:rPr>
        <w:t xml:space="preserve">Bu literatüre özgün bir katkı: 'Kısa horizon MARL problemlerinde value decomposition yöntemlerinin sınırı.'</w:t>
      </w:r>
    </w:p>
    <w:p>
      <w:pPr>
        <w:spacing w:after="100" w:before="100"/>
      </w:pPr>
      <w:r>
        <w:t xml:space="preserve"/>
      </w:r>
    </w:p>
    <w:p>
      <w:pPr>
        <w:pStyle w:val="Heading2"/>
        <w:spacing w:after="150" w:before="300"/>
      </w:pPr>
      <w:r>
        <w:rPr>
          <w:rFonts w:ascii="Arial" w:cs="Arial" w:eastAsia="Arial" w:hAnsi="Arial"/>
          <w:b/>
          <w:bCs/>
          <w:color w:val="154360"/>
          <w:sz w:val="27"/>
          <w:szCs w:val="27"/>
        </w:rPr>
        <w:t xml:space="preserve">2.6 Neden IPPO/MAPPO Daha İyi Çıktı? — Özet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76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Algoritma</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Kısa Horizon Uyumu</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Partial Obs Uyumu</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Sonuç</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IPPO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8449"/>
                <w:sz w:val="19"/>
                <w:szCs w:val="19"/>
              </w:rPr>
              <w:t xml:space="preserve">✓ PPO-clip kararlı</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8449"/>
                <w:sz w:val="19"/>
                <w:szCs w:val="19"/>
              </w:rPr>
              <w:t xml:space="preserve">✓ Doğal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En iyi</w:t>
            </w:r>
          </w:p>
        </w:tc>
      </w:tr>
      <w:tr>
        <w:trPr>
          <w:tblHeader w:val="false"/>
        </w:trP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MAPPO</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1E8449"/>
                <w:sz w:val="19"/>
                <w:szCs w:val="19"/>
              </w:rPr>
              <w:t xml:space="preserve">✓ PPO-clip kararlı</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1E8449"/>
                <w:sz w:val="19"/>
                <w:szCs w:val="19"/>
              </w:rPr>
              <w:t xml:space="preserve">✓ CTDE ile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Eşdeğer</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DQN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 Hızlı ama kısa Q-horizon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8449"/>
                <w:sz w:val="19"/>
                <w:szCs w:val="19"/>
              </w:rPr>
              <w:t xml:space="preserve">✓ Bağımsız</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İyi ama IPPO altı</w:t>
            </w:r>
          </w:p>
        </w:tc>
      </w:tr>
      <w:tr>
        <w:trPr>
          <w:tblHeader w:val="false"/>
        </w:trP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A2C</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C0392B"/>
                <w:sz w:val="19"/>
                <w:szCs w:val="19"/>
              </w:rPr>
              <w:t xml:space="preserve">✗ Gürültülü anlık update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1E8449"/>
                <w:sz w:val="19"/>
                <w:szCs w:val="19"/>
              </w:rPr>
              <w:t xml:space="preserve">✓ Bağımsız</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Zayıf</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QMIX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C0392B"/>
                <w:sz w:val="19"/>
                <w:szCs w:val="19"/>
              </w:rPr>
              <w:t xml:space="preserve">✗ Value decomp. diverge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 Global mixing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Başarısız</w:t>
            </w:r>
          </w:p>
        </w:tc>
      </w:tr>
    </w:tbl>
    <w:p>
      <w:r>
        <w:br w:type="page"/>
      </w:r>
    </w:p>
    <w:p>
      <w:pPr>
        <w:pStyle w:val="Heading1"/>
        <w:pBdr>
          <w:bottom w:val="single" w:color="1F4E79" w:sz="6" w:space="2"/>
        </w:pBdr>
        <w:spacing w:after="200" w:before="400"/>
      </w:pPr>
      <w:r>
        <w:rPr>
          <w:rFonts w:ascii="Arial" w:cs="Arial" w:eastAsia="Arial" w:hAnsi="Arial"/>
          <w:b/>
          <w:bCs/>
          <w:color w:val="1F4E79"/>
          <w:sz w:val="34"/>
          <w:szCs w:val="34"/>
        </w:rPr>
        <w:t xml:space="preserve">3. Makaleye Yazım Desteği</w:t>
      </w:r>
    </w:p>
    <w:p>
      <w:pPr>
        <w:spacing w:after="100" w:before="100"/>
      </w:pPr>
      <w:r>
        <w:t xml:space="preserve"/>
      </w:r>
    </w:p>
    <w:p>
      <w:pPr>
        <w:pStyle w:val="Heading2"/>
        <w:spacing w:after="150" w:before="300"/>
      </w:pPr>
      <w:r>
        <w:rPr>
          <w:rFonts w:ascii="Arial" w:cs="Arial" w:eastAsia="Arial" w:hAnsi="Arial"/>
          <w:b/>
          <w:bCs/>
          <w:color w:val="154360"/>
          <w:sz w:val="27"/>
          <w:szCs w:val="27"/>
        </w:rPr>
        <w:t xml:space="preserve">3.1 Methodology Bölümü</w:t>
      </w:r>
    </w:p>
    <w:p>
      <w:pPr>
        <w:spacing w:after="100" w:before="200"/>
      </w:pPr>
      <w:r>
        <w:rPr>
          <w:rFonts w:ascii="Arial" w:cs="Arial" w:eastAsia="Arial" w:hAnsi="Arial"/>
          <w:b/>
          <w:bCs/>
          <w:color w:val="555555"/>
          <w:sz w:val="23"/>
          <w:szCs w:val="23"/>
        </w:rPr>
        <w:t xml:space="preserve">MARL Ortamı</w:t>
      </w:r>
    </w:p>
    <w:p>
      <w:pPr>
        <w:spacing w:after="80" w:before="80"/>
      </w:pPr>
      <w:r>
        <w:rPr>
          <w:rFonts w:ascii="Arial" w:cs="Arial" w:eastAsia="Arial" w:hAnsi="Arial"/>
          <w:b w:val="false"/>
          <w:bCs w:val="false"/>
          <w:i w:val="false"/>
          <w:iCs w:val="false"/>
          <w:color w:val="000000"/>
          <w:sz w:val="22"/>
          <w:szCs w:val="22"/>
        </w:rPr>
        <w:t xml:space="preserve">Şöyle yazılabilir:</w:t>
      </w:r>
    </w:p>
    <w:p>
      <w:pPr>
        <w:pBdr>
          <w:left w:val="single" w:color="1F4E79" w:sz="12" w:space="4"/>
        </w:pBdr>
        <w:shd w:fill="D6E4F0" w:val="clear"/>
        <w:spacing w:after="120" w:before="120"/>
        <w:ind w:left="360" w:right="360"/>
      </w:pPr>
      <w:r>
        <w:rPr>
          <w:rFonts w:ascii="Arial" w:cs="Arial" w:eastAsia="Arial" w:hAnsi="Arial"/>
          <w:i/>
          <w:iCs/>
          <w:sz w:val="21"/>
          <w:szCs w:val="21"/>
        </w:rPr>
        <w:t xml:space="preserve">The MARL environment is implemented as a Digital Twin wrapper following a Gym-like interface. At each timestep, six agents simultaneously select pod scaling actions {-1, 0, +1} for their respective microservices. The Digital Twin predicts the next system state given the current state and joint action vector, enabling offline policy learning without interacting with the live cluster.</w:t>
      </w:r>
    </w:p>
    <w:p>
      <w:pPr>
        <w:spacing w:after="100" w:before="100"/>
      </w:pPr>
      <w:r>
        <w:t xml:space="preserve"/>
      </w:r>
    </w:p>
    <w:p>
      <w:pPr>
        <w:spacing w:after="100" w:before="200"/>
      </w:pPr>
      <w:r>
        <w:rPr>
          <w:rFonts w:ascii="Arial" w:cs="Arial" w:eastAsia="Arial" w:hAnsi="Arial"/>
          <w:b/>
          <w:bCs/>
          <w:color w:val="555555"/>
          <w:sz w:val="23"/>
          <w:szCs w:val="23"/>
        </w:rPr>
        <w:t xml:space="preserve">Partial Observability</w:t>
      </w:r>
    </w:p>
    <w:p>
      <w:pPr>
        <w:pBdr>
          <w:left w:val="single" w:color="1F4E79" w:sz="12" w:space="4"/>
        </w:pBdr>
        <w:shd w:fill="D6E4F0" w:val="clear"/>
        <w:spacing w:after="120" w:before="120"/>
        <w:ind w:left="360" w:right="360"/>
      </w:pPr>
      <w:r>
        <w:rPr>
          <w:rFonts w:ascii="Arial" w:cs="Arial" w:eastAsia="Arial" w:hAnsi="Arial"/>
          <w:i/>
          <w:iCs/>
          <w:sz w:val="21"/>
          <w:szCs w:val="21"/>
        </w:rPr>
        <w:t xml:space="preserve">Each agent observes a partial view of the global state comprising its own service metrics (5 dimensions) and those of its direct neighbors in the service call graph derived from runtime traffic analysis. This design reflects realistic deployment constraints where individual microservices lack global system visibility.</w:t>
      </w:r>
    </w:p>
    <w:p>
      <w:pPr>
        <w:spacing w:after="100" w:before="100"/>
      </w:pPr>
      <w:r>
        <w:t xml:space="preserve"/>
      </w:r>
    </w:p>
    <w:p>
      <w:pPr>
        <w:spacing w:after="100" w:before="200"/>
      </w:pPr>
      <w:r>
        <w:rPr>
          <w:rFonts w:ascii="Arial" w:cs="Arial" w:eastAsia="Arial" w:hAnsi="Arial"/>
          <w:b/>
          <w:bCs/>
          <w:color w:val="555555"/>
          <w:sz w:val="23"/>
          <w:szCs w:val="23"/>
        </w:rPr>
        <w:t xml:space="preserve">Reward Fonksiyonu</w:t>
      </w:r>
    </w:p>
    <w:p>
      <w:pPr>
        <w:pBdr>
          <w:left w:val="single" w:color="1F4E79" w:sz="12" w:space="4"/>
        </w:pBdr>
        <w:shd w:fill="D6E4F0" w:val="clear"/>
        <w:spacing w:after="120" w:before="120"/>
        <w:ind w:left="360" w:right="360"/>
      </w:pPr>
      <w:r>
        <w:rPr>
          <w:rFonts w:ascii="Arial" w:cs="Arial" w:eastAsia="Arial" w:hAnsi="Arial"/>
          <w:i/>
          <w:iCs/>
          <w:sz w:val="21"/>
          <w:szCs w:val="21"/>
        </w:rPr>
        <w:t xml:space="preserve">The reward signal balances latency minimization and resource efficiency. For each reward-eligible service i, the contribution is computed as tanh(1 − λᵢ/p50ᵢ) × wᵢ, where λᵢ is the normalized latency and p50ᵢ is the dataset-computed median. A pod cost penalty of 0.05 per pod discourages over-provisioning. Payment service is excluded due to structural measurement gaps caused by the shipping bottleneck (Option C).</w:t>
      </w:r>
    </w:p>
    <w:p>
      <w:pPr>
        <w:spacing w:after="100" w:before="100"/>
      </w:pPr>
      <w:r>
        <w:t xml:space="preserve"/>
      </w:r>
    </w:p>
    <w:p>
      <w:pPr>
        <w:pStyle w:val="Heading2"/>
        <w:spacing w:after="150" w:before="300"/>
      </w:pPr>
      <w:r>
        <w:rPr>
          <w:rFonts w:ascii="Arial" w:cs="Arial" w:eastAsia="Arial" w:hAnsi="Arial"/>
          <w:b/>
          <w:bCs/>
          <w:color w:val="154360"/>
          <w:sz w:val="27"/>
          <w:szCs w:val="27"/>
        </w:rPr>
        <w:t xml:space="preserve">3.2 Experimental Setup</w:t>
      </w:r>
    </w:p>
    <w:p>
      <w:pPr>
        <w:spacing w:after="80" w:before="80"/>
      </w:pPr>
      <w:r>
        <w:rPr>
          <w:rFonts w:ascii="Arial" w:cs="Arial" w:eastAsia="Arial" w:hAnsi="Arial"/>
          <w:b w:val="false"/>
          <w:bCs w:val="false"/>
          <w:i w:val="false"/>
          <w:iCs w:val="false"/>
          <w:color w:val="000000"/>
          <w:sz w:val="22"/>
          <w:szCs w:val="22"/>
        </w:rPr>
        <w:t xml:space="preserve">Vurgulanması gerekenler:</w:t>
      </w:r>
    </w:p>
    <w:p>
      <w:pPr>
        <w:pStyle w:val="ListParagraph"/>
        <w:numPr>
          <w:ilvl w:val="0"/>
          <w:numId w:val="2"/>
        </w:numPr>
        <w:spacing w:after="60" w:before="60"/>
      </w:pPr>
      <w:r>
        <w:rPr>
          <w:rFonts w:ascii="Arial" w:cs="Arial" w:eastAsia="Arial" w:hAnsi="Arial"/>
          <w:sz w:val="22"/>
          <w:szCs w:val="22"/>
        </w:rPr>
        <w:t xml:space="preserve">14,390 SAR geçişi, 10 farklı yük seviyesi (40-500 eşzamanlı kullanıcı)</w:t>
      </w:r>
    </w:p>
    <w:p>
      <w:pPr>
        <w:pStyle w:val="ListParagraph"/>
        <w:numPr>
          <w:ilvl w:val="0"/>
          <w:numId w:val="2"/>
        </w:numPr>
        <w:spacing w:after="60" w:before="60"/>
      </w:pPr>
      <w:r>
        <w:rPr>
          <w:rFonts w:ascii="Arial" w:cs="Arial" w:eastAsia="Arial" w:hAnsi="Arial"/>
          <w:sz w:val="22"/>
          <w:szCs w:val="22"/>
        </w:rPr>
        <w:t xml:space="preserve">Test seti: son %20 (temporally disjoint, 2,878 state)</w:t>
      </w:r>
    </w:p>
    <w:p>
      <w:pPr>
        <w:pStyle w:val="ListParagraph"/>
        <w:numPr>
          <w:ilvl w:val="0"/>
          <w:numId w:val="2"/>
        </w:numPr>
        <w:spacing w:after="60" w:before="60"/>
      </w:pPr>
      <w:r>
        <w:rPr>
          <w:rFonts w:ascii="Arial" w:cs="Arial" w:eastAsia="Arial" w:hAnsi="Arial"/>
          <w:sz w:val="22"/>
          <w:szCs w:val="22"/>
        </w:rPr>
        <w:t xml:space="preserve">Her politika: 200 episode × 10 adım değerlendirme</w:t>
      </w:r>
    </w:p>
    <w:p>
      <w:pPr>
        <w:pStyle w:val="ListParagraph"/>
        <w:numPr>
          <w:ilvl w:val="0"/>
          <w:numId w:val="2"/>
        </w:numPr>
        <w:spacing w:after="60" w:before="60"/>
      </w:pPr>
      <w:r>
        <w:rPr>
          <w:rFonts w:ascii="Arial" w:cs="Arial" w:eastAsia="Arial" w:hAnsi="Arial"/>
          <w:sz w:val="22"/>
          <w:szCs w:val="22"/>
        </w:rPr>
        <w:t xml:space="preserve">Seed: 42 (stabilite testi: 5 seed, mean±std raporlanmış)</w:t>
      </w:r>
    </w:p>
    <w:p>
      <w:pPr>
        <w:pStyle w:val="ListParagraph"/>
        <w:numPr>
          <w:ilvl w:val="0"/>
          <w:numId w:val="2"/>
        </w:numPr>
        <w:spacing w:after="60" w:before="60"/>
      </w:pPr>
      <w:r>
        <w:rPr>
          <w:rFonts w:ascii="Arial" w:cs="Arial" w:eastAsia="Arial" w:hAnsi="Arial"/>
          <w:sz w:val="22"/>
          <w:szCs w:val="22"/>
        </w:rPr>
        <w:t xml:space="preserve">İstatistiksel test: iki örneklem t-testi (α=0.05)</w:t>
      </w:r>
    </w:p>
    <w:p>
      <w:pPr>
        <w:pStyle w:val="ListParagraph"/>
        <w:numPr>
          <w:ilvl w:val="0"/>
          <w:numId w:val="2"/>
        </w:numPr>
        <w:spacing w:after="60" w:before="60"/>
      </w:pPr>
      <w:r>
        <w:rPr>
          <w:rFonts w:ascii="Arial" w:cs="Arial" w:eastAsia="Arial" w:hAnsi="Arial"/>
          <w:sz w:val="22"/>
          <w:szCs w:val="22"/>
        </w:rPr>
        <w:t xml:space="preserve">Convergence analizi: son 500 vs önceki 500 ep ortalama Δ ve linear trend eğimi</w:t>
      </w:r>
    </w:p>
    <w:p>
      <w:pPr>
        <w:spacing w:after="100" w:before="100"/>
      </w:pPr>
      <w:r>
        <w:t xml:space="preserve"/>
      </w:r>
    </w:p>
    <w:p>
      <w:pPr>
        <w:pStyle w:val="Heading2"/>
        <w:spacing w:after="150" w:before="300"/>
      </w:pPr>
      <w:r>
        <w:rPr>
          <w:rFonts w:ascii="Arial" w:cs="Arial" w:eastAsia="Arial" w:hAnsi="Arial"/>
          <w:b/>
          <w:bCs/>
          <w:color w:val="154360"/>
          <w:sz w:val="27"/>
          <w:szCs w:val="27"/>
        </w:rPr>
        <w:t xml:space="preserve">3.3 Results &amp; Discussion</w:t>
      </w:r>
    </w:p>
    <w:p>
      <w:pPr>
        <w:spacing w:after="100" w:before="200"/>
      </w:pPr>
      <w:r>
        <w:rPr>
          <w:rFonts w:ascii="Arial" w:cs="Arial" w:eastAsia="Arial" w:hAnsi="Arial"/>
          <w:b/>
          <w:bCs/>
          <w:color w:val="555555"/>
          <w:sz w:val="23"/>
          <w:szCs w:val="23"/>
        </w:rPr>
        <w:t xml:space="preserve">Ana Sonuçlar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Politika</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Ort. Reward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vs Rule-based</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İstatistik</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MAPPO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-2.521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+13.311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p&lt;0.0001</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IPPO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-2.563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+13.269</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p&lt;0.0001</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DQN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-5.833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+9.999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p&lt;0.0001</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A2C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-10.247</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+5.585</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p&lt;0.001</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Rule-based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-15.832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Referans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QMIX</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-17.078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-1.246</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p&lt;0.0001 (kötü)</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Random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-25.921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-10.089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r>
    </w:tbl>
    <w:p>
      <w:pPr>
        <w:spacing w:after="100" w:before="100"/>
      </w:pPr>
      <w:r>
        <w:t xml:space="preserve"/>
      </w:r>
    </w:p>
    <w:p>
      <w:pPr>
        <w:spacing w:after="100" w:before="200"/>
      </w:pPr>
      <w:r>
        <w:rPr>
          <w:rFonts w:ascii="Arial" w:cs="Arial" w:eastAsia="Arial" w:hAnsi="Arial"/>
          <w:b/>
          <w:bCs/>
          <w:color w:val="555555"/>
          <w:sz w:val="23"/>
          <w:szCs w:val="23"/>
        </w:rPr>
        <w:t xml:space="preserve">Latency İyileşmesi (IPPO vs Rule-based)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400"/>
        <w:gridCol w:w="31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Servis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Rule-based (ms)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IPPO (ms)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Δ (ms)</w:t>
            </w:r>
          </w:p>
        </w:tc>
        <w:tc>
          <w:tcPr>
            <w:tcW w:type="dxa" w:w="3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Δ (%)</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187.0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125.5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-61.5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-32.9%</w:t>
            </w:r>
          </w:p>
        </w:tc>
      </w:tr>
      <w:tr>
        <w:trPr>
          <w:tblHeader w:val="false"/>
        </w:trP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catalogue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119.1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61.7</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-57.3</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-48.2%</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ratings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1,112.2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890.9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-221.2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-19.9%</w:t>
            </w:r>
          </w:p>
        </w:tc>
      </w:tr>
      <w:tr>
        <w:trPr>
          <w:tblHeader w:val="false"/>
        </w:trP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user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47.3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19.7</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-27.6</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-58.4%</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shipping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17,492.9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19,996.0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+2,503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+14.3% (action space sınırı)</w:t>
            </w:r>
          </w:p>
        </w:tc>
      </w:tr>
    </w:tbl>
    <w:p>
      <w:pPr>
        <w:spacing w:after="100" w:before="100"/>
      </w:pPr>
      <w:r>
        <w:t xml:space="preserve"/>
      </w:r>
    </w:p>
    <w:p>
      <w:pPr>
        <w:pStyle w:val="Heading2"/>
        <w:spacing w:after="150" w:before="300"/>
      </w:pPr>
      <w:r>
        <w:rPr>
          <w:rFonts w:ascii="Arial" w:cs="Arial" w:eastAsia="Arial" w:hAnsi="Arial"/>
          <w:b/>
          <w:bCs/>
          <w:color w:val="154360"/>
          <w:sz w:val="27"/>
          <w:szCs w:val="27"/>
        </w:rPr>
        <w:t xml:space="preserve">3.4 Shipping Bottleneck — Akademik Yorum</w:t>
      </w:r>
    </w:p>
    <w:p>
      <w:pPr>
        <w:pBdr>
          <w:left w:val="single" w:color="D35400" w:sz="12" w:space="4"/>
        </w:pBdr>
        <w:shd w:fill="FDEBD0" w:val="clear"/>
        <w:spacing w:after="120" w:before="120"/>
        <w:ind w:left="360" w:right="360"/>
      </w:pPr>
      <w:r>
        <w:rPr>
          <w:rFonts w:ascii="Arial" w:cs="Arial" w:eastAsia="Arial" w:hAnsi="Arial"/>
          <w:i/>
          <w:iCs/>
          <w:sz w:val="21"/>
          <w:szCs w:val="21"/>
        </w:rPr>
        <w:t xml:space="preserve">The shipping service exhibits pod-insensitive latency behavior throughout all evaluated algorithms. This is attributed to its I/O-bound nature: the service performs synchronous database writes during order confirmation, and latency is primarily determined by database response time rather than pod count. This represents an action space coverage gap — the current pod-scaling action space cannot address database-level bottlenecks. Future work may explore extended action spaces including connection pool tuning and asynchronous processing.</w:t>
      </w:r>
    </w:p>
    <w:p>
      <w:pPr>
        <w:spacing w:after="100" w:before="100"/>
      </w:pPr>
      <w:r>
        <w:t xml:space="preserve"/>
      </w:r>
    </w:p>
    <w:p>
      <w:pPr>
        <w:spacing w:after="80" w:before="80"/>
      </w:pPr>
      <w:r>
        <w:rPr>
          <w:rFonts w:ascii="Arial" w:cs="Arial" w:eastAsia="Arial" w:hAnsi="Arial"/>
          <w:b w:val="false"/>
          <w:bCs w:val="false"/>
          <w:i w:val="false"/>
          <w:iCs w:val="false"/>
          <w:color w:val="000000"/>
          <w:sz w:val="22"/>
          <w:szCs w:val="22"/>
        </w:rPr>
        <w:t xml:space="preserve">Bu paragraph için anahtar ifadeler:</w:t>
      </w:r>
    </w:p>
    <w:p>
      <w:pPr>
        <w:pStyle w:val="ListParagraph"/>
        <w:numPr>
          <w:ilvl w:val="0"/>
          <w:numId w:val="2"/>
        </w:numPr>
        <w:spacing w:after="60" w:before="60"/>
      </w:pPr>
      <w:r>
        <w:rPr>
          <w:rFonts w:ascii="Arial" w:cs="Arial" w:eastAsia="Arial" w:hAnsi="Arial"/>
          <w:sz w:val="22"/>
          <w:szCs w:val="22"/>
        </w:rPr>
        <w:t xml:space="preserve">'pod-insensitive bottleneck' — akademik terminoloji</w:t>
      </w:r>
    </w:p>
    <w:p>
      <w:pPr>
        <w:pStyle w:val="ListParagraph"/>
        <w:numPr>
          <w:ilvl w:val="0"/>
          <w:numId w:val="2"/>
        </w:numPr>
        <w:spacing w:after="60" w:before="60"/>
      </w:pPr>
      <w:r>
        <w:rPr>
          <w:rFonts w:ascii="Arial" w:cs="Arial" w:eastAsia="Arial" w:hAnsi="Arial"/>
          <w:sz w:val="22"/>
          <w:szCs w:val="22"/>
        </w:rPr>
        <w:t xml:space="preserve">'action space coverage gap' — literatürde bilinen kavram</w:t>
      </w:r>
    </w:p>
    <w:p>
      <w:pPr>
        <w:pStyle w:val="ListParagraph"/>
        <w:numPr>
          <w:ilvl w:val="0"/>
          <w:numId w:val="2"/>
        </w:numPr>
        <w:spacing w:after="60" w:before="60"/>
      </w:pPr>
      <w:r>
        <w:rPr>
          <w:rFonts w:ascii="Arial" w:cs="Arial" w:eastAsia="Arial" w:hAnsi="Arial"/>
          <w:sz w:val="22"/>
          <w:szCs w:val="22"/>
        </w:rPr>
        <w:t xml:space="preserve">'I/O-bound' vs 'CPU-bound' ayrımı — teknik doğruluk</w:t>
      </w:r>
    </w:p>
    <w:p>
      <w:pPr>
        <w:pStyle w:val="ListParagraph"/>
        <w:numPr>
          <w:ilvl w:val="0"/>
          <w:numId w:val="2"/>
        </w:numPr>
        <w:spacing w:after="60" w:before="60"/>
      </w:pPr>
      <w:r>
        <w:rPr>
          <w:rFonts w:ascii="Arial" w:cs="Arial" w:eastAsia="Arial" w:hAnsi="Arial"/>
          <w:sz w:val="22"/>
          <w:szCs w:val="22"/>
        </w:rPr>
        <w:t xml:space="preserve">Future work olarak konumlandırma — çözümsüzlük değil, kapsam sınırı</w:t>
      </w:r>
    </w:p>
    <w:p>
      <w:pPr>
        <w:spacing w:after="100" w:before="100"/>
      </w:pPr>
      <w:r>
        <w:t xml:space="preserve"/>
      </w:r>
    </w:p>
    <w:p>
      <w:pPr>
        <w:pStyle w:val="Heading2"/>
        <w:spacing w:after="150" w:before="300"/>
      </w:pPr>
      <w:r>
        <w:rPr>
          <w:rFonts w:ascii="Arial" w:cs="Arial" w:eastAsia="Arial" w:hAnsi="Arial"/>
          <w:b/>
          <w:bCs/>
          <w:color w:val="154360"/>
          <w:sz w:val="27"/>
          <w:szCs w:val="27"/>
        </w:rPr>
        <w:t xml:space="preserve">3.5 Convergence/Stability/Ablation Yazımı</w:t>
      </w:r>
    </w:p>
    <w:p>
      <w:pPr>
        <w:spacing w:after="100" w:before="200"/>
      </w:pPr>
      <w:r>
        <w:rPr>
          <w:rFonts w:ascii="Arial" w:cs="Arial" w:eastAsia="Arial" w:hAnsi="Arial"/>
          <w:b/>
          <w:bCs/>
          <w:color w:val="555555"/>
          <w:sz w:val="23"/>
          <w:szCs w:val="23"/>
        </w:rPr>
        <w:t xml:space="preserve">Convergence</w:t>
      </w:r>
    </w:p>
    <w:p>
      <w:pPr>
        <w:pBdr>
          <w:left w:val="single" w:color="1F4E79" w:sz="12" w:space="4"/>
        </w:pBdr>
        <w:shd w:fill="D6E4F0" w:val="clear"/>
        <w:spacing w:after="120" w:before="120"/>
        <w:ind w:left="360" w:right="360"/>
      </w:pPr>
      <w:r>
        <w:rPr>
          <w:rFonts w:ascii="Arial" w:cs="Arial" w:eastAsia="Arial" w:hAnsi="Arial"/>
          <w:i/>
          <w:iCs/>
          <w:sz w:val="21"/>
          <w:szCs w:val="21"/>
        </w:rPr>
        <w:t xml:space="preserve">Convergence was assessed using two complementary metrics: (1) the difference between the last 500 and previous 500 episode mean rewards (Δ), and (2) the linear trend slope over the final 500 episodes. IPPO achieved Δ=−0.11 with slope=0.0044, MAPPO Δ=+1.29 with slope≈0, DQN Δ=+0.52 with slope=−0.005, and A2C Δ=+0.05 with slope=−0.003, all indicating practical convergence. QMIX exhibited divergent behavior (slope=−0.013), consistent with training instability.</w:t>
      </w:r>
    </w:p>
    <w:p>
      <w:pPr>
        <w:spacing w:after="100" w:before="100"/>
      </w:pPr>
      <w:r>
        <w:t xml:space="preserve"/>
      </w:r>
    </w:p>
    <w:p>
      <w:pPr>
        <w:spacing w:after="100" w:before="200"/>
      </w:pPr>
      <w:r>
        <w:rPr>
          <w:rFonts w:ascii="Arial" w:cs="Arial" w:eastAsia="Arial" w:hAnsi="Arial"/>
          <w:b/>
          <w:bCs/>
          <w:color w:val="555555"/>
          <w:sz w:val="23"/>
          <w:szCs w:val="23"/>
        </w:rPr>
        <w:t xml:space="preserve">Stabilite</w:t>
      </w:r>
    </w:p>
    <w:p>
      <w:pPr>
        <w:pBdr>
          <w:left w:val="single" w:color="1F4E79" w:sz="12" w:space="4"/>
        </w:pBdr>
        <w:shd w:fill="D6E4F0" w:val="clear"/>
        <w:spacing w:after="120" w:before="120"/>
        <w:ind w:left="360" w:right="360"/>
      </w:pPr>
      <w:r>
        <w:rPr>
          <w:rFonts w:ascii="Arial" w:cs="Arial" w:eastAsia="Arial" w:hAnsi="Arial"/>
          <w:i/>
          <w:iCs/>
          <w:sz w:val="21"/>
          <w:szCs w:val="21"/>
        </w:rPr>
        <w:t xml:space="preserve">To assess reproducibility, IPPO was trained with five random seeds (42, 123, 456, 789, 1024). Final performance ranged from +1.49 to +7.27 (mean=+4.64, std=2.02). All seeds yielded positive improvement over the random baseline, confirming consistent policy learning despite the stochastic nature of RL training.</w:t>
      </w:r>
    </w:p>
    <w:p>
      <w:pPr>
        <w:spacing w:after="100" w:before="100"/>
      </w:pPr>
      <w:r>
        <w:t xml:space="preserve"/>
      </w:r>
    </w:p>
    <w:p>
      <w:pPr>
        <w:spacing w:after="100" w:before="200"/>
      </w:pPr>
      <w:r>
        <w:rPr>
          <w:rFonts w:ascii="Arial" w:cs="Arial" w:eastAsia="Arial" w:hAnsi="Arial"/>
          <w:b/>
          <w:bCs/>
          <w:color w:val="555555"/>
          <w:sz w:val="23"/>
          <w:szCs w:val="23"/>
        </w:rPr>
        <w:t xml:space="preserve">Ablation — Reward Tasarımı</w:t>
      </w:r>
    </w:p>
    <w:p>
      <w:pPr>
        <w:pBdr>
          <w:left w:val="single" w:color="1F4E79" w:sz="12" w:space="4"/>
        </w:pBdr>
        <w:shd w:fill="D6E4F0" w:val="clear"/>
        <w:spacing w:after="120" w:before="120"/>
        <w:ind w:left="360" w:right="360"/>
      </w:pPr>
      <w:r>
        <w:rPr>
          <w:rFonts w:ascii="Arial" w:cs="Arial" w:eastAsia="Arial" w:hAnsi="Arial"/>
          <w:i/>
          <w:iCs/>
          <w:sz w:val="21"/>
          <w:szCs w:val="21"/>
        </w:rPr>
        <w:t xml:space="preserve">An ablation study evaluated three reward weight configurations: the baseline (shipping weight=2.0), a reduced shipping weight (0.5), and uniform weights (1.0). The reduced shipping weight configuration achieved the highest reward (+9.25 vs +5.47), consistent with the pod-insensitive nature of the shipping bottleneck — reducing the shipping signal allows agents to focus optimization on actionable services. This validates the reward design decision and supports the action space limitation hypothesis.</w:t>
      </w:r>
    </w:p>
    <w:p>
      <w:r>
        <w:br w:type="page"/>
      </w:r>
    </w:p>
    <w:p>
      <w:pPr>
        <w:pStyle w:val="Heading1"/>
        <w:pBdr>
          <w:bottom w:val="single" w:color="1F4E79" w:sz="6" w:space="2"/>
        </w:pBdr>
        <w:spacing w:after="200" w:before="400"/>
      </w:pPr>
      <w:r>
        <w:rPr>
          <w:rFonts w:ascii="Arial" w:cs="Arial" w:eastAsia="Arial" w:hAnsi="Arial"/>
          <w:b/>
          <w:bCs/>
          <w:color w:val="1F4E79"/>
          <w:sz w:val="34"/>
          <w:szCs w:val="34"/>
        </w:rPr>
        <w:t xml:space="preserve">4. Savunma / Jüri Hazırlığı</w:t>
      </w:r>
    </w:p>
    <w:p>
      <w:pPr>
        <w:spacing w:after="80" w:before="80"/>
      </w:pPr>
      <w:r>
        <w:rPr>
          <w:rFonts w:ascii="Arial" w:cs="Arial" w:eastAsia="Arial" w:hAnsi="Arial"/>
          <w:b w:val="false"/>
          <w:bCs w:val="false"/>
          <w:i w:val="false"/>
          <w:iCs w:val="false"/>
          <w:color w:val="000000"/>
          <w:sz w:val="22"/>
          <w:szCs w:val="22"/>
        </w:rPr>
        <w:t xml:space="preserve">Olası zor sorular ve güçlü, dürüst cevaplar.</w:t>
      </w:r>
    </w:p>
    <w:p>
      <w:pPr>
        <w:spacing w:after="100" w:before="100"/>
      </w:pPr>
      <w:r>
        <w:t xml:space="preserve"/>
      </w:r>
    </w:p>
    <w:p>
      <w:pPr>
        <w:pStyle w:val="Heading2"/>
        <w:spacing w:after="150" w:before="300"/>
      </w:pPr>
      <w:r>
        <w:rPr>
          <w:rFonts w:ascii="Arial" w:cs="Arial" w:eastAsia="Arial" w:hAnsi="Arial"/>
          <w:b/>
          <w:bCs/>
          <w:color w:val="154360"/>
          <w:sz w:val="27"/>
          <w:szCs w:val="27"/>
        </w:rPr>
        <w:t xml:space="preserve">4.1 'Neden 3,000 Episode? Yeterli mi?'</w:t>
      </w:r>
    </w:p>
    <w:p>
      <w:pPr>
        <w:pBdr>
          <w:left w:val="single" w:color="1E8449" w:sz="12" w:space="4"/>
        </w:pBdr>
        <w:shd w:fill="D5F5E3" w:val="clear"/>
        <w:spacing w:after="120" w:before="120"/>
        <w:ind w:left="360" w:right="360"/>
      </w:pPr>
      <w:r>
        <w:rPr>
          <w:rFonts w:ascii="Arial" w:cs="Arial" w:eastAsia="Arial" w:hAnsi="Arial"/>
          <w:i/>
          <w:iCs/>
          <w:sz w:val="21"/>
          <w:szCs w:val="21"/>
        </w:rPr>
        <w:t xml:space="preserve">Güçlü cevap:</w:t>
      </w:r>
    </w:p>
    <w:p>
      <w:pPr>
        <w:spacing w:after="80" w:before="80"/>
      </w:pPr>
      <w:r>
        <w:rPr>
          <w:rFonts w:ascii="Arial" w:cs="Arial" w:eastAsia="Arial" w:hAnsi="Arial"/>
          <w:b w:val="false"/>
          <w:bCs w:val="false"/>
          <w:i w:val="false"/>
          <w:iCs w:val="false"/>
          <w:color w:val="000000"/>
          <w:sz w:val="22"/>
          <w:szCs w:val="22"/>
        </w:rPr>
        <w:t xml:space="preserve">Convergence analizimiz iki metrik kullanıyor: son 500 vs önceki 500 ortalama fark ve linear trend eğimi. IPPO için Δ=−0.11 (sıfıra çok yakın) ve eğim=0.0044 — bu değerler pratikte reward artışının anlamlı olmadığını gösteriyor. Ayrıca stabilite testimizde 5 farklı seed'de de benzer yakınsama noktası gözlemlendi. 3,000 episode bu problem için yeterli ve hesaplama açısından verimlidir.</w:t>
      </w:r>
    </w:p>
    <w:p>
      <w:pPr>
        <w:spacing w:after="100" w:before="100"/>
      </w:pPr>
      <w:r>
        <w:t xml:space="preserve"/>
      </w:r>
    </w:p>
    <w:p>
      <w:pPr>
        <w:pStyle w:val="Heading2"/>
        <w:spacing w:after="150" w:before="300"/>
      </w:pPr>
      <w:r>
        <w:rPr>
          <w:rFonts w:ascii="Arial" w:cs="Arial" w:eastAsia="Arial" w:hAnsi="Arial"/>
          <w:b/>
          <w:bCs/>
          <w:color w:val="154360"/>
          <w:sz w:val="27"/>
          <w:szCs w:val="27"/>
        </w:rPr>
        <w:t xml:space="preserve">4.2 'Bu Gerçekten MARL mi? IPPO Sadece Bağımsız PPO Değil mi?'</w:t>
      </w:r>
    </w:p>
    <w:p>
      <w:pPr>
        <w:pBdr>
          <w:left w:val="single" w:color="1E8449" w:sz="12" w:space="4"/>
        </w:pBdr>
        <w:shd w:fill="D5F5E3" w:val="clear"/>
        <w:spacing w:after="120" w:before="120"/>
        <w:ind w:left="360" w:right="360"/>
      </w:pPr>
      <w:r>
        <w:rPr>
          <w:rFonts w:ascii="Arial" w:cs="Arial" w:eastAsia="Arial" w:hAnsi="Arial"/>
          <w:i/>
          <w:iCs/>
          <w:sz w:val="21"/>
          <w:szCs w:val="21"/>
        </w:rPr>
        <w:t xml:space="preserve">Güçlü cevap:</w:t>
      </w:r>
    </w:p>
    <w:p>
      <w:pPr>
        <w:spacing w:after="80" w:before="80"/>
      </w:pPr>
      <w:r>
        <w:rPr>
          <w:rFonts w:ascii="Arial" w:cs="Arial" w:eastAsia="Arial" w:hAnsi="Arial"/>
          <w:b w:val="false"/>
          <w:bCs w:val="false"/>
          <w:i w:val="false"/>
          <w:iCs w:val="false"/>
          <w:color w:val="000000"/>
          <w:sz w:val="22"/>
          <w:szCs w:val="22"/>
        </w:rPr>
        <w:t xml:space="preserve">IPPO'nun 'independent' olması agent'ların parametre paylaşmaması anlamına gelir — ancak sistemi multi-agent yapan şey parametre paylaşımı değil, eş zamanlı karar verme ve ortak ortam dinamikleridir. 6 agent aynı anda aksiyon seçer, bu aksiyonlar Digital Twin'e birlikte iletilir ve next_state'i birlikte şekillendirir. Bir agent'ın scale-up kararı diğer servislerin load dağılımını etkiler. Bu tanım gereği MARL'dır. Dahası MAPPO ile centralized critic karşılaştırmasını da yaptık — bu çalışma tam anlamıyla CTDE paradigmasını test ediyor.</w:t>
      </w:r>
    </w:p>
    <w:p>
      <w:pPr>
        <w:spacing w:after="100" w:before="100"/>
      </w:pPr>
      <w:r>
        <w:t xml:space="preserve"/>
      </w:r>
    </w:p>
    <w:p>
      <w:pPr>
        <w:pStyle w:val="Heading2"/>
        <w:spacing w:after="150" w:before="300"/>
      </w:pPr>
      <w:r>
        <w:rPr>
          <w:rFonts w:ascii="Arial" w:cs="Arial" w:eastAsia="Arial" w:hAnsi="Arial"/>
          <w:b/>
          <w:bCs/>
          <w:color w:val="154360"/>
          <w:sz w:val="27"/>
          <w:szCs w:val="27"/>
        </w:rPr>
        <w:t xml:space="preserve">4.3 'QMIX Neden Kötü Çıktı? Implementasyonu Doğru mu?'</w:t>
      </w:r>
    </w:p>
    <w:p>
      <w:pPr>
        <w:pBdr>
          <w:left w:val="single" w:color="1E8449" w:sz="12" w:space="4"/>
        </w:pBdr>
        <w:shd w:fill="D5F5E3" w:val="clear"/>
        <w:spacing w:after="120" w:before="120"/>
        <w:ind w:left="360" w:right="360"/>
      </w:pPr>
      <w:r>
        <w:rPr>
          <w:rFonts w:ascii="Arial" w:cs="Arial" w:eastAsia="Arial" w:hAnsi="Arial"/>
          <w:i/>
          <w:iCs/>
          <w:sz w:val="21"/>
          <w:szCs w:val="21"/>
        </w:rPr>
        <w:t xml:space="preserve">Güçlü cevap:</w:t>
      </w:r>
    </w:p>
    <w:p>
      <w:pPr>
        <w:spacing w:after="80" w:before="80"/>
      </w:pPr>
      <w:r>
        <w:rPr>
          <w:rFonts w:ascii="Arial" w:cs="Arial" w:eastAsia="Arial" w:hAnsi="Arial"/>
          <w:b w:val="false"/>
          <w:bCs w:val="false"/>
          <w:i w:val="false"/>
          <w:iCs w:val="false"/>
          <w:color w:val="000000"/>
          <w:sz w:val="22"/>
          <w:szCs w:val="22"/>
        </w:rPr>
        <w:t xml:space="preserve">QMIX implementasyonu doğrulanmıştır: monotonicity constraint çalışıyor (Q_low→0.06, Q_high→3.72), warmup sonrası loss başlangıçta makul (4.03). Problem kısa episode horizon'undan kaynaklanıyor. 10 adımda Bellman bootstrapping sınırlı bilgi biriktirebiliyor, mixing network Q tahminlerini amplify edince loss üstel büyüyor. Bu problem QMIX'in tasarlandığı ortamlar (StarCraft II, binlerce adım) ile bizim ortamımız arasındaki temel farktır. Bu bir implementasyon hatası değil, metodolojik bir kısıt bulgusudur.</w:t>
      </w:r>
    </w:p>
    <w:p>
      <w:pPr>
        <w:spacing w:after="100" w:before="100"/>
      </w:pPr>
      <w:r>
        <w:t xml:space="preserve"/>
      </w:r>
    </w:p>
    <w:p>
      <w:pPr>
        <w:pStyle w:val="Heading2"/>
        <w:spacing w:after="150" w:before="300"/>
      </w:pPr>
      <w:r>
        <w:rPr>
          <w:rFonts w:ascii="Arial" w:cs="Arial" w:eastAsia="Arial" w:hAnsi="Arial"/>
          <w:b/>
          <w:bCs/>
          <w:color w:val="154360"/>
          <w:sz w:val="27"/>
          <w:szCs w:val="27"/>
        </w:rPr>
        <w:t xml:space="preserve">4.4 'Shipping Neden Çözülemedi?'</w:t>
      </w:r>
    </w:p>
    <w:p>
      <w:pPr>
        <w:pBdr>
          <w:left w:val="single" w:color="1E8449" w:sz="12" w:space="4"/>
        </w:pBdr>
        <w:shd w:fill="D5F5E3" w:val="clear"/>
        <w:spacing w:after="120" w:before="120"/>
        <w:ind w:left="360" w:right="360"/>
      </w:pPr>
      <w:r>
        <w:rPr>
          <w:rFonts w:ascii="Arial" w:cs="Arial" w:eastAsia="Arial" w:hAnsi="Arial"/>
          <w:i/>
          <w:iCs/>
          <w:sz w:val="21"/>
          <w:szCs w:val="21"/>
        </w:rPr>
        <w:t xml:space="preserve">Güçlü cevap:</w:t>
      </w:r>
    </w:p>
    <w:p>
      <w:pPr>
        <w:spacing w:after="80" w:before="80"/>
      </w:pPr>
      <w:r>
        <w:rPr>
          <w:rFonts w:ascii="Arial" w:cs="Arial" w:eastAsia="Arial" w:hAnsi="Arial"/>
          <w:b w:val="false"/>
          <w:bCs w:val="false"/>
          <w:i w:val="false"/>
          <w:iCs w:val="false"/>
          <w:color w:val="000000"/>
          <w:sz w:val="22"/>
          <w:szCs w:val="22"/>
        </w:rPr>
        <w:t xml:space="preserve">Shipping servisi I/O-bound bir mimariye sahip: sipariş onayı sırasında veritabanına senkron yazma yapar. Latency, pod sayısına değil veritabanı yanıt süresine bağlıdır. Bu nedenle pod scaling action space bu bottleneck'i çözmek için yetersizdir — buna literatürde 'action space coverage gap' denir. Digital Twin da bu gerçeği doğru modellemektedir: trajectory testlerinde shipping en yüksek tahmin hatasına sahip servistir. Ablation çalışmamız shipping reward ağırlığını düşürünce genel sistemin daha iyi optimize edildiğini göstermiştir, bu da bu yorumu desteklemektedir. Çözüm, action space'in DB connection pool veya async processing gibi aksiyonlarla genişletilmesini gerektirir ve gelecek çalışma olarak önerilmiştir.</w:t>
      </w:r>
    </w:p>
    <w:p>
      <w:pPr>
        <w:spacing w:after="100" w:before="100"/>
      </w:pPr>
      <w:r>
        <w:t xml:space="preserve"/>
      </w:r>
    </w:p>
    <w:p>
      <w:pPr>
        <w:pStyle w:val="Heading2"/>
        <w:spacing w:after="150" w:before="300"/>
      </w:pPr>
      <w:r>
        <w:rPr>
          <w:rFonts w:ascii="Arial" w:cs="Arial" w:eastAsia="Arial" w:hAnsi="Arial"/>
          <w:b/>
          <w:bCs/>
          <w:color w:val="154360"/>
          <w:sz w:val="27"/>
          <w:szCs w:val="27"/>
        </w:rPr>
        <w:t xml:space="preserve">4.5 'Neden Gerçek Cluster Testiniz Yok?'</w:t>
      </w:r>
    </w:p>
    <w:p>
      <w:pPr>
        <w:pBdr>
          <w:left w:val="single" w:color="1E8449" w:sz="12" w:space="4"/>
        </w:pBdr>
        <w:shd w:fill="D5F5E3" w:val="clear"/>
        <w:spacing w:after="120" w:before="120"/>
        <w:ind w:left="360" w:right="360"/>
      </w:pPr>
      <w:r>
        <w:rPr>
          <w:rFonts w:ascii="Arial" w:cs="Arial" w:eastAsia="Arial" w:hAnsi="Arial"/>
          <w:i/>
          <w:iCs/>
          <w:sz w:val="21"/>
          <w:szCs w:val="21"/>
        </w:rPr>
        <w:t xml:space="preserve">Güçlü cevap:</w:t>
      </w:r>
    </w:p>
    <w:p>
      <w:pPr>
        <w:spacing w:after="80" w:before="80"/>
      </w:pPr>
      <w:r>
        <w:rPr>
          <w:rFonts w:ascii="Arial" w:cs="Arial" w:eastAsia="Arial" w:hAnsi="Arial"/>
          <w:b w:val="false"/>
          <w:bCs w:val="false"/>
          <w:i w:val="false"/>
          <w:iCs w:val="false"/>
          <w:color w:val="000000"/>
          <w:sz w:val="22"/>
          <w:szCs w:val="22"/>
        </w:rPr>
        <w:t xml:space="preserve">Gerçek cluster doğrulaması proje yol haritamızın son aşamasında yer almaktadır. Mevcut çalışma Digital Twin üzerinde sistematik bir karşılaştırma sunmaktadır. Digital Twin'in R²=0.907 performansı ve trajectory testlerinin onayladığı 10 adımlık güvenli horizon, simülasyonun gerçek sistemi yeterli doğrulukta temsil ettiğini göstermektedir. Gerçek cluster doğrulaması XAI aşaması tamamlandıktan sonra uçtan uca sistem testi olarak planlanmıştır.</w:t>
      </w:r>
    </w:p>
    <w:p>
      <w:pPr>
        <w:spacing w:after="100" w:before="100"/>
      </w:pPr>
      <w:r>
        <w:t xml:space="preserve"/>
      </w:r>
    </w:p>
    <w:p>
      <w:pPr>
        <w:pStyle w:val="Heading2"/>
        <w:spacing w:after="150" w:before="300"/>
      </w:pPr>
      <w:r>
        <w:rPr>
          <w:rFonts w:ascii="Arial" w:cs="Arial" w:eastAsia="Arial" w:hAnsi="Arial"/>
          <w:b/>
          <w:bCs/>
          <w:color w:val="154360"/>
          <w:sz w:val="27"/>
          <w:szCs w:val="27"/>
        </w:rPr>
        <w:t xml:space="preserve">4.6 'Neden Daha Uzun Eğitim Yapmadınız?'</w:t>
      </w:r>
    </w:p>
    <w:p>
      <w:pPr>
        <w:pBdr>
          <w:left w:val="single" w:color="1E8449" w:sz="12" w:space="4"/>
        </w:pBdr>
        <w:shd w:fill="D5F5E3" w:val="clear"/>
        <w:spacing w:after="120" w:before="120"/>
        <w:ind w:left="360" w:right="360"/>
      </w:pPr>
      <w:r>
        <w:rPr>
          <w:rFonts w:ascii="Arial" w:cs="Arial" w:eastAsia="Arial" w:hAnsi="Arial"/>
          <w:i/>
          <w:iCs/>
          <w:sz w:val="21"/>
          <w:szCs w:val="21"/>
        </w:rPr>
        <w:t xml:space="preserve">Güçlü cevap:</w:t>
      </w:r>
    </w:p>
    <w:p>
      <w:pPr>
        <w:spacing w:after="80" w:before="80"/>
      </w:pPr>
      <w:r>
        <w:rPr>
          <w:rFonts w:ascii="Arial" w:cs="Arial" w:eastAsia="Arial" w:hAnsi="Arial"/>
          <w:b w:val="false"/>
          <w:bCs w:val="false"/>
          <w:i w:val="false"/>
          <w:iCs w:val="false"/>
          <w:color w:val="000000"/>
          <w:sz w:val="22"/>
          <w:szCs w:val="22"/>
        </w:rPr>
        <w:t xml:space="preserve">Convergence analizimiz gösteriyor ki IPPO ve MAPPO 3,000 episode'da pratik yakınsama kriterlerini karşılamıştır (IPPO Δ=−0.11). Daha uzun eğitim marginal kazanım sağlayabilir ancak halihazırda reward platoya ulaşmış bir modeli aşırı eğitmek risk taşır. Ayrıca hyperparameter sensitivity analizimiz mevcut parametrelerle 3,000 episode'un bu problem için yeterli olduğunu göstermiştir. Computational verimlilik de akademik bir kriter olarak değerlendirilebilir.</w:t>
      </w:r>
    </w:p>
    <w:p>
      <w:pPr>
        <w:spacing w:after="100" w:before="100"/>
      </w:pPr>
      <w:r>
        <w:t xml:space="preserve"/>
      </w:r>
    </w:p>
    <w:p>
      <w:pPr>
        <w:pStyle w:val="Heading2"/>
        <w:spacing w:after="150" w:before="300"/>
      </w:pPr>
      <w:r>
        <w:rPr>
          <w:rFonts w:ascii="Arial" w:cs="Arial" w:eastAsia="Arial" w:hAnsi="Arial"/>
          <w:b/>
          <w:bCs/>
          <w:color w:val="154360"/>
          <w:sz w:val="27"/>
          <w:szCs w:val="27"/>
        </w:rPr>
        <w:t xml:space="preserve">4.7 'Neden LLM Runtime'da Değil?'</w:t>
      </w:r>
    </w:p>
    <w:p>
      <w:pPr>
        <w:pBdr>
          <w:left w:val="single" w:color="1E8449" w:sz="12" w:space="4"/>
        </w:pBdr>
        <w:shd w:fill="D5F5E3" w:val="clear"/>
        <w:spacing w:after="120" w:before="120"/>
        <w:ind w:left="360" w:right="360"/>
      </w:pPr>
      <w:r>
        <w:rPr>
          <w:rFonts w:ascii="Arial" w:cs="Arial" w:eastAsia="Arial" w:hAnsi="Arial"/>
          <w:i/>
          <w:iCs/>
          <w:sz w:val="21"/>
          <w:szCs w:val="21"/>
        </w:rPr>
        <w:t xml:space="preserve">Güçlü cevap:</w:t>
      </w:r>
    </w:p>
    <w:p>
      <w:pPr>
        <w:spacing w:after="80" w:before="80"/>
      </w:pPr>
      <w:r>
        <w:rPr>
          <w:rFonts w:ascii="Arial" w:cs="Arial" w:eastAsia="Arial" w:hAnsi="Arial"/>
          <w:b w:val="false"/>
          <w:bCs w:val="false"/>
          <w:i w:val="false"/>
          <w:iCs w:val="false"/>
          <w:color w:val="000000"/>
          <w:sz w:val="22"/>
          <w:szCs w:val="22"/>
        </w:rPr>
        <w:t xml:space="preserve">LLM diagnosis katmanı MARL karar döngüsüne müdahale etmez ve etmemesi tasarım gereğidir. Amacı ajan kararlarını değiştirmek değil, operatörlere 'neden işe yaramadı?' sorusuna yanıt vermektir. Shipping bottleneck gibi durumlarda telemetri, metrikler ve bağımlılık grafiğini analiz ederek olası kök neden ve iyileştirme önerileri üretir. Runtime'a dahil etmek hem gecikme hem de güvenlik açısından risk taşır. Bu mimari ayrım kasıtlı ve savunulabilirdir.</w:t>
      </w:r>
    </w:p>
    <w:p>
      <w:r>
        <w:br w:type="page"/>
      </w:r>
    </w:p>
    <w:p>
      <w:pPr>
        <w:pStyle w:val="Heading1"/>
        <w:pBdr>
          <w:bottom w:val="single" w:color="1F4E79" w:sz="6" w:space="2"/>
        </w:pBdr>
        <w:spacing w:after="200" w:before="400"/>
      </w:pPr>
      <w:r>
        <w:rPr>
          <w:rFonts w:ascii="Arial" w:cs="Arial" w:eastAsia="Arial" w:hAnsi="Arial"/>
          <w:b/>
          <w:bCs/>
          <w:color w:val="1F4E79"/>
          <w:sz w:val="34"/>
          <w:szCs w:val="34"/>
        </w:rPr>
        <w:t xml:space="preserve">5. Son Rötuş Kontrolü ve MARL'ı Dondurma Kararı</w:t>
      </w:r>
    </w:p>
    <w:p>
      <w:pPr>
        <w:spacing w:after="100" w:before="100"/>
      </w:pPr>
      <w:r>
        <w:t xml:space="preserve"/>
      </w:r>
    </w:p>
    <w:p>
      <w:pPr>
        <w:pStyle w:val="Heading2"/>
        <w:spacing w:after="150" w:before="300"/>
      </w:pPr>
      <w:r>
        <w:rPr>
          <w:rFonts w:ascii="Arial" w:cs="Arial" w:eastAsia="Arial" w:hAnsi="Arial"/>
          <w:b/>
          <w:bCs/>
          <w:color w:val="154360"/>
          <w:sz w:val="27"/>
          <w:szCs w:val="27"/>
        </w:rPr>
        <w:t xml:space="preserve">5.1 Gerçekten Kritik Eksik Var mı?</w:t>
      </w:r>
    </w:p>
    <w:p>
      <w:pPr>
        <w:spacing w:after="80" w:before="80"/>
      </w:pPr>
      <w:r>
        <w:rPr>
          <w:rFonts w:ascii="Arial" w:cs="Arial" w:eastAsia="Arial" w:hAnsi="Arial"/>
          <w:b w:val="false"/>
          <w:bCs w:val="false"/>
          <w:i w:val="false"/>
          <w:iCs w:val="false"/>
          <w:color w:val="000000"/>
          <w:sz w:val="22"/>
          <w:szCs w:val="22"/>
        </w:rPr>
        <w:t xml:space="preserve">Dürüst değerlendirme — yüksek impact / düşük risk filtresiyle: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316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Potansiyel Eksik</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Impact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Risk/Maliyet</w:t>
            </w:r>
          </w:p>
        </w:tc>
        <w:tc>
          <w:tcPr>
            <w:tcW w:type="dxa" w:w="3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Karar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Gerçek cluster testi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Yüksek (JNCA için kritik)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Yüksek (zaman)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Yol haritasında son aşama — doğru</w:t>
            </w:r>
          </w:p>
        </w:tc>
      </w:tr>
      <w:tr>
        <w:trPr>
          <w:tblHeader w:val="false"/>
        </w:trP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5'ten fazla seed stabilite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Düşük (5 seed yeterli)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Orta</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Gerekli değil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Daha uzun eğitim (5000 ep)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Düşük (convergence var)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Düşük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Gerekli değil</w:t>
            </w:r>
          </w:p>
        </w:tc>
      </w:tr>
      <w:tr>
        <w:trPr>
          <w:tblHeader w:val="false"/>
        </w:trP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Yeni algoritma (PQN vb.)</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Düşük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Yüksek</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Gereksiz</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Workload spike testi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Orta (JNCA için iyi)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Düşük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İsteğe bağlı</w:t>
            </w:r>
          </w:p>
        </w:tc>
      </w:tr>
      <w:tr>
        <w:trPr>
          <w:tblHeader w:val="false"/>
        </w:trP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Confidence interval ekleme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Orta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Çok düşük</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Önerilir</w:t>
            </w:r>
          </w:p>
        </w:tc>
      </w:tr>
    </w:tbl>
    <w:p>
      <w:pPr>
        <w:spacing w:after="100" w:before="100"/>
      </w:pPr>
      <w:r>
        <w:t xml:space="preserve"/>
      </w:r>
    </w:p>
    <w:p>
      <w:pPr>
        <w:pBdr>
          <w:left w:val="single" w:color="1E8449" w:sz="12" w:space="4"/>
        </w:pBdr>
        <w:shd w:fill="D5F5E3" w:val="clear"/>
        <w:spacing w:after="120" w:before="120"/>
        <w:ind w:left="360" w:right="360"/>
      </w:pPr>
      <w:r>
        <w:rPr>
          <w:rFonts w:ascii="Arial" w:cs="Arial" w:eastAsia="Arial" w:hAnsi="Arial"/>
          <w:i/>
          <w:iCs/>
          <w:sz w:val="21"/>
          <w:szCs w:val="21"/>
        </w:rPr>
        <w:t xml:space="preserve">Kritik eksik: Gerçek cluster doğrulaması — ama bu zaten yol haritanızda. Şu anki MARL çalışması tez için güçlü, JNCA için yeterli temel sunuyor.</w:t>
      </w:r>
    </w:p>
    <w:p>
      <w:pPr>
        <w:spacing w:after="100" w:before="100"/>
      </w:pPr>
      <w:r>
        <w:t xml:space="preserve"/>
      </w:r>
    </w:p>
    <w:p>
      <w:pPr>
        <w:pStyle w:val="Heading2"/>
        <w:spacing w:after="150" w:before="300"/>
      </w:pPr>
      <w:r>
        <w:rPr>
          <w:rFonts w:ascii="Arial" w:cs="Arial" w:eastAsia="Arial" w:hAnsi="Arial"/>
          <w:b/>
          <w:bCs/>
          <w:color w:val="154360"/>
          <w:sz w:val="27"/>
          <w:szCs w:val="27"/>
        </w:rPr>
        <w:t xml:space="preserve">5.2 'Confidence Interval' Nasıl Eklenir?</w:t>
      </w:r>
    </w:p>
    <w:p>
      <w:pPr>
        <w:spacing w:after="80" w:before="80"/>
      </w:pPr>
      <w:r>
        <w:rPr>
          <w:rFonts w:ascii="Arial" w:cs="Arial" w:eastAsia="Arial" w:hAnsi="Arial"/>
          <w:b w:val="false"/>
          <w:bCs w:val="false"/>
          <w:i w:val="false"/>
          <w:iCs w:val="false"/>
          <w:color w:val="000000"/>
          <w:sz w:val="22"/>
          <w:szCs w:val="22"/>
        </w:rPr>
        <w:t xml:space="preserve">Stabilite testimizden (5 seed) zaten elimizde veriler var. Tabloya şu satırı eklemek yeterli:</w:t>
      </w:r>
    </w:p>
    <w:p>
      <w:pPr>
        <w:pBdr>
          <w:left w:val="single" w:color="1F4E79" w:sz="12" w:space="4"/>
        </w:pBdr>
        <w:shd w:fill="D6E4F0" w:val="clear"/>
        <w:spacing w:after="120" w:before="120"/>
        <w:ind w:left="360" w:right="360"/>
      </w:pPr>
      <w:r>
        <w:rPr>
          <w:rFonts w:ascii="Arial" w:cs="Arial" w:eastAsia="Arial" w:hAnsi="Arial"/>
          <w:i/>
          <w:iCs/>
          <w:sz w:val="21"/>
          <w:szCs w:val="21"/>
        </w:rPr>
        <w:t xml:space="preserve">IPPO final reward: mean=+4.64 ± 2.02 (95% CI: [0.94, 8.34], n=5 seeds)</w:t>
      </w:r>
    </w:p>
    <w:p>
      <w:pPr>
        <w:spacing w:after="80" w:before="80"/>
      </w:pPr>
      <w:r>
        <w:rPr>
          <w:rFonts w:ascii="Arial" w:cs="Arial" w:eastAsia="Arial" w:hAnsi="Arial"/>
          <w:b w:val="false"/>
          <w:bCs w:val="false"/>
          <w:i w:val="false"/>
          <w:iCs w:val="false"/>
          <w:color w:val="000000"/>
          <w:sz w:val="22"/>
          <w:szCs w:val="22"/>
        </w:rPr>
        <w:t xml:space="preserve">Bu tek satır 'istatistiksel güvenilirlik' sorusunu kapatır. scipy.stats.t.interval ile hesaplanabilir, 5 dakika iş.</w:t>
      </w:r>
    </w:p>
    <w:p>
      <w:pPr>
        <w:spacing w:after="100" w:before="100"/>
      </w:pPr>
      <w:r>
        <w:t xml:space="preserve"/>
      </w:r>
    </w:p>
    <w:p>
      <w:pPr>
        <w:pStyle w:val="Heading2"/>
        <w:spacing w:after="150" w:before="300"/>
      </w:pPr>
      <w:r>
        <w:rPr>
          <w:rFonts w:ascii="Arial" w:cs="Arial" w:eastAsia="Arial" w:hAnsi="Arial"/>
          <w:b/>
          <w:bCs/>
          <w:color w:val="154360"/>
          <w:sz w:val="27"/>
          <w:szCs w:val="27"/>
        </w:rPr>
        <w:t xml:space="preserve">5.3 MARL'ı Dondurma Kararı</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Soru</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Cevap</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Proje amacını karşılıyor mu?</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8449"/>
                <w:sz w:val="19"/>
                <w:szCs w:val="19"/>
              </w:rPr>
              <w:t xml:space="preserve">✓ Evet — 4 serviste %20-58 latency azalması, istatistiksel kanıt var</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Akademik olarak savunulabilir mi?</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1E8449"/>
                <w:sz w:val="19"/>
                <w:szCs w:val="19"/>
              </w:rPr>
              <w:t xml:space="preserve">✓ Evet — convergence, stabilite, ablation, t-test hepsi mevcut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JNCA için yeterli mi?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 Gerçek cluster testi olmadan zor — ama bu yol haritada</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Tez için yeterli mi?</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1E8449"/>
                <w:sz w:val="19"/>
                <w:szCs w:val="19"/>
              </w:rPr>
              <w:t xml:space="preserve">✓ Kesinlikle güçlü bir bitirme tezi</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Daha fazla deney gerekiyor mu?</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C0392B"/>
                <w:sz w:val="19"/>
                <w:szCs w:val="19"/>
              </w:rPr>
              <w:t xml:space="preserve">✗ Hayır — diminishing returns bölgesine girildi</w:t>
            </w:r>
          </w:p>
        </w:tc>
      </w:tr>
    </w:tbl>
    <w:p>
      <w:pPr>
        <w:spacing w:after="100" w:before="100"/>
      </w:pPr>
      <w:r>
        <w:t xml:space="preserve"/>
      </w:r>
    </w:p>
    <w:p>
      <w:pPr>
        <w:pBdr>
          <w:left w:val="single" w:color="1E8449" w:sz="12" w:space="4"/>
        </w:pBdr>
        <w:shd w:fill="D5F5E3" w:val="clear"/>
        <w:spacing w:after="120" w:before="120"/>
        <w:ind w:left="360" w:right="360"/>
      </w:pPr>
      <w:r>
        <w:rPr>
          <w:rFonts w:ascii="Arial" w:cs="Arial" w:eastAsia="Arial" w:hAnsi="Arial"/>
          <w:i/>
          <w:iCs/>
          <w:sz w:val="21"/>
          <w:szCs w:val="21"/>
        </w:rPr>
        <w:t xml:space="preserve">KARAR: MARL tarafını dondur. XAI/LLM-assisted diagnosis aşamasına geç. Eklenecek tek şey: confidence interval (5 dakika) ve shipping paragrafının final halini yazmak.</w:t>
      </w:r>
    </w:p>
    <w:p>
      <w:pPr>
        <w:spacing w:after="100" w:before="100"/>
      </w:pPr>
      <w:r>
        <w:t xml:space="preserve"/>
      </w:r>
    </w:p>
    <w:p>
      <w:pPr>
        <w:pStyle w:val="Heading2"/>
        <w:spacing w:after="150" w:before="300"/>
      </w:pPr>
      <w:r>
        <w:rPr>
          <w:rFonts w:ascii="Arial" w:cs="Arial" w:eastAsia="Arial" w:hAnsi="Arial"/>
          <w:b/>
          <w:bCs/>
          <w:color w:val="154360"/>
          <w:sz w:val="27"/>
          <w:szCs w:val="27"/>
        </w:rPr>
        <w:t xml:space="preserve">5.4 XAI Aşamasına Geçiş İçin Hazırlık</w:t>
      </w:r>
    </w:p>
    <w:p>
      <w:pPr>
        <w:spacing w:after="80" w:before="80"/>
      </w:pPr>
      <w:r>
        <w:rPr>
          <w:rFonts w:ascii="Arial" w:cs="Arial" w:eastAsia="Arial" w:hAnsi="Arial"/>
          <w:b w:val="false"/>
          <w:bCs w:val="false"/>
          <w:i w:val="false"/>
          <w:iCs w:val="false"/>
          <w:color w:val="000000"/>
          <w:sz w:val="22"/>
          <w:szCs w:val="22"/>
        </w:rPr>
        <w:t xml:space="preserve">MARL'dan XAI'ya taşınacak bilgiler:</w:t>
      </w:r>
    </w:p>
    <w:p>
      <w:pPr>
        <w:pStyle w:val="ListParagraph"/>
        <w:numPr>
          <w:ilvl w:val="0"/>
          <w:numId w:val="2"/>
        </w:numPr>
        <w:spacing w:after="60" w:before="60"/>
      </w:pPr>
      <w:r>
        <w:rPr>
          <w:rFonts w:ascii="Arial" w:cs="Arial" w:eastAsia="Arial" w:hAnsi="Arial"/>
          <w:sz w:val="22"/>
          <w:szCs w:val="22"/>
        </w:rPr>
        <w:t xml:space="preserve">IPPO final model: checkpoints_v2/ippo_v2_final.pth</w:t>
      </w:r>
    </w:p>
    <w:p>
      <w:pPr>
        <w:pStyle w:val="ListParagraph"/>
        <w:numPr>
          <w:ilvl w:val="0"/>
          <w:numId w:val="2"/>
        </w:numPr>
        <w:spacing w:after="60" w:before="60"/>
      </w:pPr>
      <w:r>
        <w:rPr>
          <w:rFonts w:ascii="Arial" w:cs="Arial" w:eastAsia="Arial" w:hAnsi="Arial"/>
          <w:sz w:val="22"/>
          <w:szCs w:val="22"/>
        </w:rPr>
        <w:t xml:space="preserve">Tüm evaluation sonuçları: marl_analysis_v2.csv</w:t>
      </w:r>
    </w:p>
    <w:p>
      <w:pPr>
        <w:pStyle w:val="ListParagraph"/>
        <w:numPr>
          <w:ilvl w:val="0"/>
          <w:numId w:val="2"/>
        </w:numPr>
        <w:spacing w:after="60" w:before="60"/>
      </w:pPr>
      <w:r>
        <w:rPr>
          <w:rFonts w:ascii="Arial" w:cs="Arial" w:eastAsia="Arial" w:hAnsi="Arial"/>
          <w:sz w:val="22"/>
          <w:szCs w:val="22"/>
        </w:rPr>
        <w:t xml:space="preserve">Shipping bottleneck analizi: 'action space coverage gap' çerçevesi</w:t>
      </w:r>
    </w:p>
    <w:p>
      <w:pPr>
        <w:pStyle w:val="ListParagraph"/>
        <w:numPr>
          <w:ilvl w:val="0"/>
          <w:numId w:val="2"/>
        </w:numPr>
        <w:spacing w:after="60" w:before="60"/>
      </w:pPr>
      <w:r>
        <w:rPr>
          <w:rFonts w:ascii="Arial" w:cs="Arial" w:eastAsia="Arial" w:hAnsi="Arial"/>
          <w:sz w:val="22"/>
          <w:szCs w:val="22"/>
        </w:rPr>
        <w:t xml:space="preserve">IPPO ≈ MAPPO bulgusu: XAI'da 'neden bu kararı verdi?' açıklaması partial obs üzerinden yapılabilir</w:t>
      </w:r>
    </w:p>
    <w:p>
      <w:pPr>
        <w:pStyle w:val="ListParagraph"/>
        <w:numPr>
          <w:ilvl w:val="0"/>
          <w:numId w:val="2"/>
        </w:numPr>
        <w:spacing w:after="60" w:before="60"/>
      </w:pPr>
      <w:r>
        <w:rPr>
          <w:rFonts w:ascii="Arial" w:cs="Arial" w:eastAsia="Arial" w:hAnsi="Arial"/>
          <w:sz w:val="22"/>
          <w:szCs w:val="22"/>
        </w:rPr>
        <w:t xml:space="preserve">DT: digital_twin_best.pth — XAI için state geçişlerini açıklamada kullanılabilir</w:t>
      </w:r>
    </w:p>
    <w:p>
      <w:pPr>
        <w:spacing w:after="100" w:before="100"/>
      </w:pPr>
      <w:r>
        <w:t xml:space="preserve"/>
      </w:r>
    </w:p>
    <w:p>
      <w:pPr>
        <w:spacing w:after="80" w:before="80"/>
      </w:pPr>
      <w:r>
        <w:rPr>
          <w:rFonts w:ascii="Arial" w:cs="Arial" w:eastAsia="Arial" w:hAnsi="Arial"/>
          <w:b w:val="false"/>
          <w:bCs w:val="false"/>
          <w:i w:val="false"/>
          <w:iCs w:val="false"/>
          <w:color w:val="000000"/>
          <w:sz w:val="22"/>
          <w:szCs w:val="22"/>
        </w:rPr>
        <w:t xml:space="preserve">XAI katmanı için önerilen odak:</w:t>
      </w:r>
    </w:p>
    <w:p>
      <w:pPr>
        <w:pStyle w:val="ListParagraph"/>
        <w:numPr>
          <w:ilvl w:val="0"/>
          <w:numId w:val="2"/>
        </w:numPr>
        <w:spacing w:after="60" w:before="60"/>
      </w:pPr>
      <w:r>
        <w:rPr>
          <w:rFonts w:ascii="Arial" w:cs="Arial" w:eastAsia="Arial" w:hAnsi="Arial"/>
          <w:sz w:val="22"/>
          <w:szCs w:val="22"/>
        </w:rPr>
        <w:t xml:space="preserve">'Ajan neden scale-up yaptı?' → IPPO actor logits üzerinden açıklama</w:t>
      </w:r>
    </w:p>
    <w:p>
      <w:pPr>
        <w:pStyle w:val="ListParagraph"/>
        <w:numPr>
          <w:ilvl w:val="0"/>
          <w:numId w:val="2"/>
        </w:numPr>
        <w:spacing w:after="60" w:before="60"/>
      </w:pPr>
      <w:r>
        <w:rPr>
          <w:rFonts w:ascii="Arial" w:cs="Arial" w:eastAsia="Arial" w:hAnsi="Arial"/>
          <w:sz w:val="22"/>
          <w:szCs w:val="22"/>
        </w:rPr>
        <w:t xml:space="preserve">'Shipping neden optimize edilemedi?' → telemetri + bağımlılık grafiği üzerinden LLM reasoning</w:t>
      </w:r>
    </w:p>
    <w:p>
      <w:pPr>
        <w:pStyle w:val="ListParagraph"/>
        <w:numPr>
          <w:ilvl w:val="0"/>
          <w:numId w:val="2"/>
        </w:numPr>
        <w:spacing w:after="60" w:before="60"/>
      </w:pPr>
      <w:r>
        <w:rPr>
          <w:rFonts w:ascii="Arial" w:cs="Arial" w:eastAsia="Arial" w:hAnsi="Arial"/>
          <w:sz w:val="22"/>
          <w:szCs w:val="22"/>
        </w:rPr>
        <w:t xml:space="preserve">Bu iki soru birbirini tamamlar ve projeye bütünlük kazandırır</w:t>
      </w:r>
    </w:p>
    <w:p>
      <w:r>
        <w:br w:type="page"/>
      </w:r>
    </w:p>
    <w:p>
      <w:pPr>
        <w:pStyle w:val="Heading1"/>
        <w:pBdr>
          <w:bottom w:val="single" w:color="1F4E79" w:sz="6" w:space="2"/>
        </w:pBdr>
        <w:spacing w:after="200" w:before="400"/>
      </w:pPr>
      <w:r>
        <w:rPr>
          <w:rFonts w:ascii="Arial" w:cs="Arial" w:eastAsia="Arial" w:hAnsi="Arial"/>
          <w:b/>
          <w:bCs/>
          <w:color w:val="1F4E79"/>
          <w:sz w:val="34"/>
          <w:szCs w:val="34"/>
        </w:rPr>
        <w:t xml:space="preserve">6. Özet — MARL Aşaması Durumu</w:t>
      </w:r>
    </w:p>
    <w:p>
      <w:pPr>
        <w:spacing w:after="100" w:before="10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000"/>
      </w:tblGrid>
      <w:tr>
        <w:trPr>
          <w:tblHeader/>
        </w:trP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Kategori</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Durum</w:t>
            </w:r>
          </w:p>
        </w:tc>
        <w:tc>
          <w:tcPr>
            <w:tcW w:type="dxa" w:w="5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Not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Pipeline (SAR→DT→MARL)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8449"/>
                <w:sz w:val="19"/>
                <w:szCs w:val="19"/>
              </w:rPr>
              <w:t xml:space="preserve">✓ Tamamlandı</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Çalışan end-to-end sistem</w:t>
            </w:r>
          </w:p>
        </w:tc>
      </w:tr>
      <w:tr>
        <w:trPr>
          <w:tblHeader w:val="false"/>
        </w:trP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Algoritma karşılaştırması</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1E8449"/>
                <w:sz w:val="19"/>
                <w:szCs w:val="19"/>
              </w:rPr>
              <w:t xml:space="preserve">✓ Tamamlandı</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5 MARL + 2 baseline, 200 ep test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İstatistiksel analiz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8449"/>
                <w:sz w:val="19"/>
                <w:szCs w:val="19"/>
              </w:rPr>
              <w:t xml:space="preserve">✓ Tamamlandı</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t-test, p&lt;0.0001 (IPPO vs Rule-based)</w:t>
            </w:r>
          </w:p>
        </w:tc>
      </w:tr>
      <w:tr>
        <w:trPr>
          <w:tblHeader w:val="false"/>
        </w:trP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Convergence analizi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1E8449"/>
                <w:sz w:val="19"/>
                <w:szCs w:val="19"/>
              </w:rPr>
              <w:t xml:space="preserve">✓ Tamamlandı</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Δ ve slope metrikleri</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Stabilite testi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8449"/>
                <w:sz w:val="19"/>
                <w:szCs w:val="19"/>
              </w:rPr>
              <w:t xml:space="preserve">✓ Tamamlandı</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5 seed, mean=+4.64±2.02</w:t>
            </w:r>
          </w:p>
        </w:tc>
      </w:tr>
      <w:tr>
        <w:trPr>
          <w:tblHeader w:val="false"/>
        </w:trP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Hyperparameter search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1E8449"/>
                <w:sz w:val="19"/>
                <w:szCs w:val="19"/>
              </w:rPr>
              <w:t xml:space="preserve">✓ Tamamlandı</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3×3 grid, mevcut seçim savunulabilir</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Reward ablation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8449"/>
                <w:sz w:val="19"/>
                <w:szCs w:val="19"/>
              </w:rPr>
              <w:t xml:space="preserve">✓ Tamamlandı</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Metodolojik bulgu olarak dokümante</w:t>
            </w:r>
          </w:p>
        </w:tc>
      </w:tr>
      <w:tr>
        <w:trPr>
          <w:tblHeader w:val="false"/>
        </w:trP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Shipping analizi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1E8449"/>
                <w:sz w:val="19"/>
                <w:szCs w:val="19"/>
              </w:rPr>
              <w:t xml:space="preserve">✓ Tamamlandı</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'Action space coverage gap' çerçevesi</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Gerçek cluster testi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 Planlı</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Yol haritasının son aşaması</w:t>
            </w:r>
          </w:p>
        </w:tc>
      </w:tr>
      <w:tr>
        <w:trPr>
          <w:tblHeader w:val="false"/>
        </w:trP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Confidence interval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 Önerilebilir</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5 dakikalık ekleme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XAI aşaması</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 Sıradaki</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MARL donduruldu</w:t>
            </w:r>
          </w:p>
        </w:tc>
      </w:tr>
    </w:tbl>
    <w:p>
      <w:pPr>
        <w:spacing w:after="100" w:before="100"/>
      </w:pPr>
      <w:r>
        <w:t xml:space="preserve"/>
      </w:r>
    </w:p>
    <w:p>
      <w:pPr>
        <w:pBdr>
          <w:left w:val="single" w:color="1E8449" w:sz="12" w:space="4"/>
        </w:pBdr>
        <w:shd w:fill="D5F5E3" w:val="clear"/>
        <w:spacing w:after="120" w:before="120"/>
        <w:ind w:left="360" w:right="360"/>
      </w:pPr>
      <w:r>
        <w:rPr>
          <w:rFonts w:ascii="Arial" w:cs="Arial" w:eastAsia="Arial" w:hAnsi="Arial"/>
          <w:i/>
          <w:iCs/>
          <w:sz w:val="21"/>
          <w:szCs w:val="21"/>
        </w:rPr>
        <w:t xml:space="preserve">Bu proje, Robot Shop mikroservis ortamında MARL tabanlı otomatik pod ölçeklendirmesinin pod-sensitive servislerde latency ve kaynak kullanımını eş zamanlı optimize edebildiğini istatistiksel olarak kanıtlamıştır. IPPO ve MAPPO'nun eşdeğer performansı, pratik dağıtık sistemler için partial observability'nin yeterliliğini ortaya koymaktadır. QMIX'in kısa horizon'da diverge etmesi value decomposition yöntemlerinin bu problem tipi için sınırını göstermekte olup literatüre özgün bir katkıdır.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E4F0" w:sz="6" w:space="2"/>
      </w:pBdr>
      <w:spacing w:after="20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150" w:before="300"/>
      <w:outlineLvl w:val="1"/>
    </w:pPr>
    <w:rPr>
      <w:rFonts w:ascii="Arial" w:cs="Arial" w:eastAsia="Arial" w:hAnsi="Arial"/>
      <w:b/>
      <w:bCs/>
      <w:color w:val="15436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2026-05-09T13:40:35.816Z</dcterms:created>
  <dcterms:modified xsi:type="dcterms:W3CDTF">2026-05-09T13:40:35.830Z</dcterms:modified>
</cp:coreProperties>
</file>

<file path=docProps/custom.xml><?xml version="1.0" encoding="utf-8"?>
<Properties xmlns="http://schemas.openxmlformats.org/officeDocument/2006/custom-properties" xmlns:vt="http://schemas.openxmlformats.org/officeDocument/2006/docPropsVTypes"/>
</file>