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88DDFF" w14:textId="71ACF376" w:rsidR="00150449" w:rsidRDefault="00150449" w:rsidP="00150449">
      <w:pPr>
        <w:spacing w:after="0" w:line="240" w:lineRule="auto"/>
      </w:pPr>
      <w:r>
        <w:t xml:space="preserve">Greetings University of the South </w:t>
      </w:r>
      <w:r w:rsidRPr="0071200F">
        <w:t>UOSPIT-DAI</w:t>
      </w:r>
      <w:r>
        <w:t>:</w:t>
      </w:r>
    </w:p>
    <w:p w14:paraId="3C3F11E1" w14:textId="77777777" w:rsidR="00150449" w:rsidRDefault="00150449" w:rsidP="00150449">
      <w:pPr>
        <w:spacing w:after="0" w:line="240" w:lineRule="auto"/>
      </w:pPr>
    </w:p>
    <w:p w14:paraId="51ACC686" w14:textId="16051D48" w:rsidR="00505E21" w:rsidRDefault="00150449" w:rsidP="00150449">
      <w:pPr>
        <w:spacing w:after="0" w:line="240" w:lineRule="auto"/>
      </w:pPr>
      <w:r>
        <w:t>The Free the Vote Coalition is a collection of groups seeking to restore the vote for formerly incarcerated persons in Tennessee. The challenge is that, although Tennessee has made advancements in voter restoration since 2006 (a state law was passed that expanded the right to vote for justice-impacted persons</w:t>
      </w:r>
      <w:r w:rsidR="00325EA8">
        <w:t>)</w:t>
      </w:r>
      <w:r>
        <w:t xml:space="preserve">, </w:t>
      </w:r>
      <w:proofErr w:type="gramStart"/>
      <w:r>
        <w:t>a large number of</w:t>
      </w:r>
      <w:proofErr w:type="gramEnd"/>
      <w:r>
        <w:t xml:space="preserve"> people in this cohort cannot vote. This is because the state has several requirements: </w:t>
      </w:r>
    </w:p>
    <w:p w14:paraId="44AFE573" w14:textId="77777777" w:rsidR="00901660" w:rsidRDefault="00150449" w:rsidP="00901660">
      <w:pPr>
        <w:pStyle w:val="ListParagraph"/>
        <w:numPr>
          <w:ilvl w:val="0"/>
          <w:numId w:val="1"/>
        </w:numPr>
        <w:spacing w:after="0" w:line="240" w:lineRule="auto"/>
      </w:pPr>
      <w:r>
        <w:t>persons must pay their legal financial obligations accrued during incarceration;</w:t>
      </w:r>
    </w:p>
    <w:p w14:paraId="120E250E" w14:textId="77777777" w:rsidR="00901660" w:rsidRDefault="00150449" w:rsidP="00901660">
      <w:pPr>
        <w:pStyle w:val="ListParagraph"/>
        <w:numPr>
          <w:ilvl w:val="0"/>
          <w:numId w:val="1"/>
        </w:numPr>
        <w:spacing w:after="0" w:line="240" w:lineRule="auto"/>
      </w:pPr>
      <w:r>
        <w:t xml:space="preserve">Tennessee is the only state that requires the payment of child support as a condition for voting for formerly incarcerated persons; </w:t>
      </w:r>
    </w:p>
    <w:p w14:paraId="16475578" w14:textId="77777777" w:rsidR="00ED0091" w:rsidRDefault="00901660" w:rsidP="00901660">
      <w:pPr>
        <w:pStyle w:val="ListParagraph"/>
        <w:numPr>
          <w:ilvl w:val="0"/>
          <w:numId w:val="1"/>
        </w:numPr>
        <w:spacing w:after="0" w:line="240" w:lineRule="auto"/>
      </w:pPr>
      <w:r>
        <w:t>Persons convicted of certain crimes, e.g., murders, rapes, are pe</w:t>
      </w:r>
      <w:r w:rsidR="00ED0091">
        <w:t>rmanently disqualified from voting;</w:t>
      </w:r>
    </w:p>
    <w:p w14:paraId="7CB7A384" w14:textId="77777777" w:rsidR="002943B4" w:rsidRDefault="00ED0091" w:rsidP="00901660">
      <w:pPr>
        <w:pStyle w:val="ListParagraph"/>
        <w:numPr>
          <w:ilvl w:val="0"/>
          <w:numId w:val="1"/>
        </w:numPr>
        <w:spacing w:after="0" w:line="240" w:lineRule="auto"/>
      </w:pPr>
      <w:r>
        <w:t xml:space="preserve">There </w:t>
      </w:r>
      <w:r w:rsidR="002943B4">
        <w:t>could be Federal offenses that bar voter participation;</w:t>
      </w:r>
    </w:p>
    <w:p w14:paraId="409316F8" w14:textId="493B91CC" w:rsidR="002943B4" w:rsidRDefault="002943B4" w:rsidP="00901660">
      <w:pPr>
        <w:pStyle w:val="ListParagraph"/>
        <w:numPr>
          <w:ilvl w:val="0"/>
          <w:numId w:val="1"/>
        </w:numPr>
        <w:spacing w:after="0" w:line="240" w:lineRule="auto"/>
      </w:pPr>
      <w:r>
        <w:t xml:space="preserve">Tennessee has a complicated </w:t>
      </w:r>
      <w:hyperlink r:id="rId5" w:history="1">
        <w:r w:rsidRPr="002943B4">
          <w:rPr>
            <w:rStyle w:val="Hyperlink"/>
          </w:rPr>
          <w:t>certificate of restoration</w:t>
        </w:r>
      </w:hyperlink>
      <w:r>
        <w:t xml:space="preserve"> process;</w:t>
      </w:r>
    </w:p>
    <w:p w14:paraId="4C87AEA6" w14:textId="71079EF2" w:rsidR="00150449" w:rsidRDefault="00150449" w:rsidP="00901660">
      <w:pPr>
        <w:pStyle w:val="ListParagraph"/>
        <w:numPr>
          <w:ilvl w:val="0"/>
          <w:numId w:val="1"/>
        </w:numPr>
        <w:spacing w:after="0" w:line="240" w:lineRule="auto"/>
      </w:pPr>
      <w:r>
        <w:t xml:space="preserve">and as </w:t>
      </w:r>
      <w:r w:rsidR="002943B4">
        <w:t>o</w:t>
      </w:r>
      <w:r>
        <w:t xml:space="preserve">f January 2024, persons can’t vote unless they get their </w:t>
      </w:r>
      <w:r w:rsidR="00325EA8">
        <w:t xml:space="preserve">full citizenship rights restored, including the restoration of the right to carry a gun. </w:t>
      </w:r>
    </w:p>
    <w:p w14:paraId="38CFFFF6" w14:textId="77777777" w:rsidR="00150449" w:rsidRDefault="00150449" w:rsidP="00150449">
      <w:pPr>
        <w:spacing w:after="0" w:line="240" w:lineRule="auto"/>
      </w:pPr>
    </w:p>
    <w:p w14:paraId="10FCCBCA" w14:textId="2849D433" w:rsidR="00150449" w:rsidRDefault="00150449" w:rsidP="00150449">
      <w:pPr>
        <w:spacing w:after="0" w:line="240" w:lineRule="auto"/>
      </w:pPr>
      <w:r>
        <w:t xml:space="preserve">As a result of these conditions, Tennessee has the </w:t>
      </w:r>
      <w:hyperlink r:id="rId6" w:history="1">
        <w:r w:rsidRPr="009E123C">
          <w:rPr>
            <w:rStyle w:val="Hyperlink"/>
          </w:rPr>
          <w:t>second-highest per capita</w:t>
        </w:r>
      </w:hyperlink>
      <w:r>
        <w:t xml:space="preserve"> in the country of formerly incarcerated persons</w:t>
      </w:r>
      <w:r w:rsidR="00083A2A">
        <w:t xml:space="preserve"> who cannot vote</w:t>
      </w:r>
      <w:r>
        <w:t xml:space="preserve">. This includes perhaps as much as 1/5 of African Americans. In total, an estimated 470,000 persons are disenfranchised. </w:t>
      </w:r>
    </w:p>
    <w:p w14:paraId="7307ADBE" w14:textId="77777777" w:rsidR="00150449" w:rsidRDefault="00150449" w:rsidP="00150449">
      <w:pPr>
        <w:spacing w:after="0" w:line="240" w:lineRule="auto"/>
      </w:pPr>
    </w:p>
    <w:p w14:paraId="5AB5CC0C" w14:textId="77777777" w:rsidR="00023470" w:rsidRDefault="00150449" w:rsidP="00150449">
      <w:pPr>
        <w:spacing w:after="0" w:line="240" w:lineRule="auto"/>
      </w:pPr>
      <w:r>
        <w:t xml:space="preserve">The problem is that we don’t have good data on where people are incarcerated and how many votes are lost. What we have are the following: 1) Tennessee Department of Corrections (TDOC) data; 2) </w:t>
      </w:r>
      <w:r w:rsidR="00B259DD">
        <w:t xml:space="preserve">the total # of </w:t>
      </w:r>
      <w:r>
        <w:t>persons incarcerated who are disqualified from voting</w:t>
      </w:r>
      <w:r w:rsidR="00B259DD">
        <w:t xml:space="preserve"> (see discussion above)</w:t>
      </w:r>
      <w:r>
        <w:t xml:space="preserve">. What’s missing is </w:t>
      </w:r>
      <w:r w:rsidR="000E2452">
        <w:t xml:space="preserve">the category of </w:t>
      </w:r>
      <w:r>
        <w:t xml:space="preserve">people who are disqualified because of legal financial obligations. In other words, this group is eligible </w:t>
      </w:r>
      <w:r w:rsidR="000E2452">
        <w:t xml:space="preserve">if </w:t>
      </w:r>
      <w:r>
        <w:t>they pa</w:t>
      </w:r>
      <w:r w:rsidR="000E2452">
        <w:t>id their debt</w:t>
      </w:r>
      <w:r w:rsidR="00707BDE">
        <w:t>:</w:t>
      </w:r>
      <w:r w:rsidR="000E2452">
        <w:t xml:space="preserve"> </w:t>
      </w:r>
      <w:r>
        <w:t>fines, fees,</w:t>
      </w:r>
      <w:r w:rsidR="000E2452">
        <w:t xml:space="preserve"> child support, etc. </w:t>
      </w:r>
      <w:r w:rsidR="00D55FBC">
        <w:t>(</w:t>
      </w:r>
      <w:r>
        <w:t>Note that persons who were incarcerated accrue fines and fees. Longer sentences can amount to hundreds of thousands of dollars.</w:t>
      </w:r>
      <w:r w:rsidR="00D55FBC">
        <w:t>)</w:t>
      </w:r>
      <w:r w:rsidR="00C1664F">
        <w:t xml:space="preserve"> </w:t>
      </w:r>
    </w:p>
    <w:p w14:paraId="416C644D" w14:textId="77777777" w:rsidR="00023470" w:rsidRDefault="00023470" w:rsidP="00150449">
      <w:pPr>
        <w:spacing w:after="0" w:line="240" w:lineRule="auto"/>
      </w:pPr>
    </w:p>
    <w:p w14:paraId="4902F360" w14:textId="0B61C918" w:rsidR="00150449" w:rsidRDefault="00C1664F" w:rsidP="00150449">
      <w:pPr>
        <w:spacing w:after="0" w:line="240" w:lineRule="auto"/>
      </w:pPr>
      <w:r>
        <w:t>We also have people who were incarcerated in other states and moved to Tennessee</w:t>
      </w:r>
      <w:r w:rsidR="00707BDE">
        <w:t>. N</w:t>
      </w:r>
      <w:r>
        <w:t>ow</w:t>
      </w:r>
      <w:r w:rsidR="00707BDE">
        <w:t>,</w:t>
      </w:r>
      <w:r>
        <w:t xml:space="preserve"> as a result of </w:t>
      </w:r>
      <w:hyperlink r:id="rId7" w:history="1">
        <w:r w:rsidRPr="00945859">
          <w:rPr>
            <w:rStyle w:val="Hyperlink"/>
            <w:i/>
            <w:iCs/>
          </w:rPr>
          <w:t>Falls v. Goins</w:t>
        </w:r>
      </w:hyperlink>
      <w:r>
        <w:t xml:space="preserve">, 2023,  these persons must comply with Tennessee law </w:t>
      </w:r>
      <w:r w:rsidR="00945859">
        <w:t xml:space="preserve">and have been declared ineligible to vote unless they meet </w:t>
      </w:r>
      <w:r w:rsidR="00CB45A4">
        <w:t>strict requirements</w:t>
      </w:r>
      <w:r w:rsidR="00353DF7">
        <w:t xml:space="preserve">. </w:t>
      </w:r>
    </w:p>
    <w:p w14:paraId="4E01039C" w14:textId="77777777" w:rsidR="0085483A" w:rsidRDefault="0085483A" w:rsidP="00150449">
      <w:pPr>
        <w:spacing w:after="0" w:line="240" w:lineRule="auto"/>
      </w:pPr>
    </w:p>
    <w:p w14:paraId="13523B7B" w14:textId="1A8DE57C" w:rsidR="0085483A" w:rsidRDefault="0085483A" w:rsidP="00150449">
      <w:pPr>
        <w:spacing w:after="0" w:line="240" w:lineRule="auto"/>
      </w:pPr>
      <w:r>
        <w:t xml:space="preserve">There are several ways to approach this depending on time, length, and available data. One way is to see how </w:t>
      </w:r>
      <w:r w:rsidR="00CB45A4">
        <w:t>many</w:t>
      </w:r>
      <w:r>
        <w:t xml:space="preserve"> votes are lost across all 95 Tennessee counties</w:t>
      </w:r>
      <w:r w:rsidR="00CB45A4">
        <w:t xml:space="preserve"> given the available data sources</w:t>
      </w:r>
      <w:r>
        <w:t xml:space="preserve">. </w:t>
      </w:r>
      <w:r w:rsidR="00F031C1">
        <w:t xml:space="preserve">Another way is to select several counties and </w:t>
      </w:r>
      <w:r w:rsidR="0004047E">
        <w:t>home in on</w:t>
      </w:r>
      <w:r w:rsidR="00F031C1">
        <w:t xml:space="preserve"> lost votes due to incarceration</w:t>
      </w:r>
      <w:r w:rsidR="00CB45A4">
        <w:t>, LFOS, etc.</w:t>
      </w:r>
      <w:r w:rsidR="00F031C1">
        <w:t xml:space="preserve"> during </w:t>
      </w:r>
      <w:r w:rsidR="00035DB1">
        <w:t xml:space="preserve">a given </w:t>
      </w:r>
      <w:r w:rsidR="00F031C1">
        <w:t xml:space="preserve">election year. </w:t>
      </w:r>
    </w:p>
    <w:p w14:paraId="376035BD" w14:textId="77777777" w:rsidR="00662167" w:rsidRDefault="00662167" w:rsidP="00150449">
      <w:pPr>
        <w:spacing w:after="0" w:line="240" w:lineRule="auto"/>
      </w:pPr>
    </w:p>
    <w:p w14:paraId="2075EE20" w14:textId="12DEDE41" w:rsidR="00662167" w:rsidRDefault="00662167" w:rsidP="00150449">
      <w:pPr>
        <w:spacing w:after="0" w:line="240" w:lineRule="auto"/>
      </w:pPr>
      <w:r>
        <w:t xml:space="preserve">These are some additional data sources that </w:t>
      </w:r>
      <w:r w:rsidR="00C01F40">
        <w:t>may assist with the project:</w:t>
      </w:r>
    </w:p>
    <w:p w14:paraId="43BD2094" w14:textId="77777777" w:rsidR="00C01F40" w:rsidRDefault="00C01F40" w:rsidP="00150449">
      <w:pPr>
        <w:spacing w:after="0" w:line="240" w:lineRule="auto"/>
      </w:pPr>
    </w:p>
    <w:p w14:paraId="5B9DE49D" w14:textId="0F056924" w:rsidR="00C01F40" w:rsidRPr="00DD4E71" w:rsidRDefault="00C01F40" w:rsidP="00150449">
      <w:pPr>
        <w:spacing w:after="0" w:line="240" w:lineRule="auto"/>
        <w:rPr>
          <w:b/>
          <w:bCs/>
        </w:rPr>
      </w:pPr>
      <w:r w:rsidRPr="00DD4E71">
        <w:rPr>
          <w:b/>
          <w:bCs/>
        </w:rPr>
        <w:t xml:space="preserve">LFOs </w:t>
      </w:r>
    </w:p>
    <w:p w14:paraId="2F7C111D" w14:textId="77777777" w:rsidR="0095532A" w:rsidRDefault="0095532A" w:rsidP="00150449">
      <w:pPr>
        <w:spacing w:after="0" w:line="240" w:lineRule="auto"/>
      </w:pPr>
    </w:p>
    <w:p w14:paraId="461F3614" w14:textId="1F8B5101" w:rsidR="00C01F40" w:rsidRDefault="0095532A" w:rsidP="00150449">
      <w:pPr>
        <w:spacing w:after="0" w:line="240" w:lineRule="auto"/>
      </w:pPr>
      <w:hyperlink r:id="rId8" w:history="1">
        <w:r w:rsidRPr="008A4A0E">
          <w:rPr>
            <w:rStyle w:val="Hyperlink"/>
          </w:rPr>
          <w:t>https://www.usccr.gov/files/pubs/2020/01-15-TN-LFO-Report.pdf</w:t>
        </w:r>
      </w:hyperlink>
    </w:p>
    <w:p w14:paraId="345F27E4" w14:textId="77777777" w:rsidR="0095532A" w:rsidRDefault="0095532A" w:rsidP="00150449">
      <w:pPr>
        <w:spacing w:after="0" w:line="240" w:lineRule="auto"/>
      </w:pPr>
    </w:p>
    <w:p w14:paraId="40F4F51B" w14:textId="1FDB57EA" w:rsidR="005206E5" w:rsidRDefault="0095532A" w:rsidP="00150449">
      <w:pPr>
        <w:spacing w:after="0" w:line="240" w:lineRule="auto"/>
      </w:pPr>
      <w:hyperlink r:id="rId9" w:history="1">
        <w:r w:rsidRPr="008A4A0E">
          <w:rPr>
            <w:rStyle w:val="Hyperlink"/>
          </w:rPr>
          <w:t>https://www.sycamoreinstitutetn.org/criminal-justice-fees-fines-11-policy-options/</w:t>
        </w:r>
      </w:hyperlink>
    </w:p>
    <w:p w14:paraId="33154F92" w14:textId="77777777" w:rsidR="0095532A" w:rsidRDefault="0095532A" w:rsidP="00150449">
      <w:pPr>
        <w:spacing w:after="0" w:line="240" w:lineRule="auto"/>
      </w:pPr>
    </w:p>
    <w:p w14:paraId="500F287E" w14:textId="6DEF62EB" w:rsidR="005206E5" w:rsidRDefault="0095532A" w:rsidP="00150449">
      <w:pPr>
        <w:spacing w:after="0" w:line="240" w:lineRule="auto"/>
      </w:pPr>
      <w:hyperlink r:id="rId10" w:history="1">
        <w:r w:rsidRPr="008A4A0E">
          <w:rPr>
            <w:rStyle w:val="Hyperlink"/>
          </w:rPr>
          <w:t>https://finesandfeesjusticecenter.org/jurisdictions/tennessee/</w:t>
        </w:r>
      </w:hyperlink>
    </w:p>
    <w:p w14:paraId="7F69443A" w14:textId="77777777" w:rsidR="0095532A" w:rsidRDefault="0095532A" w:rsidP="00150449">
      <w:pPr>
        <w:spacing w:after="0" w:line="240" w:lineRule="auto"/>
      </w:pPr>
    </w:p>
    <w:p w14:paraId="2B5A21F4" w14:textId="6A0113B5" w:rsidR="005206E5" w:rsidRDefault="0095532A" w:rsidP="00150449">
      <w:pPr>
        <w:spacing w:after="0" w:line="240" w:lineRule="auto"/>
      </w:pPr>
      <w:hyperlink r:id="rId11" w:history="1">
        <w:r w:rsidRPr="008A4A0E">
          <w:rPr>
            <w:rStyle w:val="Hyperlink"/>
          </w:rPr>
          <w:t>https://nashvillebanner.com/2024/04/10/tennessee-voter-turnout-problems/</w:t>
        </w:r>
      </w:hyperlink>
    </w:p>
    <w:p w14:paraId="5675FEEA" w14:textId="77777777" w:rsidR="0095532A" w:rsidRDefault="0095532A" w:rsidP="00150449">
      <w:pPr>
        <w:spacing w:after="0" w:line="240" w:lineRule="auto"/>
      </w:pPr>
    </w:p>
    <w:p w14:paraId="20B37833" w14:textId="0CB4CC11" w:rsidR="00C01F40" w:rsidRDefault="00C01F40" w:rsidP="00150449">
      <w:pPr>
        <w:spacing w:after="0" w:line="240" w:lineRule="auto"/>
      </w:pPr>
      <w:r w:rsidRPr="00DD4E71">
        <w:rPr>
          <w:b/>
          <w:bCs/>
        </w:rPr>
        <w:t>T</w:t>
      </w:r>
      <w:r w:rsidR="0095532A" w:rsidRPr="00DD4E71">
        <w:rPr>
          <w:b/>
          <w:bCs/>
        </w:rPr>
        <w:t>ennessee Department of Corrections</w:t>
      </w:r>
      <w:r>
        <w:t xml:space="preserve"> </w:t>
      </w:r>
    </w:p>
    <w:p w14:paraId="4F643B69" w14:textId="77777777" w:rsidR="00DD4E71" w:rsidRDefault="00DD4E71" w:rsidP="00150449">
      <w:pPr>
        <w:spacing w:after="0" w:line="240" w:lineRule="auto"/>
      </w:pPr>
    </w:p>
    <w:p w14:paraId="033393F2" w14:textId="116E4BF2" w:rsidR="00C01F40" w:rsidRDefault="0009044B" w:rsidP="00150449">
      <w:pPr>
        <w:spacing w:after="0" w:line="240" w:lineRule="auto"/>
      </w:pPr>
      <w:r>
        <w:t xml:space="preserve">Data for TDOC can be found at </w:t>
      </w:r>
      <w:r w:rsidR="007C7466" w:rsidRPr="007C7466">
        <w:t>https://www.tn.gov/correction/statistics/annual-reports.html</w:t>
      </w:r>
      <w:r w:rsidR="000A5FE1">
        <w:t xml:space="preserve"> (see reports on right-hand side labeled “statistics”). The reports give </w:t>
      </w:r>
      <w:r w:rsidR="004E19D4">
        <w:t xml:space="preserve">data on “felon population by conviction.” For example, see the annual report for 2023 - </w:t>
      </w:r>
      <w:hyperlink r:id="rId12" w:history="1">
        <w:r w:rsidR="001752AE" w:rsidRPr="008A4A0E">
          <w:rPr>
            <w:rStyle w:val="Hyperlink"/>
          </w:rPr>
          <w:t>https://www.tn.gov/content/dam/tn/correction/documents/StatisticalAbstract2023.pdf</w:t>
        </w:r>
      </w:hyperlink>
      <w:r w:rsidR="001752AE">
        <w:t xml:space="preserve"> (p. 12). </w:t>
      </w:r>
    </w:p>
    <w:p w14:paraId="58D1A16A" w14:textId="77777777" w:rsidR="001752AE" w:rsidRDefault="001752AE" w:rsidP="00150449">
      <w:pPr>
        <w:spacing w:after="0" w:line="240" w:lineRule="auto"/>
      </w:pPr>
    </w:p>
    <w:p w14:paraId="60F442DD" w14:textId="5D9F500F" w:rsidR="003065C7" w:rsidRPr="00DD4E71" w:rsidRDefault="003065C7" w:rsidP="00150449">
      <w:pPr>
        <w:spacing w:after="0" w:line="240" w:lineRule="auto"/>
        <w:rPr>
          <w:b/>
          <w:bCs/>
        </w:rPr>
      </w:pPr>
      <w:r w:rsidRPr="00DD4E71">
        <w:rPr>
          <w:b/>
          <w:bCs/>
        </w:rPr>
        <w:t xml:space="preserve">Voter Restoration and </w:t>
      </w:r>
      <w:r w:rsidR="00B8114C" w:rsidRPr="00DD4E71">
        <w:rPr>
          <w:b/>
          <w:bCs/>
        </w:rPr>
        <w:t>Related Issues</w:t>
      </w:r>
      <w:r w:rsidRPr="00DD4E71">
        <w:rPr>
          <w:b/>
          <w:bCs/>
        </w:rPr>
        <w:t xml:space="preserve"> </w:t>
      </w:r>
    </w:p>
    <w:p w14:paraId="776DD9F3" w14:textId="77777777" w:rsidR="003065C7" w:rsidRDefault="003065C7" w:rsidP="00150449">
      <w:pPr>
        <w:spacing w:after="0" w:line="240" w:lineRule="auto"/>
      </w:pPr>
    </w:p>
    <w:p w14:paraId="7C2406B7" w14:textId="77777777" w:rsidR="003065C7" w:rsidRDefault="003065C7" w:rsidP="003065C7">
      <w:pPr>
        <w:spacing w:after="0" w:line="240" w:lineRule="auto"/>
      </w:pPr>
      <w:hyperlink r:id="rId13" w:history="1">
        <w:r w:rsidRPr="00F90000">
          <w:rPr>
            <w:rStyle w:val="Hyperlink"/>
          </w:rPr>
          <w:t>https://decriminalizepoverty.org/report/</w:t>
        </w:r>
      </w:hyperlink>
      <w:r>
        <w:t xml:space="preserve"> </w:t>
      </w:r>
    </w:p>
    <w:p w14:paraId="2E220D86" w14:textId="77777777" w:rsidR="00E4752B" w:rsidRDefault="00E4752B" w:rsidP="003065C7">
      <w:pPr>
        <w:spacing w:after="0" w:line="240" w:lineRule="auto"/>
      </w:pPr>
    </w:p>
    <w:p w14:paraId="35229621" w14:textId="79684E6C" w:rsidR="003065C7" w:rsidRDefault="00E4752B" w:rsidP="003065C7">
      <w:pPr>
        <w:spacing w:after="0" w:line="240" w:lineRule="auto"/>
        <w:rPr>
          <w:rStyle w:val="Hyperlink"/>
        </w:rPr>
      </w:pPr>
      <w:hyperlink r:id="rId14" w:history="1">
        <w:r w:rsidRPr="008A4A0E">
          <w:rPr>
            <w:rStyle w:val="Hyperlink"/>
          </w:rPr>
          <w:t>https://www.vera.org/publications/the-criminalization-of-poverty-in-tennessee</w:t>
        </w:r>
      </w:hyperlink>
    </w:p>
    <w:p w14:paraId="019CD475" w14:textId="77777777" w:rsidR="00E4752B" w:rsidRDefault="00E4752B" w:rsidP="003065C7">
      <w:pPr>
        <w:spacing w:after="0" w:line="240" w:lineRule="auto"/>
      </w:pPr>
    </w:p>
    <w:p w14:paraId="7BC5C6EE" w14:textId="7361C016" w:rsidR="000F5819" w:rsidRDefault="00E4752B">
      <w:hyperlink r:id="rId15" w:history="1">
        <w:r w:rsidRPr="008A4A0E">
          <w:rPr>
            <w:rStyle w:val="Hyperlink"/>
          </w:rPr>
          <w:t>https://www.eac.gov/research-and-data/studies-and-reports</w:t>
        </w:r>
      </w:hyperlink>
      <w:r>
        <w:t xml:space="preserve"> (produces purges voters due to felony convictions, but ignores most of the formerly incarcerated persons barred from voting due to LFOs)</w:t>
      </w:r>
    </w:p>
    <w:p w14:paraId="6A04DF84" w14:textId="6926528C" w:rsidR="00856881" w:rsidRDefault="00856881">
      <w:hyperlink r:id="rId16" w:history="1">
        <w:r w:rsidRPr="008A4A0E">
          <w:rPr>
            <w:rStyle w:val="Hyperlink"/>
          </w:rPr>
          <w:t>https://www.themarshallproject.org/2019/09/19/tennessee-s-voter-restoration-gauntlet</w:t>
        </w:r>
      </w:hyperlink>
    </w:p>
    <w:p w14:paraId="0C853165" w14:textId="7FF49428" w:rsidR="00856881" w:rsidRDefault="005A35E8">
      <w:hyperlink r:id="rId17" w:history="1">
        <w:r w:rsidRPr="008A4A0E">
          <w:rPr>
            <w:rStyle w:val="Hyperlink"/>
          </w:rPr>
          <w:t>https://www.theguardian.com/us-news/2023/jul/22/tennessee-toughens-voting-rules-for-people-with-felony-convictions</w:t>
        </w:r>
      </w:hyperlink>
    </w:p>
    <w:p w14:paraId="591A1F2E" w14:textId="77647223" w:rsidR="005A35E8" w:rsidRDefault="00E25D96">
      <w:hyperlink r:id="rId18" w:history="1">
        <w:r w:rsidRPr="008A4A0E">
          <w:rPr>
            <w:rStyle w:val="Hyperlink"/>
          </w:rPr>
          <w:t>https://www.actionnews5.com/2024/04/03/tenn-election-commission-felons-must-have-gun-rights-restored-before-they-can-vote/</w:t>
        </w:r>
      </w:hyperlink>
    </w:p>
    <w:p w14:paraId="0CB70A84" w14:textId="77777777" w:rsidR="00E25D96" w:rsidRDefault="00E25D96"/>
    <w:p w14:paraId="0813B262" w14:textId="77777777" w:rsidR="00856881" w:rsidRDefault="00856881"/>
    <w:sectPr w:rsidR="008568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EFB1C81"/>
    <w:multiLevelType w:val="hybridMultilevel"/>
    <w:tmpl w:val="AFE8D8F0"/>
    <w:lvl w:ilvl="0" w:tplc="91BC75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7263396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449"/>
    <w:rsid w:val="00023470"/>
    <w:rsid w:val="00035DB1"/>
    <w:rsid w:val="0004047E"/>
    <w:rsid w:val="00083A2A"/>
    <w:rsid w:val="0009044B"/>
    <w:rsid w:val="000A5FE1"/>
    <w:rsid w:val="000E2452"/>
    <w:rsid w:val="000F5819"/>
    <w:rsid w:val="00150449"/>
    <w:rsid w:val="001752AE"/>
    <w:rsid w:val="002943B4"/>
    <w:rsid w:val="002B0234"/>
    <w:rsid w:val="002F7B67"/>
    <w:rsid w:val="003065C7"/>
    <w:rsid w:val="00325EA8"/>
    <w:rsid w:val="00353DF7"/>
    <w:rsid w:val="003F6306"/>
    <w:rsid w:val="004E118C"/>
    <w:rsid w:val="004E19D4"/>
    <w:rsid w:val="00505E21"/>
    <w:rsid w:val="005206E5"/>
    <w:rsid w:val="005A35E8"/>
    <w:rsid w:val="006413FA"/>
    <w:rsid w:val="00662167"/>
    <w:rsid w:val="00707BDE"/>
    <w:rsid w:val="007C7466"/>
    <w:rsid w:val="0085483A"/>
    <w:rsid w:val="00856881"/>
    <w:rsid w:val="00901660"/>
    <w:rsid w:val="00945859"/>
    <w:rsid w:val="0095532A"/>
    <w:rsid w:val="009E123C"/>
    <w:rsid w:val="00B259DD"/>
    <w:rsid w:val="00B8114C"/>
    <w:rsid w:val="00B844C9"/>
    <w:rsid w:val="00C01F40"/>
    <w:rsid w:val="00C1664F"/>
    <w:rsid w:val="00C600AE"/>
    <w:rsid w:val="00CB45A4"/>
    <w:rsid w:val="00D55FBC"/>
    <w:rsid w:val="00DD4E71"/>
    <w:rsid w:val="00DD707F"/>
    <w:rsid w:val="00E25D96"/>
    <w:rsid w:val="00E4752B"/>
    <w:rsid w:val="00ED0091"/>
    <w:rsid w:val="00F031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F40AC"/>
  <w15:chartTrackingRefBased/>
  <w15:docId w15:val="{8D407E6F-EDB2-4758-99ED-5D44EED6F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0449"/>
    <w:rPr>
      <w:kern w:val="0"/>
    </w:rPr>
  </w:style>
  <w:style w:type="paragraph" w:styleId="Heading1">
    <w:name w:val="heading 1"/>
    <w:basedOn w:val="Normal"/>
    <w:next w:val="Normal"/>
    <w:link w:val="Heading1Char"/>
    <w:uiPriority w:val="9"/>
    <w:qFormat/>
    <w:rsid w:val="001504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504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50449"/>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50449"/>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150449"/>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150449"/>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150449"/>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150449"/>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150449"/>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044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504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50449"/>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50449"/>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150449"/>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15044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15044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15044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15044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1504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04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0449"/>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044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150449"/>
    <w:pPr>
      <w:spacing w:before="160"/>
      <w:jc w:val="center"/>
    </w:pPr>
    <w:rPr>
      <w:i/>
      <w:iCs/>
      <w:color w:val="404040" w:themeColor="text1" w:themeTint="BF"/>
    </w:rPr>
  </w:style>
  <w:style w:type="character" w:customStyle="1" w:styleId="QuoteChar">
    <w:name w:val="Quote Char"/>
    <w:basedOn w:val="DefaultParagraphFont"/>
    <w:link w:val="Quote"/>
    <w:uiPriority w:val="29"/>
    <w:rsid w:val="00150449"/>
    <w:rPr>
      <w:i/>
      <w:iCs/>
      <w:color w:val="404040" w:themeColor="text1" w:themeTint="BF"/>
    </w:rPr>
  </w:style>
  <w:style w:type="paragraph" w:styleId="ListParagraph">
    <w:name w:val="List Paragraph"/>
    <w:basedOn w:val="Normal"/>
    <w:uiPriority w:val="34"/>
    <w:qFormat/>
    <w:rsid w:val="00150449"/>
    <w:pPr>
      <w:ind w:left="720"/>
      <w:contextualSpacing/>
    </w:pPr>
  </w:style>
  <w:style w:type="character" w:styleId="IntenseEmphasis">
    <w:name w:val="Intense Emphasis"/>
    <w:basedOn w:val="DefaultParagraphFont"/>
    <w:uiPriority w:val="21"/>
    <w:qFormat/>
    <w:rsid w:val="00150449"/>
    <w:rPr>
      <w:i/>
      <w:iCs/>
      <w:color w:val="0F4761" w:themeColor="accent1" w:themeShade="BF"/>
    </w:rPr>
  </w:style>
  <w:style w:type="paragraph" w:styleId="IntenseQuote">
    <w:name w:val="Intense Quote"/>
    <w:basedOn w:val="Normal"/>
    <w:next w:val="Normal"/>
    <w:link w:val="IntenseQuoteChar"/>
    <w:uiPriority w:val="30"/>
    <w:qFormat/>
    <w:rsid w:val="001504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50449"/>
    <w:rPr>
      <w:i/>
      <w:iCs/>
      <w:color w:val="0F4761" w:themeColor="accent1" w:themeShade="BF"/>
    </w:rPr>
  </w:style>
  <w:style w:type="character" w:styleId="IntenseReference">
    <w:name w:val="Intense Reference"/>
    <w:basedOn w:val="DefaultParagraphFont"/>
    <w:uiPriority w:val="32"/>
    <w:qFormat/>
    <w:rsid w:val="00150449"/>
    <w:rPr>
      <w:b/>
      <w:bCs/>
      <w:smallCaps/>
      <w:color w:val="0F4761" w:themeColor="accent1" w:themeShade="BF"/>
      <w:spacing w:val="5"/>
    </w:rPr>
  </w:style>
  <w:style w:type="character" w:styleId="Hyperlink">
    <w:name w:val="Hyperlink"/>
    <w:basedOn w:val="DefaultParagraphFont"/>
    <w:uiPriority w:val="99"/>
    <w:unhideWhenUsed/>
    <w:rsid w:val="002943B4"/>
    <w:rPr>
      <w:color w:val="467886" w:themeColor="hyperlink"/>
      <w:u w:val="single"/>
    </w:rPr>
  </w:style>
  <w:style w:type="character" w:styleId="UnresolvedMention">
    <w:name w:val="Unresolved Mention"/>
    <w:basedOn w:val="DefaultParagraphFont"/>
    <w:uiPriority w:val="99"/>
    <w:semiHidden/>
    <w:unhideWhenUsed/>
    <w:rsid w:val="002943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about:blank" TargetMode="External"/><Relationship Id="rId13" Type="http://schemas.openxmlformats.org/officeDocument/2006/relationships/hyperlink" Target="about:blank" TargetMode="External"/><Relationship Id="rId18" Type="http://schemas.openxmlformats.org/officeDocument/2006/relationships/hyperlink" Target="about:blank" TargetMode="External"/><Relationship Id="rId3" Type="http://schemas.openxmlformats.org/officeDocument/2006/relationships/settings" Target="settings.xml"/><Relationship Id="rId7" Type="http://schemas.openxmlformats.org/officeDocument/2006/relationships/hyperlink" Target="about:blank" TargetMode="External"/><Relationship Id="rId12" Type="http://schemas.openxmlformats.org/officeDocument/2006/relationships/hyperlink" Target="about:blank" TargetMode="External"/><Relationship Id="rId17" Type="http://schemas.openxmlformats.org/officeDocument/2006/relationships/hyperlink" Target="about:blank" TargetMode="External"/><Relationship Id="rId2" Type="http://schemas.openxmlformats.org/officeDocument/2006/relationships/styles" Target="styles.xml"/><Relationship Id="rId16" Type="http://schemas.openxmlformats.org/officeDocument/2006/relationships/hyperlink" Target="about:blank"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about:blank" TargetMode="External"/><Relationship Id="rId11" Type="http://schemas.openxmlformats.org/officeDocument/2006/relationships/hyperlink" Target="about:blank" TargetMode="External"/><Relationship Id="rId5" Type="http://schemas.openxmlformats.org/officeDocument/2006/relationships/hyperlink" Target="about:blank" TargetMode="External"/><Relationship Id="rId15" Type="http://schemas.openxmlformats.org/officeDocument/2006/relationships/hyperlink" Target="about:blank" TargetMode="External"/><Relationship Id="rId10" Type="http://schemas.openxmlformats.org/officeDocument/2006/relationships/hyperlink" Target="about:blank"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about:blank" TargetMode="External"/><Relationship Id="rId14" Type="http://schemas.openxmlformats.org/officeDocument/2006/relationships/hyperlink" Target="about:bl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2</Pages>
  <Words>790</Words>
  <Characters>4505</Characters>
  <Application>Microsoft Office Word</Application>
  <DocSecurity>0</DocSecurity>
  <Lines>37</Lines>
  <Paragraphs>10</Paragraphs>
  <ScaleCrop>false</ScaleCrop>
  <Company/>
  <LinksUpToDate>false</LinksUpToDate>
  <CharactersWithSpaces>5285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Sekou Franklin</dc:creator>
  <cp:keywords/>
  <dc:description/>
  <cp:lastModifiedBy>Sekou Franklin</cp:lastModifiedBy>
  <cp:revision>41</cp:revision>
  <dcterms:created xsi:type="dcterms:W3CDTF">2024-05-14T15:17:00Z</dcterms:created>
  <dcterms:modified xsi:type="dcterms:W3CDTF">2024-05-28T16:43:00Z</dcterms:modified>
</cp:coreProperties>
</file>