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2C1A0E" w:color="auto" w:val="clear"/>
            <w:tcMar>
              <w:top w:type="dxa" w:w="300"/>
              <w:left w:type="dxa" w:w="360"/>
              <w:bottom w:type="dxa" w:w="300"/>
              <w:right w:type="dxa" w:w="360"/>
            </w:tcMar>
          </w:tcPr>
          <w:p>
            <w:pPr>
              <w:spacing w:after="10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C9A84C"/>
                <w:spacing w:val="40"/>
                <w:sz w:val="40"/>
                <w:szCs w:val="40"/>
              </w:rPr>
              <w:t xml:space="preserve">ESPACE PROFESSIONNELS</w:t>
            </w:r>
          </w:p>
          <w:p>
            <w:pPr>
              <w:spacing w:after="0"/>
              <w:jc w:val="center"/>
            </w:pPr>
            <w:r>
              <w:rPr>
                <w:rFonts w:ascii="Georgia" w:cs="Georgia" w:eastAsia="Georgia" w:hAnsi="Georgia"/>
                <w:i/>
                <w:iCs/>
                <w:color w:val="E8D5A3"/>
                <w:sz w:val="22"/>
                <w:szCs w:val="22"/>
              </w:rPr>
              <w:t xml:space="preserve">Tapis orientaux  ·  Soie  ·  Laine  ·  Point chaîne</w:t>
            </w:r>
          </w:p>
        </w:tc>
      </w:tr>
    </w:tbl>
    <w:p>
      <w:pPr>
        <w:spacing w:after="180" w:line="290"/>
      </w:pPr>
      <w:r>
        <w:rPr>
          <w:rFonts w:ascii="Georgia" w:cs="Georgia" w:eastAsia="Georgia" w:hAnsi="Georgia"/>
          <w:color w:val="2C1A0E"/>
          <w:sz w:val="21"/>
          <w:szCs w:val="21"/>
        </w:rPr>
        <w:t xml:space="preserve"/>
      </w:r>
    </w:p>
    <w:tbl>
      <w:tblPr>
        <w:tblW w:type="dxa" w:w="9360"/>
        <w:tblBorders>
          <w:top w:val="none" w:color="auto" w:sz="0"/>
          <w:left w:val="single" w:color="C9A84C" w:sz="18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9F3E3" w:color="auto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0" w:line="290"/>
            </w:pPr>
            <w:r>
              <w:rPr>
                <w:rFonts w:ascii="Georgia" w:cs="Georgia" w:eastAsia="Georgia" w:hAnsi="Georgia"/>
                <w:i/>
                <w:iCs/>
                <w:color w:val="7A5C2E"/>
                <w:sz w:val="22"/>
                <w:szCs w:val="22"/>
              </w:rPr>
              <w:t xml:space="preserve">Vendre nos tapis dans votre point de vente : conditions de gros, stock disponible et services réservés aux revendeurs, décorateurs, hôteliers et galeries.</w:t>
            </w:r>
          </w:p>
        </w:tc>
      </w:tr>
    </w:tbl>
    <w:p>
      <w:pPr>
        <w:spacing w:after="120" w:line="290"/>
      </w:pPr>
      <w:r>
        <w:rPr>
          <w:rFonts w:ascii="Georgia" w:cs="Georgia" w:eastAsia="Georgia" w:hAnsi="Georgia"/>
          <w:color w:val="2C1A0E"/>
          <w:sz w:val="21"/>
          <w:szCs w:val="21"/>
        </w:rPr>
        <w:t xml:space="preserve"/>
      </w:r>
    </w:p>
    <w:p>
      <w:pPr>
        <w:pStyle w:val="Heading1"/>
        <w:pBdr>
          <w:bottom w:val="single" w:color="C9A84C" w:sz="12" w:space="6"/>
        </w:pBdr>
        <w:spacing w:after="130" w:before="240"/>
      </w:pPr>
      <w:r>
        <w:rPr>
          <w:rFonts w:ascii="Georgia" w:cs="Georgia" w:eastAsia="Georgia" w:hAnsi="Georgia"/>
          <w:b/>
          <w:bCs/>
          <w:color w:val="7A5C2E"/>
          <w:sz w:val="26"/>
          <w:szCs w:val="26"/>
        </w:rPr>
        <w:t xml:space="preserve">Notre proposition</w:t>
      </w:r>
    </w:p>
    <w:p>
      <w:pPr>
        <w:spacing w:after="110" w:line="290"/>
      </w:pPr>
      <w:r>
        <w:rPr>
          <w:rFonts w:ascii="Georgia" w:cs="Georgia" w:eastAsia="Georgia" w:hAnsi="Georgia"/>
          <w:color w:val="2C1A0E"/>
          <w:sz w:val="21"/>
          <w:szCs w:val="21"/>
        </w:rPr>
        <w:t xml:space="preserve">Nous importons et sélectionnons des tapis orientaux noués à la main, puis nous les proposons en direct aux professionnels, sans intermédiaire. Chaque pièce est référencée par balle, contrôlée à l'arrivée et disponible immédiatement depuis notre stock.</w:t>
      </w:r>
    </w:p>
    <w:p>
      <w:pPr>
        <w:spacing w:after="110" w:line="290"/>
      </w:pPr>
      <w:r>
        <w:rPr>
          <w:rFonts w:ascii="Georgia" w:cs="Georgia" w:eastAsia="Georgia" w:hAnsi="Georgia"/>
          <w:color w:val="2C1A0E"/>
          <w:sz w:val="21"/>
          <w:szCs w:val="21"/>
        </w:rPr>
        <w:t xml:space="preserve">L'ouverture d'un compte professionnel donne accès aux tarifs de gros, à la réservation de pièces uniques et à un accompagnement sur la constitution de votre assortiment.</w:t>
      </w:r>
    </w:p>
    <w:p>
      <w:pPr>
        <w:pStyle w:val="Heading1"/>
        <w:pBdr>
          <w:bottom w:val="single" w:color="C9A84C" w:sz="12" w:space="6"/>
        </w:pBdr>
        <w:spacing w:after="130" w:before="240"/>
      </w:pPr>
      <w:r>
        <w:rPr>
          <w:rFonts w:ascii="Georgia" w:cs="Georgia" w:eastAsia="Georgia" w:hAnsi="Georgia"/>
          <w:b/>
          <w:bCs/>
          <w:color w:val="7A5C2E"/>
          <w:sz w:val="26"/>
          <w:szCs w:val="26"/>
        </w:rPr>
        <w:t xml:space="preserve">À qui s'adresse cet espace</w:t>
      </w:r>
    </w:p>
    <w:p>
      <w:pPr>
        <w:pStyle w:val="ListParagraph"/>
        <w:numPr>
          <w:ilvl w:val="0"/>
          <w:numId w:val="2"/>
        </w:numPr>
        <w:spacing w:after="70" w:line="285"/>
      </w:pPr>
      <w:r>
        <w:rPr>
          <w:rFonts w:ascii="Georgia" w:cs="Georgia" w:eastAsia="Georgia" w:hAnsi="Georgia"/>
          <w:b/>
          <w:bCs/>
          <w:color w:val="2C1A0E"/>
          <w:sz w:val="21"/>
          <w:szCs w:val="21"/>
        </w:rPr>
        <w:t xml:space="preserve">Revendeurs et magasins de décoration</w:t>
      </w:r>
      <w:r>
        <w:rPr>
          <w:rFonts w:ascii="Georgia" w:cs="Georgia" w:eastAsia="Georgia" w:hAnsi="Georgia"/>
          <w:color w:val="2C1A0E"/>
          <w:sz w:val="21"/>
          <w:szCs w:val="21"/>
        </w:rPr>
        <w:t xml:space="preserve"> — assortiment complet ou sélection ciblée.</w:t>
      </w:r>
    </w:p>
    <w:p>
      <w:pPr>
        <w:pStyle w:val="ListParagraph"/>
        <w:numPr>
          <w:ilvl w:val="0"/>
          <w:numId w:val="2"/>
        </w:numPr>
        <w:spacing w:after="70" w:line="285"/>
      </w:pPr>
      <w:r>
        <w:rPr>
          <w:rFonts w:ascii="Georgia" w:cs="Georgia" w:eastAsia="Georgia" w:hAnsi="Georgia"/>
          <w:b/>
          <w:bCs/>
          <w:color w:val="2C1A0E"/>
          <w:sz w:val="21"/>
          <w:szCs w:val="21"/>
        </w:rPr>
        <w:t xml:space="preserve">Décorateurs et architectes d'intérieur</w:t>
      </w:r>
      <w:r>
        <w:rPr>
          <w:rFonts w:ascii="Georgia" w:cs="Georgia" w:eastAsia="Georgia" w:hAnsi="Georgia"/>
          <w:color w:val="2C1A0E"/>
          <w:sz w:val="21"/>
          <w:szCs w:val="21"/>
        </w:rPr>
        <w:t xml:space="preserve"> — recherche de pièces sur mesure pour un projet.</w:t>
      </w:r>
    </w:p>
    <w:p>
      <w:pPr>
        <w:pStyle w:val="ListParagraph"/>
        <w:numPr>
          <w:ilvl w:val="0"/>
          <w:numId w:val="2"/>
        </w:numPr>
        <w:spacing w:after="70" w:line="285"/>
      </w:pPr>
      <w:r>
        <w:rPr>
          <w:rFonts w:ascii="Georgia" w:cs="Georgia" w:eastAsia="Georgia" w:hAnsi="Georgia"/>
          <w:b/>
          <w:bCs/>
          <w:color w:val="2C1A0E"/>
          <w:sz w:val="21"/>
          <w:szCs w:val="21"/>
        </w:rPr>
        <w:t xml:space="preserve">Hôtellerie et restauration</w:t>
      </w:r>
      <w:r>
        <w:rPr>
          <w:rFonts w:ascii="Georgia" w:cs="Georgia" w:eastAsia="Georgia" w:hAnsi="Georgia"/>
          <w:color w:val="2C1A0E"/>
          <w:sz w:val="21"/>
          <w:szCs w:val="21"/>
        </w:rPr>
        <w:t xml:space="preserve"> — équipement de chambres, halls et espaces de réception.</w:t>
      </w:r>
    </w:p>
    <w:p>
      <w:pPr>
        <w:pStyle w:val="ListParagraph"/>
        <w:numPr>
          <w:ilvl w:val="0"/>
          <w:numId w:val="2"/>
        </w:numPr>
        <w:spacing w:after="70" w:line="285"/>
      </w:pPr>
      <w:r>
        <w:rPr>
          <w:rFonts w:ascii="Georgia" w:cs="Georgia" w:eastAsia="Georgia" w:hAnsi="Georgia"/>
          <w:b/>
          <w:bCs/>
          <w:color w:val="2C1A0E"/>
          <w:sz w:val="21"/>
          <w:szCs w:val="21"/>
        </w:rPr>
        <w:t xml:space="preserve">Galeries et antiquaires</w:t>
      </w:r>
      <w:r>
        <w:rPr>
          <w:rFonts w:ascii="Georgia" w:cs="Georgia" w:eastAsia="Georgia" w:hAnsi="Georgia"/>
          <w:color w:val="2C1A0E"/>
          <w:sz w:val="21"/>
          <w:szCs w:val="21"/>
        </w:rPr>
        <w:t xml:space="preserve"> — pièces rares en soie pure et grands formats.</w:t>
      </w:r>
    </w:p>
    <w:p>
      <w:pPr>
        <w:pStyle w:val="Heading1"/>
        <w:pBdr>
          <w:bottom w:val="single" w:color="C9A84C" w:sz="12" w:space="6"/>
        </w:pBdr>
        <w:spacing w:after="130" w:before="240"/>
      </w:pPr>
      <w:r>
        <w:rPr>
          <w:rFonts w:ascii="Georgia" w:cs="Georgia" w:eastAsia="Georgia" w:hAnsi="Georgia"/>
          <w:b/>
          <w:bCs/>
          <w:color w:val="7A5C2E"/>
          <w:sz w:val="26"/>
          <w:szCs w:val="26"/>
        </w:rPr>
        <w:t xml:space="preserve">Le stock en un coup d'œil</w:t>
      </w:r>
    </w:p>
    <w:tbl>
      <w:tblPr>
        <w:tblW w:type="dxa" w:w="9360"/>
        <w:tblBorders>
          <w:top w:val="single" w:color="E0D0B0" w:sz="4"/>
          <w:left w:val="none" w:color="auto" w:sz="0"/>
          <w:bottom w:val="single" w:color="E0D0B0" w:sz="4"/>
          <w:right w:val="none" w:color="auto" w:sz="0"/>
          <w:insideH w:val="single" w:color="E0D0B0" w:sz="4"/>
          <w:insideV w:val="none" w:color="auto" w:sz="0"/>
        </w:tblBorders>
      </w:tblPr>
      <w:tblGrid>
        <w:gridCol w:w="2000"/>
        <w:gridCol w:w="1500"/>
        <w:gridCol w:w="1300"/>
        <w:gridCol w:w="4560"/>
      </w:tblGrid>
      <w:tr>
        <w:trPr>
          <w:tblHeader/>
        </w:trPr>
        <w:tc>
          <w:tcPr>
            <w:tcW w:type="dxa" w:w="2000"/>
            <w:shd w:fill="2C1A0E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b/>
                <w:bCs/>
                <w:color w:val="C9A84C"/>
                <w:sz w:val="19"/>
                <w:szCs w:val="19"/>
              </w:rPr>
              <w:t xml:space="preserve">Qualité</w:t>
            </w:r>
          </w:p>
        </w:tc>
        <w:tc>
          <w:tcPr>
            <w:tcW w:type="dxa" w:w="1500"/>
            <w:shd w:fill="2C1A0E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b/>
                <w:bCs/>
                <w:color w:val="C9A84C"/>
                <w:sz w:val="19"/>
                <w:szCs w:val="19"/>
              </w:rPr>
              <w:t xml:space="preserve">Références</w:t>
            </w:r>
          </w:p>
        </w:tc>
        <w:tc>
          <w:tcPr>
            <w:tcW w:type="dxa" w:w="1300"/>
            <w:shd w:fill="2C1A0E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b/>
                <w:bCs/>
                <w:color w:val="C9A84C"/>
                <w:sz w:val="19"/>
                <w:szCs w:val="19"/>
              </w:rPr>
              <w:t xml:space="preserve">Pièces</w:t>
            </w:r>
          </w:p>
        </w:tc>
        <w:tc>
          <w:tcPr>
            <w:tcW w:type="dxa" w:w="4560"/>
            <w:shd w:fill="2C1A0E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b/>
                <w:bCs/>
                <w:color w:val="C9A84C"/>
                <w:sz w:val="19"/>
                <w:szCs w:val="19"/>
              </w:rPr>
              <w:t xml:space="preserve">Usage conseillé</w:t>
            </w:r>
          </w:p>
        </w:tc>
      </w:tr>
      <w:tr>
        <w:tc>
          <w:tcPr>
            <w:tcW w:type="dxa" w:w="2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color w:val="2C1A0E"/>
                <w:sz w:val="20"/>
                <w:szCs w:val="20"/>
              </w:rPr>
              <w:t xml:space="preserve">Soie pure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color w:val="2C1A0E"/>
                <w:sz w:val="20"/>
                <w:szCs w:val="20"/>
              </w:rPr>
              <w:t xml:space="preserve">37</w:t>
            </w:r>
          </w:p>
        </w:tc>
        <w:tc>
          <w:tcPr>
            <w:tcW w:type="dxa" w:w="1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color w:val="2C1A0E"/>
                <w:sz w:val="20"/>
                <w:szCs w:val="20"/>
              </w:rPr>
              <w:t xml:space="preserve">74</w:t>
            </w:r>
          </w:p>
        </w:tc>
        <w:tc>
          <w:tcPr>
            <w:tcW w:type="dxa" w:w="45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color w:val="2C1A0E"/>
                <w:sz w:val="20"/>
                <w:szCs w:val="20"/>
              </w:rPr>
              <w:t xml:space="preserve">Pièces d'exception, vitrine, galerie</w:t>
            </w:r>
          </w:p>
        </w:tc>
      </w:tr>
      <w:tr>
        <w:tc>
          <w:tcPr>
            <w:tcW w:type="dxa" w:w="2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color w:val="2C1A0E"/>
                <w:sz w:val="20"/>
                <w:szCs w:val="20"/>
              </w:rPr>
              <w:t xml:space="preserve">Soie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color w:val="2C1A0E"/>
                <w:sz w:val="20"/>
                <w:szCs w:val="20"/>
              </w:rPr>
              <w:t xml:space="preserve">27</w:t>
            </w:r>
          </w:p>
        </w:tc>
        <w:tc>
          <w:tcPr>
            <w:tcW w:type="dxa" w:w="1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color w:val="2C1A0E"/>
                <w:sz w:val="20"/>
                <w:szCs w:val="20"/>
              </w:rPr>
              <w:t xml:space="preserve">50</w:t>
            </w:r>
          </w:p>
        </w:tc>
        <w:tc>
          <w:tcPr>
            <w:tcW w:type="dxa" w:w="45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color w:val="2C1A0E"/>
                <w:sz w:val="20"/>
                <w:szCs w:val="20"/>
              </w:rPr>
              <w:t xml:space="preserve">Salon, chambre, showroom</w:t>
            </w:r>
          </w:p>
        </w:tc>
      </w:tr>
      <w:tr>
        <w:tc>
          <w:tcPr>
            <w:tcW w:type="dxa" w:w="2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color w:val="2C1A0E"/>
                <w:sz w:val="20"/>
                <w:szCs w:val="20"/>
              </w:rPr>
              <w:t xml:space="preserve">Point chaîne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color w:val="2C1A0E"/>
                <w:sz w:val="20"/>
                <w:szCs w:val="20"/>
              </w:rPr>
              <w:t xml:space="preserve">26</w:t>
            </w:r>
          </w:p>
        </w:tc>
        <w:tc>
          <w:tcPr>
            <w:tcW w:type="dxa" w:w="1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color w:val="2C1A0E"/>
                <w:sz w:val="20"/>
                <w:szCs w:val="20"/>
              </w:rPr>
              <w:t xml:space="preserve">49</w:t>
            </w:r>
          </w:p>
        </w:tc>
        <w:tc>
          <w:tcPr>
            <w:tcW w:type="dxa" w:w="45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color w:val="2C1A0E"/>
                <w:sz w:val="20"/>
                <w:szCs w:val="20"/>
              </w:rPr>
              <w:t xml:space="preserve">Passages, couloirs, chambres d'hôtel</w:t>
            </w:r>
          </w:p>
        </w:tc>
      </w:tr>
      <w:tr>
        <w:tc>
          <w:tcPr>
            <w:tcW w:type="dxa" w:w="2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color w:val="2C1A0E"/>
                <w:sz w:val="20"/>
                <w:szCs w:val="20"/>
              </w:rPr>
              <w:t xml:space="preserve">Laine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color w:val="2C1A0E"/>
                <w:sz w:val="20"/>
                <w:szCs w:val="20"/>
              </w:rPr>
              <w:t xml:space="preserve">19</w:t>
            </w:r>
          </w:p>
        </w:tc>
        <w:tc>
          <w:tcPr>
            <w:tcW w:type="dxa" w:w="1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color w:val="2C1A0E"/>
                <w:sz w:val="20"/>
                <w:szCs w:val="20"/>
              </w:rPr>
              <w:t xml:space="preserve">30</w:t>
            </w:r>
          </w:p>
        </w:tc>
        <w:tc>
          <w:tcPr>
            <w:tcW w:type="dxa" w:w="45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color w:val="2C1A0E"/>
                <w:sz w:val="20"/>
                <w:szCs w:val="20"/>
              </w:rPr>
              <w:t xml:space="preserve">Séjour, usage intensif</w:t>
            </w:r>
          </w:p>
        </w:tc>
      </w:tr>
      <w:tr>
        <w:tc>
          <w:tcPr>
            <w:tcW w:type="dxa" w:w="2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color w:val="2C1A0E"/>
                <w:sz w:val="20"/>
                <w:szCs w:val="20"/>
              </w:rPr>
              <w:t xml:space="preserve">Soie filée</w:t>
            </w:r>
          </w:p>
        </w:tc>
        <w:tc>
          <w:tcPr>
            <w:tcW w:type="dxa" w:w="1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color w:val="2C1A0E"/>
                <w:sz w:val="20"/>
                <w:szCs w:val="20"/>
              </w:rPr>
              <w:t xml:space="preserve">18</w:t>
            </w:r>
          </w:p>
        </w:tc>
        <w:tc>
          <w:tcPr>
            <w:tcW w:type="dxa" w:w="1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color w:val="2C1A0E"/>
                <w:sz w:val="20"/>
                <w:szCs w:val="20"/>
              </w:rPr>
              <w:t xml:space="preserve">27</w:t>
            </w:r>
          </w:p>
        </w:tc>
        <w:tc>
          <w:tcPr>
            <w:tcW w:type="dxa" w:w="45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color w:val="2C1A0E"/>
                <w:sz w:val="20"/>
                <w:szCs w:val="20"/>
              </w:rPr>
              <w:t xml:space="preserve">Bon rapport qualité-prix, volume</w:t>
            </w:r>
          </w:p>
        </w:tc>
      </w:tr>
      <w:tr>
        <w:tc>
          <w:tcPr>
            <w:tcW w:type="dxa" w:w="2000"/>
            <w:shd w:fill="F5F0E8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b/>
                <w:bCs/>
                <w:color w:val="2C1A0E"/>
                <w:sz w:val="20"/>
                <w:szCs w:val="20"/>
              </w:rPr>
              <w:t xml:space="preserve">Total</w:t>
            </w:r>
          </w:p>
        </w:tc>
        <w:tc>
          <w:tcPr>
            <w:tcW w:type="dxa" w:w="1500"/>
            <w:shd w:fill="F5F0E8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b/>
                <w:bCs/>
                <w:color w:val="2C1A0E"/>
                <w:sz w:val="20"/>
                <w:szCs w:val="20"/>
              </w:rPr>
              <w:t xml:space="preserve">128</w:t>
            </w:r>
          </w:p>
        </w:tc>
        <w:tc>
          <w:tcPr>
            <w:tcW w:type="dxa" w:w="1300"/>
            <w:shd w:fill="F5F0E8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b/>
                <w:bCs/>
                <w:color w:val="2C1A0E"/>
                <w:sz w:val="20"/>
                <w:szCs w:val="20"/>
              </w:rPr>
              <w:t xml:space="preserve">234</w:t>
            </w:r>
          </w:p>
        </w:tc>
        <w:tc>
          <w:tcPr>
            <w:tcW w:type="dxa" w:w="4560"/>
            <w:shd w:fill="F5F0E8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b/>
                <w:bCs/>
                <w:color w:val="2C1A0E"/>
                <w:sz w:val="20"/>
                <w:szCs w:val="20"/>
              </w:rPr>
              <w:t xml:space="preserve">33 formats, de 30 × 90 à 360 × 540 cm</w:t>
            </w:r>
          </w:p>
        </w:tc>
      </w:tr>
    </w:tbl>
    <w:p>
      <w:pPr>
        <w:spacing w:after="110" w:before="100" w:line="290"/>
      </w:pPr>
      <w:r>
        <w:rPr>
          <w:rFonts w:ascii="Georgia" w:cs="Georgia" w:eastAsia="Georgia" w:hAnsi="Georgia"/>
          <w:i/>
          <w:iCs/>
          <w:color w:val="7A5C2E"/>
          <w:sz w:val="18"/>
          <w:szCs w:val="18"/>
        </w:rPr>
        <w:t xml:space="preserve">Stock au 1er septembre 2026. Les quantités évoluent quotidiennement : la disponibilité est confirmée à la commande.</w:t>
      </w:r>
    </w:p>
    <w:p>
      <w:pPr>
        <w:pStyle w:val="Heading1"/>
        <w:pBdr>
          <w:bottom w:val="single" w:color="C9A84C" w:sz="12" w:space="6"/>
        </w:pBdr>
        <w:spacing w:after="130" w:before="240"/>
      </w:pPr>
      <w:r>
        <w:rPr>
          <w:rFonts w:ascii="Georgia" w:cs="Georgia" w:eastAsia="Georgia" w:hAnsi="Georgia"/>
          <w:b/>
          <w:bCs/>
          <w:color w:val="7A5C2E"/>
          <w:sz w:val="26"/>
          <w:szCs w:val="26"/>
        </w:rPr>
        <w:t xml:space="preserve">Conditions commerciales</w:t>
      </w:r>
    </w:p>
    <w:tbl>
      <w:tblPr>
        <w:tblW w:type="dxa" w:w="9360"/>
        <w:tblBorders>
          <w:top w:val="single" w:color="E0D0B0" w:sz="4"/>
          <w:left w:val="none" w:color="auto" w:sz="0"/>
          <w:bottom w:val="single" w:color="E0D0B0" w:sz="4"/>
          <w:right w:val="none" w:color="auto" w:sz="0"/>
          <w:insideH w:val="single" w:color="E0D0B0" w:sz="4"/>
          <w:insideV w:val="none" w:color="auto" w:sz="0"/>
        </w:tblBorders>
      </w:tblPr>
      <w:tblGrid>
        <w:gridCol w:w="1900"/>
        <w:gridCol w:w="2600"/>
        <w:gridCol w:w="2200"/>
        <w:gridCol w:w="2660"/>
      </w:tblGrid>
      <w:tr>
        <w:trPr>
          <w:tblHeader/>
        </w:trPr>
        <w:tc>
          <w:tcPr>
            <w:tcW w:type="dxa" w:w="1900"/>
            <w:shd w:fill="2C1A0E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b/>
                <w:bCs/>
                <w:color w:val="C9A84C"/>
                <w:sz w:val="19"/>
                <w:szCs w:val="19"/>
              </w:rPr>
              <w:t xml:space="preserve">Palier</w:t>
            </w:r>
          </w:p>
        </w:tc>
        <w:tc>
          <w:tcPr>
            <w:tcW w:type="dxa" w:w="2600"/>
            <w:shd w:fill="2C1A0E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b/>
                <w:bCs/>
                <w:color w:val="C9A84C"/>
                <w:sz w:val="19"/>
                <w:szCs w:val="19"/>
              </w:rPr>
              <w:t xml:space="preserve">Volume par commande</w:t>
            </w:r>
          </w:p>
        </w:tc>
        <w:tc>
          <w:tcPr>
            <w:tcW w:type="dxa" w:w="2200"/>
            <w:shd w:fill="2C1A0E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b/>
                <w:bCs/>
                <w:color w:val="C9A84C"/>
                <w:sz w:val="19"/>
                <w:szCs w:val="19"/>
              </w:rPr>
              <w:t xml:space="preserve">Remise</w:t>
            </w:r>
          </w:p>
        </w:tc>
        <w:tc>
          <w:tcPr>
            <w:tcW w:type="dxa" w:w="2660"/>
            <w:shd w:fill="2C1A0E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b/>
                <w:bCs/>
                <w:color w:val="C9A84C"/>
                <w:sz w:val="19"/>
                <w:szCs w:val="19"/>
              </w:rPr>
              <w:t xml:space="preserve">Livraison</w:t>
            </w:r>
          </w:p>
        </w:tc>
      </w:tr>
      <w:tr>
        <w:tc>
          <w:tcPr>
            <w:tcW w:type="dxa" w:w="1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color w:val="2C1A0E"/>
                <w:sz w:val="20"/>
                <w:szCs w:val="20"/>
              </w:rPr>
              <w:t xml:space="preserve">Découverte</w:t>
            </w:r>
          </w:p>
        </w:tc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color w:val="2C1A0E"/>
                <w:sz w:val="20"/>
                <w:szCs w:val="20"/>
              </w:rPr>
              <w:t xml:space="preserve">3 à 9 pièces</w:t>
            </w:r>
          </w:p>
        </w:tc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color w:val="2C1A0E"/>
                <w:sz w:val="20"/>
                <w:szCs w:val="20"/>
              </w:rPr>
              <w:t xml:space="preserve">Tarif professionnel</w:t>
            </w:r>
          </w:p>
        </w:tc>
        <w:tc>
          <w:tcPr>
            <w:tcW w:type="dxa" w:w="26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color w:val="2C1A0E"/>
                <w:sz w:val="20"/>
                <w:szCs w:val="20"/>
              </w:rPr>
              <w:t xml:space="preserve">Au tarif en vigueur</w:t>
            </w:r>
          </w:p>
        </w:tc>
      </w:tr>
      <w:tr>
        <w:tc>
          <w:tcPr>
            <w:tcW w:type="dxa" w:w="1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color w:val="2C1A0E"/>
                <w:sz w:val="20"/>
                <w:szCs w:val="20"/>
              </w:rPr>
              <w:t xml:space="preserve">Revendeur</w:t>
            </w:r>
          </w:p>
        </w:tc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color w:val="2C1A0E"/>
                <w:sz w:val="20"/>
                <w:szCs w:val="20"/>
              </w:rPr>
              <w:t xml:space="preserve">10 à 24 pièces</w:t>
            </w:r>
          </w:p>
        </w:tc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color w:val="2C1A0E"/>
                <w:sz w:val="20"/>
                <w:szCs w:val="20"/>
              </w:rPr>
              <w:t xml:space="preserve">−10 %</w:t>
            </w:r>
          </w:p>
        </w:tc>
        <w:tc>
          <w:tcPr>
            <w:tcW w:type="dxa" w:w="26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color w:val="2C1A0E"/>
                <w:sz w:val="20"/>
                <w:szCs w:val="20"/>
              </w:rPr>
              <w:t xml:space="preserve">Au tarif en vigueur</w:t>
            </w:r>
          </w:p>
        </w:tc>
      </w:tr>
      <w:tr>
        <w:tc>
          <w:tcPr>
            <w:tcW w:type="dxa" w:w="1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color w:val="2C1A0E"/>
                <w:sz w:val="20"/>
                <w:szCs w:val="20"/>
              </w:rPr>
              <w:t xml:space="preserve">Partenaire</w:t>
            </w:r>
          </w:p>
        </w:tc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color w:val="2C1A0E"/>
                <w:sz w:val="20"/>
                <w:szCs w:val="20"/>
              </w:rPr>
              <w:t xml:space="preserve">25 à 49 pièces</w:t>
            </w:r>
          </w:p>
        </w:tc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color w:val="2C1A0E"/>
                <w:sz w:val="20"/>
                <w:szCs w:val="20"/>
              </w:rPr>
              <w:t xml:space="preserve">−15 %</w:t>
            </w:r>
          </w:p>
        </w:tc>
        <w:tc>
          <w:tcPr>
            <w:tcW w:type="dxa" w:w="26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color w:val="2C1A0E"/>
                <w:sz w:val="20"/>
                <w:szCs w:val="20"/>
              </w:rPr>
              <w:t xml:space="preserve">Franco de port</w:t>
            </w:r>
          </w:p>
        </w:tc>
      </w:tr>
      <w:tr>
        <w:tc>
          <w:tcPr>
            <w:tcW w:type="dxa" w:w="1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color w:val="2C1A0E"/>
                <w:sz w:val="20"/>
                <w:szCs w:val="20"/>
              </w:rPr>
              <w:t xml:space="preserve">Grand compte</w:t>
            </w:r>
          </w:p>
        </w:tc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color w:val="2C1A0E"/>
                <w:sz w:val="20"/>
                <w:szCs w:val="20"/>
              </w:rPr>
              <w:t xml:space="preserve">50 pièces et plus</w:t>
            </w:r>
          </w:p>
        </w:tc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color w:val="2C1A0E"/>
                <w:sz w:val="20"/>
                <w:szCs w:val="20"/>
              </w:rPr>
              <w:t xml:space="preserve">Sur devis</w:t>
            </w:r>
          </w:p>
        </w:tc>
        <w:tc>
          <w:tcPr>
            <w:tcW w:type="dxa" w:w="26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60"/>
            </w:pPr>
            <w:r>
              <w:rPr>
                <w:rFonts w:ascii="Georgia" w:cs="Georgia" w:eastAsia="Georgia" w:hAnsi="Georgia"/>
                <w:color w:val="2C1A0E"/>
                <w:sz w:val="20"/>
                <w:szCs w:val="20"/>
              </w:rPr>
              <w:t xml:space="preserve">Franco de port</w:t>
            </w:r>
          </w:p>
        </w:tc>
      </w:tr>
    </w:tbl>
    <w:p>
      <w:pPr>
        <w:spacing w:after="100" w:line="290"/>
      </w:pPr>
      <w:r>
        <w:rPr>
          <w:rFonts w:ascii="Georgia" w:cs="Georgia" w:eastAsia="Georgia" w:hAnsi="Georgia"/>
          <w:color w:val="2C1A0E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70" w:line="285"/>
      </w:pPr>
      <w:r>
        <w:rPr>
          <w:rFonts w:ascii="Georgia" w:cs="Georgia" w:eastAsia="Georgia" w:hAnsi="Georgia"/>
          <w:color w:val="2C1A0E"/>
          <w:sz w:val="21"/>
          <w:szCs w:val="21"/>
        </w:rPr>
        <w:t xml:space="preserve">Première commande minimum : 3 pièces.</w:t>
      </w:r>
    </w:p>
    <w:p>
      <w:pPr>
        <w:pStyle w:val="ListParagraph"/>
        <w:numPr>
          <w:ilvl w:val="0"/>
          <w:numId w:val="2"/>
        </w:numPr>
        <w:spacing w:after="70" w:line="285"/>
      </w:pPr>
      <w:r>
        <w:rPr>
          <w:rFonts w:ascii="Georgia" w:cs="Georgia" w:eastAsia="Georgia" w:hAnsi="Georgia"/>
          <w:color w:val="2C1A0E"/>
          <w:sz w:val="21"/>
          <w:szCs w:val="21"/>
        </w:rPr>
        <w:t xml:space="preserve">Règlement à 30 jours date de facture après validation du compte.</w:t>
      </w:r>
    </w:p>
    <w:p>
      <w:pPr>
        <w:pStyle w:val="ListParagraph"/>
        <w:numPr>
          <w:ilvl w:val="0"/>
          <w:numId w:val="2"/>
        </w:numPr>
        <w:spacing w:after="70" w:line="285"/>
      </w:pPr>
      <w:r>
        <w:rPr>
          <w:rFonts w:ascii="Georgia" w:cs="Georgia" w:eastAsia="Georgia" w:hAnsi="Georgia"/>
          <w:color w:val="2C1A0E"/>
          <w:sz w:val="21"/>
          <w:szCs w:val="21"/>
        </w:rPr>
        <w:t xml:space="preserve">Réservation d'une pièce unique pendant 15 jours, sans engagement.</w:t>
      </w:r>
    </w:p>
    <w:p>
      <w:pPr>
        <w:pStyle w:val="ListParagraph"/>
        <w:numPr>
          <w:ilvl w:val="0"/>
          <w:numId w:val="2"/>
        </w:numPr>
        <w:spacing w:after="70" w:line="285"/>
      </w:pPr>
      <w:r>
        <w:rPr>
          <w:rFonts w:ascii="Georgia" w:cs="Georgia" w:eastAsia="Georgia" w:hAnsi="Georgia"/>
          <w:color w:val="2C1A0E"/>
          <w:sz w:val="21"/>
          <w:szCs w:val="21"/>
        </w:rPr>
        <w:t xml:space="preserve">Tarifs hors taxes, révisables selon le cours des matières et le change.</w:t>
      </w:r>
    </w:p>
    <w:p>
      <w:pPr>
        <w:pStyle w:val="Heading1"/>
        <w:pBdr>
          <w:bottom w:val="single" w:color="C9A84C" w:sz="12" w:space="6"/>
        </w:pBdr>
        <w:spacing w:after="130" w:before="240"/>
      </w:pPr>
      <w:r>
        <w:rPr>
          <w:rFonts w:ascii="Georgia" w:cs="Georgia" w:eastAsia="Georgia" w:hAnsi="Georgia"/>
          <w:b/>
          <w:bCs/>
          <w:color w:val="7A5C2E"/>
          <w:sz w:val="26"/>
          <w:szCs w:val="26"/>
        </w:rPr>
        <w:t xml:space="preserve">Services inclus</w:t>
      </w:r>
    </w:p>
    <w:p>
      <w:pPr>
        <w:pStyle w:val="ListParagraph"/>
        <w:numPr>
          <w:ilvl w:val="0"/>
          <w:numId w:val="2"/>
        </w:numPr>
        <w:spacing w:after="70" w:line="285"/>
      </w:pPr>
      <w:r>
        <w:rPr>
          <w:rFonts w:ascii="Georgia" w:cs="Georgia" w:eastAsia="Georgia" w:hAnsi="Georgia"/>
          <w:color w:val="2C1A0E"/>
          <w:sz w:val="21"/>
          <w:szCs w:val="21"/>
        </w:rPr>
        <w:t xml:space="preserve">Fiche descriptive par pièce : qualité, dimensions, origine, densité de nouage.</w:t>
      </w:r>
    </w:p>
    <w:p>
      <w:pPr>
        <w:pStyle w:val="ListParagraph"/>
        <w:numPr>
          <w:ilvl w:val="0"/>
          <w:numId w:val="2"/>
        </w:numPr>
        <w:spacing w:after="70" w:line="285"/>
      </w:pPr>
      <w:r>
        <w:rPr>
          <w:rFonts w:ascii="Georgia" w:cs="Georgia" w:eastAsia="Georgia" w:hAnsi="Georgia"/>
          <w:color w:val="2C1A0E"/>
          <w:sz w:val="21"/>
          <w:szCs w:val="21"/>
        </w:rPr>
        <w:t xml:space="preserve">Certificat d'origine et facture détaillée pour chaque tapis.</w:t>
      </w:r>
    </w:p>
    <w:p>
      <w:pPr>
        <w:pStyle w:val="ListParagraph"/>
        <w:numPr>
          <w:ilvl w:val="0"/>
          <w:numId w:val="2"/>
        </w:numPr>
        <w:spacing w:after="70" w:line="285"/>
      </w:pPr>
      <w:r>
        <w:rPr>
          <w:rFonts w:ascii="Georgia" w:cs="Georgia" w:eastAsia="Georgia" w:hAnsi="Georgia"/>
          <w:color w:val="2C1A0E"/>
          <w:sz w:val="21"/>
          <w:szCs w:val="21"/>
        </w:rPr>
        <w:t xml:space="preserve">Photographies haute définition libres d’usage pour votre site et vos vitrines.</w:t>
      </w:r>
    </w:p>
    <w:p>
      <w:pPr>
        <w:pStyle w:val="ListParagraph"/>
        <w:numPr>
          <w:ilvl w:val="0"/>
          <w:numId w:val="2"/>
        </w:numPr>
        <w:spacing w:after="70" w:line="285"/>
      </w:pPr>
      <w:r>
        <w:rPr>
          <w:rFonts w:ascii="Georgia" w:cs="Georgia" w:eastAsia="Georgia" w:hAnsi="Georgia"/>
          <w:color w:val="2C1A0E"/>
          <w:sz w:val="21"/>
          <w:szCs w:val="21"/>
        </w:rPr>
        <w:t xml:space="preserve">Envoi de pièces en dépôt-vente pour les partenaires réguliers.</w:t>
      </w:r>
    </w:p>
    <w:p>
      <w:pPr>
        <w:pStyle w:val="ListParagraph"/>
        <w:numPr>
          <w:ilvl w:val="0"/>
          <w:numId w:val="2"/>
        </w:numPr>
        <w:spacing w:after="70" w:line="285"/>
      </w:pPr>
      <w:r>
        <w:rPr>
          <w:rFonts w:ascii="Georgia" w:cs="Georgia" w:eastAsia="Georgia" w:hAnsi="Georgia"/>
          <w:color w:val="2C1A0E"/>
          <w:sz w:val="21"/>
          <w:szCs w:val="21"/>
        </w:rPr>
        <w:t xml:space="preserve">Reprise sous 14 jours des pièces non vendues sur la première commande.</w:t>
      </w:r>
    </w:p>
    <w:p>
      <w:pPr>
        <w:pStyle w:val="ListParagraph"/>
        <w:numPr>
          <w:ilvl w:val="0"/>
          <w:numId w:val="2"/>
        </w:numPr>
        <w:spacing w:after="70" w:line="285"/>
      </w:pPr>
      <w:r>
        <w:rPr>
          <w:rFonts w:ascii="Georgia" w:cs="Georgia" w:eastAsia="Georgia" w:hAnsi="Georgia"/>
          <w:color w:val="2C1A0E"/>
          <w:sz w:val="21"/>
          <w:szCs w:val="21"/>
        </w:rPr>
        <w:t xml:space="preserve">Conseil sur l'assortiment et le réassort selon votre clientèle.</w:t>
      </w:r>
    </w:p>
    <w:p>
      <w:pPr>
        <w:pStyle w:val="Heading1"/>
        <w:pBdr>
          <w:bottom w:val="single" w:color="C9A84C" w:sz="12" w:space="6"/>
        </w:pBdr>
        <w:spacing w:after="130" w:before="240"/>
      </w:pPr>
      <w:r>
        <w:rPr>
          <w:rFonts w:ascii="Georgia" w:cs="Georgia" w:eastAsia="Georgia" w:hAnsi="Georgia"/>
          <w:b/>
          <w:bCs/>
          <w:color w:val="7A5C2E"/>
          <w:sz w:val="26"/>
          <w:szCs w:val="26"/>
        </w:rPr>
        <w:t xml:space="preserve">Passer commande en quatre étapes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rFonts w:ascii="Georgia" w:cs="Georgia" w:eastAsia="Georgia" w:hAnsi="Georgia"/>
          <w:b/>
          <w:bCs/>
          <w:color w:val="2C1A0E"/>
          <w:sz w:val="21"/>
          <w:szCs w:val="21"/>
        </w:rPr>
        <w:t xml:space="preserve">Ouverture du compte</w:t>
      </w:r>
      <w:r>
        <w:rPr>
          <w:rFonts w:ascii="Georgia" w:cs="Georgia" w:eastAsia="Georgia" w:hAnsi="Georgia"/>
          <w:color w:val="2C1A0E"/>
          <w:sz w:val="21"/>
          <w:szCs w:val="21"/>
        </w:rPr>
        <w:t xml:space="preserve"> — envoi de votre numéro SIRET ou de TVA intracommunautaire.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rFonts w:ascii="Georgia" w:cs="Georgia" w:eastAsia="Georgia" w:hAnsi="Georgia"/>
          <w:b/>
          <w:bCs/>
          <w:color w:val="2C1A0E"/>
          <w:sz w:val="21"/>
          <w:szCs w:val="21"/>
        </w:rPr>
        <w:t xml:space="preserve">Sélection</w:t>
      </w:r>
      <w:r>
        <w:rPr>
          <w:rFonts w:ascii="Georgia" w:cs="Georgia" w:eastAsia="Georgia" w:hAnsi="Georgia"/>
          <w:color w:val="2C1A0E"/>
          <w:sz w:val="21"/>
          <w:szCs w:val="21"/>
        </w:rPr>
        <w:t xml:space="preserve"> — choix des balles dans le catalogue, par numéro de référence.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rFonts w:ascii="Georgia" w:cs="Georgia" w:eastAsia="Georgia" w:hAnsi="Georgia"/>
          <w:b/>
          <w:bCs/>
          <w:color w:val="2C1A0E"/>
          <w:sz w:val="21"/>
          <w:szCs w:val="21"/>
        </w:rPr>
        <w:t xml:space="preserve">Devis</w:t>
      </w:r>
      <w:r>
        <w:rPr>
          <w:rFonts w:ascii="Georgia" w:cs="Georgia" w:eastAsia="Georgia" w:hAnsi="Georgia"/>
          <w:color w:val="2C1A0E"/>
          <w:sz w:val="21"/>
          <w:szCs w:val="21"/>
        </w:rPr>
        <w:t xml:space="preserve"> — proposition chiffrée sous 48 heures, valable 15 jours.</w:t>
      </w:r>
    </w:p>
    <w:p>
      <w:pPr>
        <w:pStyle w:val="ListParagraph"/>
        <w:numPr>
          <w:ilvl w:val="0"/>
          <w:numId w:val="3"/>
        </w:numPr>
        <w:spacing w:after="90" w:line="300"/>
      </w:pPr>
      <w:r>
        <w:rPr>
          <w:rFonts w:ascii="Georgia" w:cs="Georgia" w:eastAsia="Georgia" w:hAnsi="Georgia"/>
          <w:b/>
          <w:bCs/>
          <w:color w:val="2C1A0E"/>
          <w:sz w:val="21"/>
          <w:szCs w:val="21"/>
        </w:rPr>
        <w:t xml:space="preserve">Expédition</w:t>
      </w:r>
      <w:r>
        <w:rPr>
          <w:rFonts w:ascii="Georgia" w:cs="Georgia" w:eastAsia="Georgia" w:hAnsi="Georgia"/>
          <w:color w:val="2C1A0E"/>
          <w:sz w:val="21"/>
          <w:szCs w:val="21"/>
        </w:rPr>
        <w:t xml:space="preserve"> — départ sous 5 jours ouvrés après accord, suivi communiqué.</w:t>
      </w:r>
    </w:p>
    <w:p>
      <w:pPr>
        <w:pStyle w:val="Heading1"/>
        <w:pBdr>
          <w:bottom w:val="single" w:color="C9A84C" w:sz="12" w:space="6"/>
        </w:pBdr>
        <w:spacing w:after="130" w:before="240"/>
      </w:pPr>
      <w:r>
        <w:rPr>
          <w:rFonts w:ascii="Georgia" w:cs="Georgia" w:eastAsia="Georgia" w:hAnsi="Georgia"/>
          <w:b/>
          <w:bCs/>
          <w:color w:val="7A5C2E"/>
          <w:sz w:val="26"/>
          <w:szCs w:val="26"/>
        </w:rPr>
        <w:t xml:space="preserve">Contact commercial</w:t>
      </w:r>
    </w:p>
    <w:p>
      <w:pPr>
        <w:spacing w:after="110" w:line="290"/>
      </w:pPr>
      <w:r>
        <w:rPr>
          <w:rFonts w:ascii="Georgia" w:cs="Georgia" w:eastAsia="Georgia" w:hAnsi="Georgia"/>
          <w:color w:val="2C1A0E"/>
          <w:sz w:val="21"/>
          <w:szCs w:val="21"/>
        </w:rPr>
        <w:t xml:space="preserve">Service professionnels — du lundi au vendredi, de 9 h à 18 h.</w:t>
      </w:r>
    </w:p>
    <w:p>
      <w:pPr>
        <w:spacing w:after="110" w:line="290"/>
      </w:pPr>
      <w:r>
        <w:rPr>
          <w:rFonts w:ascii="Georgia" w:cs="Georgia" w:eastAsia="Georgia" w:hAnsi="Georgia"/>
          <w:color w:val="2C1A0E"/>
          <w:sz w:val="21"/>
          <w:szCs w:val="21"/>
        </w:rPr>
        <w:t xml:space="preserve">Écrivez-nous depuis le formulaire de contact du site en précisant votre activité et les références qui vous intéressent : nous répondons sous 48 heures.</w:t>
      </w:r>
    </w:p>
    <w:p>
      <w:pPr>
        <w:spacing w:after="110" w:line="290"/>
      </w:pPr>
      <w:r>
        <w:rPr>
          <w:rFonts w:ascii="Georgia" w:cs="Georgia" w:eastAsia="Georgia" w:hAnsi="Georgia"/>
          <w:color w:val="2C1A0E"/>
          <w:sz w:val="21"/>
          <w:szCs w:val="21"/>
        </w:rPr>
        <w:t xml:space="preserve">Visite du stock sur rendez-vous, pour voir et comparer les pièces avant de vous engager.</w:t>
      </w:r>
    </w:p>
    <w:p>
      <w:pPr>
        <w:pBdr>
          <w:top w:val="single" w:color="C9A84C" w:sz="8" w:space="8"/>
        </w:pBdr>
        <w:spacing w:after="0" w:before="260"/>
        <w:jc w:val="center"/>
      </w:pPr>
      <w:r>
        <w:rPr>
          <w:rFonts w:ascii="Georgia" w:cs="Georgia" w:eastAsia="Georgia" w:hAnsi="Georgia"/>
          <w:i/>
          <w:iCs/>
          <w:color w:val="7A5C2E"/>
          <w:sz w:val="18"/>
          <w:szCs w:val="18"/>
        </w:rPr>
        <w:t xml:space="preserve">Catalogue de tapis orientaux — Soie · Laine · Point chaîne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88"/>
      </w:pPr>
      <w:rPr>
        <w:rFonts w:ascii="Georgia" w:cs="Georgia" w:eastAsia="Georgia" w:hAnsi="Georgia"/>
        <w:color w:val="7A5C2E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  <w:rPr>
        <w:rFonts w:ascii="Georgia" w:cs="Georgia" w:eastAsia="Georgia" w:hAnsi="Georgia"/>
        <w:b/>
        <w:bCs/>
        <w:color w:val="7A5C2E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Espace Professionnels</dc:title>
  <dc:creator>Catalogue de tapis orientaux</dc:creator>
  <dc:description>Conditions de vente aux professionnels — tapis orientaux</dc:description>
  <cp:lastModifiedBy>Catalogue de tapis orientaux</cp:lastModifiedBy>
  <cp:revision>1</cp:revision>
  <dcterms:created xsi:type="dcterms:W3CDTF">2026-09-01T14:35:09.304Z</dcterms:created>
  <dcterms:modified xsi:type="dcterms:W3CDTF">2026-09-01T14:35:09.304Z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