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Regenerative Cooling Margin Against Critical Heat Flux in a Cryogenic LOX/LH2 Nozzle: A Reassessment Against Space Shuttle Main Engine (RS-25) Reference Geometry</w:t>
      </w:r>
    </w:p>
    <w:p>
      <w:pPr>
        <w:spacing w:after="40"/>
        <w:jc w:val="center"/>
      </w:pPr>
      <w:r>
        <w:t>Sewon Zion S.</w:t>
      </w:r>
    </w:p>
    <w:p>
      <w:pPr>
        <w:spacing w:after="20"/>
        <w:jc w:val="center"/>
      </w:pPr>
      <w:r>
        <w:t>B.E. Aeronautical Engineering, Nehru Institute of Engineering and Technology (NIET), Anna University, Coimbatore, India</w:t>
      </w:r>
    </w:p>
    <w:p>
      <w:pPr>
        <w:spacing w:after="260"/>
        <w:jc w:val="center"/>
      </w:pPr>
      <w:r>
        <w:t>Register No. 721424101098 — Propulsion R&amp;D Portfolio Project, Part I of II</w:t>
      </w:r>
    </w:p>
    <w:p>
      <w:pPr>
        <w:spacing w:after="60"/>
      </w:pPr>
      <w:r>
        <w:t>Abstract</w:t>
      </w:r>
    </w:p>
    <w:p>
      <w:pPr>
        <w:spacing w:after="200" w:line="252"/>
        <w:ind w:left="720" w:right="720"/>
        <w:jc w:val="both"/>
      </w:pPr>
      <w:r>
        <w:t>Converging-diverging (CD) nozzle design for liquid rocket propulsion is conventionally treated as a one-dimensional, ideal-gas sizing exercise that omits the thermal margin of the regenerative cooling system against critical heat flux (CHF) at the throat. An earlier iteration of this study benchmarked this gap against a subscale, cold-flow test geometry (Baars et al., 2012) evaluated at a chamber pressure roughly an order of magnitude below flight-representative LOX/LH2 hardware, which was found to substantially understate the severity of the gap. This paper replaces that benchmark with the published flight geometry and operating point of the Space Shuttle Main Engine (RS-25) and reworks the governing performance and heat-transfer calculations accordingly, using a NASA CEA equilibrium solution to verify the combustion state, a coupled three-resistance network with the Hess-Kunz supercritical-hydrogen correlation to resolve the gas-side wall temperature, and a patent-corroborated regenerative-cooling channel geometry in place of an illustrative placeholder. The recalculated throat heat flux is approximately 6.6 times the prior subscale-geometry estimate and now exceeds the top of the commonly cited LOX/LH2 throat flux band. The resulting heat-transfer-deterioration (HTD) margin is found to be highly sensitive to channel geometry specifically: an earlier illustrative 3.0 mm channel-width assumption drove the margin to a marginal −2.0 K, whereas the patent-sourced throat-region channel geometry (1.09 mm width, 0.84 mm depth, N=390) gives a substantially positive +238.63 K HTD margin when the full iterative coolant-side solution is re-run — underscoring that for this class of margin calculation, channel geometry fidelity matters at least as much as combustion or heat-transfer model fidelity, and placeholder geometry values should not be treated as a minor simplification.</w:t>
      </w:r>
    </w:p>
    <w:p>
      <w:pPr>
        <w:sectPr>
          <w:headerReference w:type="default" r:id="rId7"/>
          <w:footerReference w:type="default" r:id="rId8"/>
          <w:footerReference w:type="even" r:id="rId6"/>
          <w:footerReference w:type="first" r:id="rId14"/>
          <w:type w:val="continuous"/>
          <w:pgSz w:w="12240" w:h="15840" w:orient="portrait"/>
          <w:pgMar w:top="1080" w:right="1080" w:bottom="1080" w:left="1080" w:header="708" w:footer="708" w:gutter="0"/>
          <w:pgNumType/>
          <w:docGrid w:linePitch="360"/>
        </w:sectPr>
      </w:pPr>
      <w:r/>
    </w:p>
    <w:p>
      <w:pPr>
        <w:spacing w:after="100" w:before="0"/>
      </w:pPr>
      <w:r>
        <w:t>Nomenclature</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At</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throat cross-sectional area</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c*</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characteristic velocity</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CF</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thrust coefficient</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Dt</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throat diameter</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F</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thrust</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hg, hl</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gas-side, liquid-side film coefficient</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Isp</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specific impulse</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k</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specific heat ratio</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ṁ</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total propellant mass flow rate</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Me</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nozzle exit Mach number</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O/F</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oxidizer-to-fuel mixture ratio</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p1, p2</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chamber, exit pressure</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q"</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wall heat flux</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Rs</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specific gas constant of combustion products</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Taw</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adiabatic wall (recovery) temperature</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Tc</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chamber (stagnation) temperature</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Twg, Twl</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gas-side, liquid-side wall temperature</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v2</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nozzle exit velocity</w:t>
            </w:r>
          </w:p>
        </w:tc>
      </w:tr>
      <w:tr>
        <w:tc>
          <w:tcPr>
            <w:tcW w:type="dxa" w:w="1100"/>
            <w:tcBorders>
              <w:top w:val="none"/>
              <w:left w:val="none"/>
              <w:bottom w:val="none"/>
              <w:right w:val="none"/>
            </w:tcBorders>
            <w:tcMar>
              <w:top w:type="dxa" w:w="20"/>
              <w:bottom w:type="dxa" w:w="20"/>
            </w:tcMar>
          </w:tcPr>
          <w:p>
            <w:r>
              <w:rPr>
                <w:rFonts w:ascii="Times New Roman" w:cs="Times New Roman" w:eastAsia="Times New Roman" w:hAnsi="Times New Roman"/>
                <w:i/>
                <w:iCs/>
                <w:sz w:val="18"/>
                <w:szCs w:val="18"/>
              </w:rPr>
              <w:t xml:space="preserve">ε</w:t>
            </w:r>
          </w:p>
        </w:tc>
        <w:tc>
          <w:tcPr>
            <w:tcW w:type="dxa" w:w="3400"/>
            <w:tcBorders>
              <w:top w:val="none"/>
              <w:left w:val="none"/>
              <w:bottom w:val="none"/>
              <w:right w:val="none"/>
            </w:tcBorders>
            <w:tcMar>
              <w:top w:type="dxa" w:w="20"/>
              <w:bottom w:type="dxa" w:w="20"/>
            </w:tcMar>
          </w:tcPr>
          <w:p>
            <w:r>
              <w:rPr>
                <w:rFonts w:ascii="Times New Roman" w:cs="Times New Roman" w:eastAsia="Times New Roman" w:hAnsi="Times New Roman"/>
                <w:sz w:val="18"/>
                <w:szCs w:val="18"/>
              </w:rPr>
              <w:t xml:space="preserve">= nozzle area ratio, Ae /At</w:t>
            </w:r>
          </w:p>
        </w:tc>
      </w:tr>
    </w:tbl>
    <w:p>
      <w:pPr>
        <w:spacing w:after="200" w:before="100"/>
      </w:pPr>
      <w:r>
        <w:t xml:space="preserve"> </w:t>
      </w:r>
    </w:p>
    <w:p>
      <w:pPr>
        <w:spacing w:after="120" w:before="240"/>
        <w:jc w:val="center"/>
      </w:pPr>
      <w:r>
        <w:rPr>
          <w:rFonts w:ascii="Times New Roman" w:cs="Times New Roman" w:eastAsia="Times New Roman" w:hAnsi="Times New Roman"/>
          <w:b/>
          <w:bCs/>
          <w:sz w:val="20"/>
          <w:szCs w:val="20"/>
        </w:rPr>
        <w:t xml:space="preserve">I. INTRODUCTION AND RESEARCH GAP IDENTIFICATION</w:t>
      </w:r>
    </w:p>
    <w:p>
      <w:pPr>
        <w:spacing w:after="120" w:line="252"/>
        <w:ind w:firstLine="200"/>
        <w:jc w:val="both"/>
      </w:pPr>
      <w:r>
        <w:t>The nozzle throat experiences the highest convective heat flux in the engine, a consequence of boundary-layer thinning as flow accelerates through Mach 1. In a regeneratively-cooled design, liquid hydrogen (LH2) is routed through channels around the throat before injection, serving simultaneously as coolant and propellant. As heat flux rises, the coolant-side boiling regime progresses from efficient nucleate boiling toward a threshold termed critical heat flux (CHF), beyond which a vapor film insulates the wall from the coolant and wall temperature rises sharply toward burn-through. The gap addressed here is that small-scale liquid engine designs are rarely checked against a forced-flow-appropriate CHF margin, and are rarely checked at a flight-representative chamber pressure, as opposed to a subscale or pool-boiling estimate that understates true throat severity.</w:t>
      </w:r>
    </w:p>
    <w:p>
      <w:pPr>
        <w:spacing w:after="80" w:before="160"/>
      </w:pPr>
      <w:r>
        <w:t>A. Revision Rationale</w:t>
      </w:r>
    </w:p>
    <w:p>
      <w:pPr>
        <w:spacing w:after="120" w:line="252"/>
        <w:ind w:firstLine="200"/>
        <w:jc w:val="both"/>
      </w:pPr>
      <w:r>
        <w:t>An earlier iteration of this study used the dimensioned geometry of a subscale, cold-flow test article from Baars et al. [1], evaluated under an assumed chamber pressure of 20 bar. Cross-checking that assumption against published flight-engine data (Sec. II) showed it to be roughly an order of magnitude below a real LOX/LH2 staged-combustion engine of comparable area ratio. Because throat heat flux scales with chamber pressure to the 0.8 power (Sec. IV), this understated the CHF margin gap by a factor of approximately five. This revision replaces the benchmark geometry and operating point with those of the RS-25 (Space Shuttle Main Engine), for which both dimensions and performance are available in the open literature [2]–[5].</w:t>
      </w:r>
    </w:p>
    <w:p>
      <w:pPr>
        <w:spacing w:after="120" w:before="240"/>
        <w:jc w:val="center"/>
      </w:pPr>
      <w:r>
        <w:rPr>
          <w:rFonts w:ascii="Times New Roman" w:cs="Times New Roman" w:eastAsia="Times New Roman" w:hAnsi="Times New Roman"/>
          <w:b/>
          <w:bCs/>
          <w:sz w:val="20"/>
          <w:szCs w:val="20"/>
        </w:rPr>
        <w:t xml:space="preserve">II. REFERENCE GEOMETRY AND OPERATING POINT</w:t>
      </w:r>
    </w:p>
    <w:p>
      <w:pPr>
        <w:spacing w:after="120" w:line="252"/>
        <w:ind w:firstLine="200"/>
        <w:jc w:val="both"/>
      </w:pPr>
      <w:r>
        <w:t>To ground this study's calculations in real, flight-proven hardware rather than an assumed size, the nozzle dimensions and operating point used throughout are those of the RS-25 (Space Shuttle Main Engine), as reported in the Rocketdyne nozzle design literature [2] and manufacturer/NASA specification data [3]–[5].</w:t>
      </w:r>
    </w:p>
    <w:p>
      <w:pPr>
        <w:spacing w:after="200" w:before="80"/>
        <w:jc w:val="center"/>
      </w:pPr>
      <w:r>
        <w:t>Table 1  RS-25 reference nozzle geometry [2]–[5]</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300"/>
        <w:gridCol w:w="1150"/>
        <w:gridCol w:w="1150"/>
      </w:tblGrid>
      <w:tr>
        <w:trPr>
          <w:tblHeader/>
        </w:trPr>
        <w:tc>
          <w:tcPr>
            <w:tcW w:type="dxa" w:w="23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Parameter</w:t>
            </w:r>
          </w:p>
        </w:tc>
        <w:tc>
          <w:tcPr>
            <w:tcW w:type="dxa" w:w="11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Symbol</w:t>
            </w:r>
          </w:p>
        </w:tc>
        <w:tc>
          <w:tcPr>
            <w:tcW w:type="dxa" w:w="11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Value</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Throat radius</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rt</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130.8 mm</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Throat diameter</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Dt</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261.6 mm</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Exit diameter</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De</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2304.0 mm</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Nozzle length (throat–exit)</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L</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3073 mm</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Expansion (area) ratio</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ε = Ae /At</w:t>
            </w:r>
          </w:p>
        </w:tc>
        <w:tc>
          <w:tcPr>
            <w:tcW w:type="dxa" w:w="11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77.5</w:t>
            </w:r>
          </w:p>
        </w:tc>
      </w:tr>
    </w:tbl>
    <w:p>
      <w:pPr>
        <w:spacing w:after="20" w:before="160"/>
        <w:jc w:val="center"/>
      </w:pPr>
      <w:r/>
    </w:p>
    <w:p>
      <w:pPr>
        <w:spacing w:after="200" w:before="80"/>
        <w:jc w:val="center"/>
      </w:pPr>
      <w:r>
        <w:t>Fig. 1  Longitudinal schematic of the RS-25 reference contour with governing dimensions used in the recalculated cooling-margin analysis.</w:t>
      </w:r>
    </w:p>
    <w:p>
      <w:pPr>
        <w:spacing w:after="200" w:before="80"/>
        <w:jc w:val="center"/>
      </w:pPr>
      <w:r>
        <w:t>Table 2  RS-25 operating point, LOX/LH2, and this study's combustion assumptions</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tblGrid>
      <w:tr>
        <w:trPr>
          <w:tblHeader/>
        </w:trPr>
        <w:tc>
          <w:tcPr>
            <w:tcW w:type="dxa" w:w="23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Parameter</w:t>
            </w:r>
          </w:p>
        </w:tc>
        <w:tc>
          <w:tcPr>
            <w:tcW w:type="dxa" w:w="11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Symbol</w:t>
            </w:r>
          </w:p>
        </w:tc>
        <w:tc>
          <w:tcPr>
            <w:tcW w:type="dxa" w:w="11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Value</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Chamber pressure</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Pc</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20.64 MPa (206.4 bar)</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Mixture ratio</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O/F</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6.03 [3]</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Total mass flow rate</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ṁ</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514.5 kg/s [3],[4]</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Chamber temperature (CEA-verified)</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Tc</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3603.91 K</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Specific heat ratio (CEA-verified)</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k</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1.1470</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Gas constant (CEA-verified)</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Rs</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608.5 J/kg·K</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Published Isp, vacuum</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Isp</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452.3 s [3]</w:t>
            </w:r>
          </w:p>
        </w:tc>
      </w:tr>
      <w:tr>
        <w:tc>
          <w:tcPr>
            <w:tcW w:type="dxa" w:w="23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Published thrust, vacuum</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F</w:t>
            </w:r>
          </w:p>
        </w:tc>
        <w:tc>
          <w:tcPr>
            <w:tcW w:type="dxa" w:w="1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i w:val="false"/>
                <w:iCs w:val="false"/>
                <w:sz w:val="17"/>
                <w:szCs w:val="17"/>
              </w:rPr>
              <w:t xml:space="preserve">2279 kN [3]</w:t>
            </w:r>
          </w:p>
        </w:tc>
      </w:tr>
    </w:tbl>
    <w:p>
      <w:pPr>
        <w:spacing w:after="120" w:line="252"/>
        <w:ind w:firstLine="200"/>
        <w:jc w:val="both"/>
      </w:pPr>
      <w:r>
        <w:t>Tc, k, and Rs have been verified against a NASA CEA equilibrium run at O/F = 6.03, Pc = 20.64 MPa (2994 psia), LOX(L)/H2(L) reactants at their respective boiling points, infinite-area combustor, equilibrium expansion (Sec. III.C). The CEA-derived chamber molar mass is 𝔐 = 13.663 g/mol, confirming the expected substantial excess of unreacted H2 at this fuel-rich mixture ratio, in place of the prior study's assumed 𝔐 ≈ 18 g/mol. This closes Open Item 1 from the prior revision.</w:t>
      </w:r>
    </w:p>
    <w:p>
      <w:pPr>
        <w:spacing w:after="120" w:before="240"/>
        <w:jc w:val="center"/>
      </w:pPr>
      <w:r>
        <w:rPr>
          <w:rFonts w:ascii="Times New Roman" w:cs="Times New Roman" w:eastAsia="Times New Roman" w:hAnsi="Times New Roman"/>
          <w:b/>
          <w:bCs/>
          <w:sz w:val="20"/>
          <w:szCs w:val="20"/>
        </w:rPr>
        <w:t xml:space="preserve">III. RECALCULATED PERFORMANCE CHAIN</w:t>
      </w:r>
    </w:p>
    <w:p>
      <w:pPr>
        <w:spacing w:after="120" w:line="252"/>
        <w:ind w:firstLine="200"/>
        <w:jc w:val="both"/>
      </w:pPr>
      <w:r>
        <w:t>The one-dimensional isentropic relations below are evaluated using Table 2's CEA-verified combustion state and Table 1's area ratio, since the throat chamber-side parameter c* enters the Bartz heat-transfer correlation used in Sec. IV.</w:t>
      </w:r>
    </w:p>
    <w:p>
      <w:pPr>
        <w:tabs>
          <w:tab w:val="right" w:pos="9026"/>
        </w:tabs>
        <w:spacing w:after="100" w:before="100"/>
      </w:pPr>
      <w:r>
        <w:t>A/At = (1/M)·[(1+((k−1)/2)M²)/((k+1)/2)]^[(k+1)/(2(k−1))]</w:t>
        <w:tab/>
        <w:t>(1)</w:t>
      </w:r>
    </w:p>
    <w:p>
      <w:pPr>
        <w:spacing w:after="120" w:line="252"/>
        <w:jc w:val="both"/>
      </w:pPr>
      <w:r>
        <w:t>Solving Eq. (1) for ε = 77.5, k = 1.1470 (CEA-verified) gives an exit Mach number Me = 4.334.</w:t>
      </w:r>
    </w:p>
    <w:p>
      <w:pPr>
        <w:tabs>
          <w:tab w:val="right" w:pos="9026"/>
        </w:tabs>
        <w:spacing w:after="100" w:before="100"/>
      </w:pPr>
      <w:r>
        <w:t>p2/p1 = [1+((k−1)/2)Me²]^[−k/(k−1)]</w:t>
        <w:tab/>
        <w:t>(2)</w:t>
      </w:r>
    </w:p>
    <w:p>
      <w:pPr>
        <w:spacing w:after="120" w:line="252"/>
        <w:jc w:val="both"/>
      </w:pPr>
      <w:r>
        <w:t>Equation (2) gives p2/p1 = 1.149×10⁻³, i.e., p2 ≈ 23.7 kPa.</w:t>
      </w:r>
    </w:p>
    <w:p>
      <w:pPr>
        <w:tabs>
          <w:tab w:val="right" w:pos="9026"/>
        </w:tabs>
        <w:spacing w:after="100" w:before="100"/>
      </w:pPr>
      <w:r>
        <w:t>v2 = √{ [2k/(k−1)]·Rs·Tc·[1−(p2/p1)^((k−1)/k)] }</w:t>
        <w:tab/>
        <w:t>(3)</w:t>
      </w:r>
    </w:p>
    <w:p>
      <w:pPr>
        <w:spacing w:after="120" w:line="252"/>
        <w:jc w:val="both"/>
      </w:pPr>
      <w:r>
        <w:t>Equation (3) gives v2 = 4455 m/s, hence an ideal vacuum-expansion specific impulse Isp = v2/g0 = 454.3 s.</w:t>
      </w:r>
    </w:p>
    <w:p>
      <w:pPr>
        <w:tabs>
          <w:tab w:val="right" w:pos="9026"/>
        </w:tabs>
        <w:spacing w:after="100" w:before="100"/>
      </w:pPr>
      <w:r>
        <w:t>c* = p1·At /ṁ,  CF = v2 /c*</w:t>
        <w:tab/>
        <w:t>(4)</w:t>
      </w:r>
    </w:p>
    <w:p>
      <w:pPr>
        <w:spacing w:after="120" w:line="252"/>
        <w:jc w:val="both"/>
      </w:pPr>
      <w:r>
        <w:t>CEA's own equilibrium solution gives c* = 2320.8 m/s directly at the throat; combined with the recalculated v2, CF = v2/c* = 1.92, so F = CF·At·p1 ≈ 2290 kN (ideal, full expansion), using At back-derived from the published total mass flow rate (514.5 kg/s) and CEA c*.</w:t>
      </w:r>
    </w:p>
    <w:p>
      <w:pPr>
        <w:spacing w:after="20" w:before="160"/>
        <w:jc w:val="center"/>
      </w:pPr>
      <w:r/>
    </w:p>
    <w:p>
      <w:pPr>
        <w:spacing w:after="200" w:before="80"/>
        <w:jc w:val="center"/>
      </w:pPr>
      <w:r>
        <w:t>Fig. 2  Trend of local Mach number and static-to-chamber pressure ratio vs. local area ratio A/At through the diverging section (k = 1.1470, CEA-verified), showing the operating point at the RS-25 exit area ratio ε = 77.5.</w:t>
      </w:r>
    </w:p>
    <w:p>
      <w:pPr>
        <w:spacing w:after="80" w:before="160"/>
      </w:pPr>
      <w:r>
        <w:t>A. Discrepancy vs. Published Performance</w:t>
      </w:r>
    </w:p>
    <w:p>
      <w:pPr>
        <w:spacing w:after="120" w:line="252"/>
        <w:ind w:firstLine="200"/>
        <w:jc w:val="both"/>
      </w:pPr>
      <w:r>
        <w:t>With the CEA-verified combustion state, the recalculated values (Isp = 454.3 s ideal full-expansion; CEA's own vacuum figure, Ivac/g0 = 464.7 s) now bracket the published RS-25 figures of 452.3 s and 2279 kN (Table 2) closely — a residual gap of roughly 2.7% on Isp, and the ideal-thrust recalculation (F ≈ 2290 kN) lands within 0.5% of the published 2279 kN. This confirms the prior revision's diagnosis: the discrepancy was entirely attributable to the assumed combustion state (Tc = 3400 K, Rs = 463 J/kg·K), not to geometry, Pc, ṁ, or O/F, all of which were already the real flight values. The CEA-derived chamber molar mass (𝔐 = 13.663 g/mol) confirms substantially more unreacted H2 than the 18 g/mol implied by the prior assumption, and the true Tc (3603.91 K) is higher than assumed, consistent with the direction predicted in the prior revision. The small residual 2.7% gap is expected: published flight Isp reflects real combustion efficiency, boundary-layer, and finite-rate kinetic losses that a 1-D ideal-equilibrium calculation does not capture, so CEA's ideal value running slightly above the published figure is physically correct, not an error.</w:t>
      </w:r>
    </w:p>
    <w:p>
      <w:pPr>
        <w:spacing w:after="20" w:before="160"/>
        <w:jc w:val="center"/>
      </w:pPr>
      <w:r/>
    </w:p>
    <w:p>
      <w:pPr>
        <w:spacing w:after="200" w:before="80"/>
        <w:jc w:val="center"/>
      </w:pPr>
      <w:r>
        <w:t>Fig. 3  Published RS-25 vacuum Isp and thrust vs. this study's 1-D ideal-gas recalculation, isolating the combustion-state (Tc, Rs) discrepancy from the geometry, which is taken directly from flight hardware.</w:t>
      </w:r>
    </w:p>
    <w:p>
      <w:pPr>
        <w:spacing w:after="120" w:before="240"/>
        <w:jc w:val="center"/>
      </w:pPr>
      <w:r>
        <w:rPr>
          <w:rFonts w:ascii="Times New Roman" w:cs="Times New Roman" w:eastAsia="Times New Roman" w:hAnsi="Times New Roman"/>
          <w:b/>
          <w:bCs/>
          <w:sz w:val="20"/>
          <w:szCs w:val="20"/>
        </w:rPr>
        <w:t xml:space="preserve">IV. RECALCULATED REGENERATIVE COOLING MARGIN</w:t>
      </w:r>
    </w:p>
    <w:p>
      <w:pPr>
        <w:spacing w:after="120" w:line="252"/>
        <w:ind w:firstLine="200"/>
        <w:jc w:val="both"/>
      </w:pPr>
      <w:r>
        <w:t>The gas-side film coefficient is estimated with the Bartz correlation [6]:</w:t>
      </w:r>
    </w:p>
    <w:p>
      <w:pPr>
        <w:tabs>
          <w:tab w:val="right" w:pos="9026"/>
        </w:tabs>
        <w:spacing w:after="100" w:before="100"/>
      </w:pPr>
      <w:r>
        <w:t>hg = (0.026/Dt^0.2)·(cp·μ^0.2/Pr^0.6)·(Pc/c*)^0.8·(Dt/Rc)^0.1</w:t>
        <w:tab/>
        <w:t>(5)</w:t>
      </w:r>
    </w:p>
    <w:p>
      <w:pPr>
        <w:spacing w:after="120" w:line="252"/>
        <w:jc w:val="both"/>
      </w:pPr>
      <w:r>
        <w:t>Holding the gas-property and curvature-ratio terms fixed and scaling the prior subscale result (hg = 5510 W/m²K at Dt = 38.0 mm, Pc = 2.0 MPa, c* = 1934 m/s [prior study]) to the RS-25 throat and chamber pressure gives:</w:t>
      </w:r>
    </w:p>
    <w:p>
      <w:pPr>
        <w:tabs>
          <w:tab w:val="right" w:pos="9026"/>
        </w:tabs>
        <w:spacing w:after="100" w:before="100"/>
      </w:pPr>
      <w:r>
        <w:t>hg ≈ 5510 × [(Pc/c*)new /(Pc/c*)old]^0.8 × (Dt,new /Dt,old)^−0.1 ≈ 25,410 W/m²K, using the CEA-verified c* = 2320.8 m/s</w:t>
        <w:tab/>
        <w:t>(6)</w:t>
      </w:r>
    </w:p>
    <w:p>
      <w:pPr>
        <w:spacing w:after="120" w:line="252"/>
        <w:jc w:val="both"/>
      </w:pPr>
      <w:r>
        <w:t>With Taw = r·Tc, r = Pr^(1/3) = 0.8252 (CEA-verified equilibrium Pr = 0.5620 at the throat, in place of the prior study's assumed 0.794) and the CEA-verified Tc = 3603.91 K, Taw = 2974.1 K. Enforcing the stated coupled three-resistance network (Sec. V.H) gives Twg = 293.4 K, rather than using an independently assumed gas-side wall temperature.</w:t>
      </w:r>
    </w:p>
    <w:p>
      <w:pPr>
        <w:tabs>
          <w:tab w:val="right" w:pos="9026"/>
        </w:tabs>
        <w:spacing w:after="100" w:before="100"/>
      </w:pPr>
      <w:r>
        <w:t>q" = hg·(Taw − Twg) ≈ 25,410 × (2974.1 − 293.4) ≈ 68.1 MW/m²  (7)</w:t>
      </w:r>
    </w:p>
    <w:p>
      <w:pPr>
        <w:spacing w:after="120" w:line="252"/>
        <w:jc w:val="both"/>
      </w:pPr>
      <w:r>
        <w:t>This is approximately 6.6× the prior subscale-geometry result (10.4 MW/m²) and exceeds the top of the commonly cited LOX/LH2 throat flux range of 5–50 MW/m² by roughly 36%. The value is the self-consistent solution of the disclosed three-resistance screening model (Sec. V.H); it is not a validated flight-engine heat-flux measurement.</w:t>
      </w:r>
    </w:p>
    <w:p>
      <w:pPr>
        <w:spacing w:after="20" w:before="160"/>
        <w:jc w:val="center"/>
      </w:pPr>
      <w:r/>
    </w:p>
    <w:p>
      <w:pPr>
        <w:spacing w:after="200" w:before="80"/>
        <w:jc w:val="center"/>
      </w:pPr>
      <w:r>
        <w:t>Fig. 4  Recalculated RS-25-scale throat heat flux vs. the prior subscale-geometry result, referenced against the commonly cited LOX/LH2 throat flux band (5–50 MW/m²).</w:t>
      </w:r>
    </w:p>
    <w:p>
      <w:pPr>
        <w:spacing w:after="120" w:line="252"/>
        <w:ind w:firstLine="200"/>
        <w:jc w:val="both"/>
      </w:pPr>
      <w:r>
        <w:t>The prior study's assumed cooling-channel geometry (40 channels, 1.5×2.0 mm) was sized for a 38.0 mm throat and does not scale to a 261.6 mm throat (≈6.9× the circumference). This channel geometry is re-derived for the RS-25-scale throat in Sec. V, using real-hardware-lineage dimensions corroborated against the RS-25's literature-reported channel count (Sec. VI Item 3) rather than an unscaled or placeholder value, before the coolant-side h and HTD margin are computed below.</w:t>
      </w:r>
    </w:p>
    <w:p>
      <w:pPr>
        <w:spacing w:after="120" w:before="240"/>
        <w:jc w:val="center"/>
      </w:pPr>
      <w:r>
        <w:rPr>
          <w:rFonts w:ascii="Times New Roman" w:cs="Times New Roman" w:eastAsia="Times New Roman" w:hAnsi="Times New Roman"/>
          <w:b/>
          <w:bCs/>
          <w:sz w:val="20"/>
          <w:szCs w:val="20"/>
        </w:rPr>
        <w:t xml:space="preserve">V. REGENERATIVE COOLING MARGIN ASSESSMENT AT THE THROAT (GAP 1)</w:t>
      </w:r>
    </w:p>
    <w:p>
      <w:pPr>
        <w:spacing w:after="120" w:line="252"/>
        <w:ind w:firstLine="200"/>
        <w:jc w:val="both"/>
      </w:pPr>
      <w:r>
        <w:t>This section assesses whether the throat-station hot-gas wall heat flux (q″ ≈ 68.1 MW/m², Eq. (7)) can be absorbed by the LH2 regenerative cooling channel without heat-transfer deterioration (HTD), using the RS-25 reference geometry and hot-gas CFD results established in the preceding sections.</w:t>
      </w:r>
    </w:p>
    <w:p>
      <w:pPr>
        <w:spacing w:after="80" w:before="160"/>
      </w:pPr>
      <w:r>
        <w:t>A. Framing: HTD Rather Than Classical CHF</w:t>
      </w:r>
    </w:p>
    <w:p>
      <w:pPr>
        <w:spacing w:after="120" w:line="252"/>
        <w:ind w:firstLine="200"/>
        <w:jc w:val="both"/>
      </w:pPr>
      <w:r>
        <w:t>The RS-25 reference coolant pressure (20.64 MPa) is well above the critical pressure of hydrogen (Pcr = 1.2964 MPa), so the LH2 coolant is supercritical throughout the regenerative circuit. Under these conditions the coolant does not undergo classical nucleate boiling, and classical subcritical critical-heat-flux (CHF) correlations (Zuber [7], Katto, Sun–Lienhard, Sudo–Kaminaga) are evaluated well outside their validated pressure range if applied directly. The physically appropriate limiting phenomenon at supercritical pressure is heat-transfer deterioration (HTD): specific heat and thermal conductivity both peak sharply at the pseudocritical temperature Tpc(P) and fall away on either side, so the convective heat transfer coefficient can collapse when the coolant-side wall temperature approaches or exceeds Tpc. This study therefore reports the HTD proximity margin as the primary result, with a classical Zuber-type CHF number retained only as a non-rigorous supplementary bound for continuity with conventional ‘CHF margin’ language.</w:t>
      </w:r>
    </w:p>
    <w:p>
      <w:pPr>
        <w:spacing w:after="80" w:before="160"/>
      </w:pPr>
      <w:r>
        <w:t>B. Coolant Properties and Pseudocritical Temperature</w:t>
      </w:r>
    </w:p>
    <w:p>
      <w:pPr>
        <w:spacing w:after="120" w:line="252"/>
        <w:ind w:firstLine="200"/>
        <w:jc w:val="both"/>
      </w:pPr>
      <w:r>
        <w:t>Hydrogen thermophysical properties (density, dynamic viscosity, thermal conductivity, specific heat) were evaluated along the P = 20.64 MPa isobar using CoolProp (NIST-backed equations of state), swept from the LH2 pump-discharge inlet condition (20 K) to 600 K. Using the refined CoolProp isobaric property sweep at P = 20.64 MPa, the pseudocritical temperature was identified from the specific-heat peak as Tpc = 334.58 K, well above the fluid's critical temperature (Tcr = 33.14 K).</w:t>
      </w:r>
    </w:p>
    <w:p>
      <w:pPr>
        <w:spacing w:after="80" w:before="160"/>
      </w:pPr>
      <w:r>
        <w:t>C. Convective Heat Transfer Model</w:t>
      </w:r>
    </w:p>
    <w:p>
      <w:pPr>
        <w:spacing w:after="120" w:line="252"/>
        <w:ind w:firstLine="200"/>
        <w:jc w:val="both"/>
      </w:pPr>
      <w:r>
        <w:t>Coolant-side convective heat transfer was evaluated using the Hess &amp; Kunz correlation [9], a wall-viscosity-corrected Nusselt correlation developed specifically for forced convection to supercritical hydrogen, in place of the general-purpose Dittus–Boelter correlation used in the prior draft:</w:t>
      </w:r>
    </w:p>
    <w:p>
      <w:pPr>
        <w:tabs>
          <w:tab w:val="right" w:pos="9026"/>
        </w:tabs>
        <w:spacing w:after="100" w:before="100"/>
      </w:pPr>
      <w:r>
        <w:t>Nu_f = 0.0208·Re_f^0.8·Pr_f^0.4·[1+0.01457·(ν_w/ν_b)]</w:t>
        <w:tab/>
        <w:t>(8)</w:t>
      </w:r>
    </w:p>
    <w:p>
      <w:pPr>
        <w:spacing w:after="120" w:line="252"/>
        <w:ind w:firstLine="200"/>
        <w:jc w:val="both"/>
      </w:pPr>
      <w:r>
        <w:t>Properties for Re_f and Pr_f are evaluated at the film mean temperature Tf = (Tin+Twall)/2, and the viscosity-ratio correction ν_w/ν_b (kinematic viscosity at the wall temperature over the bulk/inlet temperature) accounts for the strong property variation between the cold bulk flow and the much hotter predicted wall condition — the specific refinement this correlation was chosen for over Dittus–Boelter, which has no such correction and was noted as a limitation in the prior draft. Channel count N=390 and channel width 1.09 mm were set from real-hardware-lineage dimensions corroborated against the RS-25's literature-reported channel count (Sec. VI Item 3), and coolant mass flow per channel was set by the assumed 0.35 flow-split fraction of total LH2 flow routed to the nozzle regenerative circuit at the throat station. The wall temperature and convective coefficient were solved iteratively, with all properties (including the wall/bulk viscosity ratio) re-evaluated at each iteration via CoolProp, until Twall converged to within 0.1 K.</w:t>
      </w:r>
    </w:p>
    <w:p>
      <w:pPr>
        <w:spacing w:after="80" w:before="160"/>
      </w:pPr>
      <w:r>
        <w:t>D. Baseline Result</w:t>
      </w:r>
    </w:p>
    <w:p>
      <w:pPr>
        <w:spacing w:after="120" w:line="252"/>
        <w:ind w:firstLine="200"/>
        <w:jc w:val="both"/>
      </w:pPr>
      <w:r>
        <w:t>For the adopted baseline geometry (channel width 1.09 mm, channel height 0.84 mm, N = 390 channels, corroborated by U.S. Patent 4,707,225 [10] throat-region channel dimensions combined with the literature-reported RS-25 channel count [8], Sec. VI Item 3; flow-split fraction 0.35), Twg is resolved via the coupled three-resistance network of Sec. VI Item 2, q = (Taw−Tl)/(1/hg + tw/kwall + 1/hl), using a representative NARloy-Z liner [8] (kwall = 345 W/m-K, tw = 1.0 mm, both illustrative pending as-built GD&amp;T) and the Hess-Kunz coolant-side correlation (Eq. 8). With the reported converged coolant coefficient hc = 8.969×10⁵ W/m²-K, the closed three-resistance solution gives q" = 68.12 MW/m², Twg = 293.39 K, and Twall = 95.95 K (energy-balance residual &lt;0.01% using the displayed inputs):</w:t>
      </w:r>
    </w:p>
    <w:p>
      <w:pPr>
        <w:spacing w:after="200" w:before="80"/>
        <w:jc w:val="center"/>
      </w:pPr>
      <w:r>
        <w:t>Table 3  HTD-based regenerative cooling margin at the throat, baseline assumptions</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tblGrid>
      <w:tr>
        <w:tc>
          <w:tcPr>
            <w:tcW w:type="dxa" w:w="29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Quantity</w:t>
            </w:r>
          </w:p>
        </w:tc>
        <w:tc>
          <w:tcPr>
            <w:tcW w:type="dxa" w:w="17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7"/>
                <w:szCs w:val="17"/>
              </w:rPr>
              <w:t xml:space="preserve">Value</w:t>
            </w:r>
          </w:p>
        </w:tc>
      </w:tr>
      <w:tr>
        <w:tc>
          <w:tcPr>
            <w:tcW w:type="dxa" w:w="2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Converged film mean temperature</w:t>
            </w:r>
          </w:p>
        </w:tc>
        <w:tc>
          <w:tcPr>
            <w:tcW w:type="dxa" w:w="1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r>
              <w:t>58.02 K</w:t>
            </w:r>
          </w:p>
        </w:tc>
      </w:tr>
      <w:tr>
        <w:tc>
          <w:tcPr>
            <w:tcW w:type="dxa" w:w="2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Convective heat transfer coefficient, hc</w:t>
            </w:r>
          </w:p>
        </w:tc>
        <w:tc>
          <w:tcPr>
            <w:tcW w:type="dxa" w:w="1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r>
              <w:t>8.969 × 10⁵ W/m²-K</w:t>
            </w:r>
          </w:p>
        </w:tc>
      </w:tr>
      <w:tr>
        <w:tc>
          <w:tcPr>
            <w:tcW w:type="dxa" w:w="2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Coolant-side wall temperature, Twall</w:t>
            </w:r>
          </w:p>
        </w:tc>
        <w:tc>
          <w:tcPr>
            <w:tcW w:type="dxa" w:w="1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r>
              <w:t>95.95 K</w:t>
            </w:r>
          </w:p>
        </w:tc>
      </w:tr>
      <w:tr>
        <w:tc>
          <w:tcPr>
            <w:tcW w:type="dxa" w:w="2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Pseudocritical temperature, Tpc</w:t>
            </w:r>
          </w:p>
        </w:tc>
        <w:tc>
          <w:tcPr>
            <w:tcW w:type="dxa" w:w="1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r>
              <w:t>334.58 K</w:t>
            </w:r>
          </w:p>
        </w:tc>
      </w:tr>
      <w:tr>
        <w:tc>
          <w:tcPr>
            <w:tcW w:type="dxa" w:w="2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i w:val="false"/>
                <w:iCs w:val="false"/>
                <w:sz w:val="17"/>
                <w:szCs w:val="17"/>
              </w:rPr>
              <w:t xml:space="preserve">HTD margin (Tpc − Twall)</w:t>
            </w:r>
          </w:p>
        </w:tc>
        <w:tc>
          <w:tcPr>
            <w:tcW w:type="dxa" w:w="1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r>
              <w:t>+238.63 K</w:t>
            </w:r>
          </w:p>
        </w:tc>
      </w:tr>
    </w:tbl>
    <w:p>
      <w:pPr>
        <w:spacing w:after="200" w:before="100"/>
      </w:pPr>
      <w:r>
        <w:t xml:space="preserve"> </w:t>
      </w:r>
    </w:p>
    <w:p>
      <w:pPr>
        <w:spacing w:after="120" w:line="252"/>
        <w:ind w:firstLine="200"/>
        <w:jc w:val="both"/>
      </w:pPr>
      <w:r>
        <w:t>The comfortably positive margin indicates that, under this adopted baseline, the coolant-side wall temperature remains well below the pseudocritical temperature, with no heat-transfer deterioration risk indicated at this station — consistent with the RS-25's known, flight-proven cooling performance. This result supersedes an earlier calculation in this revision that used the paper's original illustrative 3.0 mm channel width (N = 183) and found a marginal −2.0 K margin; that comparison is retained in Sec. V.E as a sensitivity case, since it demonstrates how sensitive this margin is to channel geometry, but the 1.09 mm/N = 390 geometry above, being corroborated by real hardware-lineage dimensions (Sec. VI Item 3), is the paper's primary result. A supplementary classical Zuber-type pool-boiling CHF estimate was also computed for continuity with conventional margin language; it is explicitly non-rigorous here, since it is a pool-boiling correlation evaluated roughly sixteen times above hydrogen's critical pressure, and is reported only as a bound rather than a validated CHF margin.</w:t>
      </w:r>
    </w:p>
    <w:p>
      <w:pPr>
        <w:spacing w:after="80" w:before="160"/>
      </w:pPr>
      <w:r>
        <w:t>E. Sensitivity Analysis</w:t>
      </w:r>
    </w:p>
    <w:p>
      <w:pPr>
        <w:spacing w:after="120" w:line="252"/>
        <w:ind w:firstLine="200"/>
        <w:jc w:val="both"/>
      </w:pPr>
      <w:r>
        <w:t>This section's sensitivity sweeps predate the adopted channel geometry adopted as the primary result above (Sec. VI Item 3) and were run against the paper's original illustrative 3.0 mm channel width (N = 183) rather than the corroborated 1.09 mm/N = 390 geometry. They are retained rather than discarded because they remain informative about how sensitive the HTD margin is to flow-split fraction and channel width in general, and because the illustrative-baseline result they bracket (−2.0 K, Sec. V.D) is a useful worst-case comparison point. Three assumptions were swept independently, holding the other baseline inputs fixed: the fraction of total LH2 flow routed through the nozzle regenerative circuit at the throat station, the cooling channel width, and (separately, against the adopted baseline rather than the illustrative one) the cooling channel height — the same purpose served by the constant-CTE sensitivity sweep in the companion cryogenic-shrinkage study. Given the primary result's substantially positive +238.63 K margin, the flow-split fraction would need to be substantially below the assumed 0.35 (per the trend below) before this station approached risk under the adopted geometry; the sweep below should be read as bounding that illustrative-geometry case, not the primary result.</w:t>
      </w:r>
    </w:p>
    <w:p>
      <w:pPr>
        <w:spacing w:after="120" w:line="252"/>
        <w:ind w:firstLine="200"/>
        <w:jc w:val="both"/>
      </w:pPr>
      <w:r>
        <w:t>Sensitivity to flow-split fraction. Resweeping with the Hess-Kunz coolant-side correlation and N = 183 channels, the flow-split fraction was swept from 0.20 to 0.60 in increments of 0.05, holding channel width at the 3.0 mm illustrative baseline. The HTD margin rises monotonically with flow-split fraction, from approximately −123 K at fraction 0.20 to approximately +87 K at fraction 0.60, and crosses zero almost exactly at the illustrative baseline fraction of 0.35 (illustrative-geometry margin: −2.0 K). Within this illustrative-geometry case, flow-split fraction is the dominant sensitivity: the assumption sits essentially on the safe/at-risk boundary rather than comfortably on either side. A flow split even marginally above 0.35 (e.g., 0.40, margin +22.1 K) is safe; marginally below (0.30, margin −32 K) is not. This finding should be read in light of Sec. V.D's primary result, however: once the adopted channel geometry (N=390, 1.09 mm width, 0.84 mm height) is substituted for this illustrative 3.0 mm case, the margin moves to a substantially positive +238.63 K, and channel geometry — not flow-split fraction — turns out to be the more consequential input overall (Sec. V.G). The flow-split fraction remains worth tightening against real RS-25 data as a secondary follow-up, since it is not publicly documented to component precision.</w:t>
      </w:r>
    </w:p>
    <w:p>
      <w:pPr>
        <w:spacing w:after="120" w:line="252"/>
        <w:ind w:firstLine="200"/>
        <w:jc w:val="both"/>
      </w:pPr>
      <w:r>
        <w:t>Sensitivity to channel width. Channel width was swept from 2.0 mm to 5.0 mm in 0.5 mm increments with the Hess-Kunz correlation, recomputing channel count N from circumference/pitch at each width (land held at 1.5 mm) and holding flow-split fraction at the 0.35 baseline. The HTD margin decreases monotonically as channel width increases, from approximately +37 K at 2.0 mm to approximately −42 K at 5.0 mm, crossing zero between 2.5 and 3.0 mm — meaning the paper's own baseline width (3.0 mm) again sits just past the margin's zero crossing, consistent with the flow-split result above. Widening the channel reduces both the channel count (fewer, larger channels for the same circumference) and the per-channel Reynolds number, compounding the drop in convective coefficient. This parameter flips the sign of the margin within the illustrative-geometry swept range, confirming that channel width is a first-order design sensitivity within that case. As with the flow-split sweep above, this result is superseded by Sec. V.D's primary finding once the adopted geometry (N=390, 1.09 mm) is used instead of this 3.0 mm illustrative case — the primary result's +238.63 K margin does not sit near either sensitivity's zero crossing. These sweeps remain useful, however, for showing how much margin an under-specified channel geometry could cost if the real hardware turned out to differ substantially from the corroborated dimensions in Sec. VI Item 3.</w:t>
      </w:r>
    </w:p>
    <w:p>
      <w:pPr>
        <w:spacing w:after="120" w:line="252"/>
        <w:ind w:firstLine="200"/>
        <w:jc w:val="both"/>
      </w:pPr>
      <w:r>
        <w:t>Sensitivity to channel height. Unlike the flow-split and width sweeps above, channel height was swept against the adopted baseline geometry (1.09 mm width, N = 390, 0.35 flow-split fraction) rather than the illustrative 3.0 mm/N = 183 case, since channel height is itself one of the corroborated real-hardware dimensions (Sec. VI Item 3) and its patent-sourced value (0.84 mm) is already the primary result's baseline (Sec. V.D). Channel height was swept from 0.84 mm to 4.0 mm at five points (0.84, 1.5, 2.25, 3.0, 4.0 mm), holding channel width and flow-split fraction fixed and recomputing hydraulic diameter, Reynolds number, and the Hess-Kunz convective coefficient at each point via the same iterative solve used for the primary result. The HTD margin decreases monotonically and steeply as channel height increases: from the baseline's +238.63 K at 0.84 mm to approximately +192 K at 1.5 mm, +148 K at 2.25 mm, +110 K at 3.0 mm, and +66 K at 4.0 mm, a swing of roughly 170 K across the swept range, driven by the shrinking hydraulic diameter and rising Reynolds number as the channel narrows. Unlike the flow-split and width sweeps above, this sweep never approaches the margin's zero crossing within the tested range — even the deepest channel tested (4.0 mm, well beyond the patent-sourced throat-region value) leaves a comfortably positive margin. Channel height is therefore confirmed as a first-order sensitivity in absolute terms, but the patent-sourced 0.84 mm value sits at the favorable end of the swept range rather than near any risk boundary, reinforcing rather than qualifying the primary result.</w:t>
      </w:r>
    </w:p>
    <w:p>
      <w:pPr>
        <w:spacing w:after="80" w:before="160"/>
      </w:pPr>
      <w:r>
        <w:t>F. Limitations</w:t>
      </w:r>
    </w:p>
    <w:p>
      <w:pPr>
        <w:spacing w:after="120" w:line="252"/>
        <w:ind w:firstLine="200"/>
        <w:jc w:val="both"/>
      </w:pPr>
      <w:r>
        <w:t>This assessment is a first-order screening calculation, not a validated design margin, for the following reasons. Channel geometry now uses real-hardware-lineage dimensions (width, count, and throat-region depth) corroborated across the patent and RS-25 literature, rather than the paper's original illustrative placeholder. The throat-region dimensions used in the final re-run are 1.09 mm channel width, 0.84 mm channel height (≈0.033 in), and N = 390 channels; the 0.84 mm depth is the patent-sourced throat-region value. Because channel height enters the coolant-side Reynolds number and therefore the converged wall temperature, the full iterative solve was re-run with this corrected geometry, closing the channel-height item. The flow-split fraction routed to the nozzle regenerative circuit at the throat station is an assumption, not a published RS-25 value; publicly available RS-25 operations data [11] show the chamber coolant valve is throttle-modulated (66.4-100% open across 65-100% throttle) rather than fixed, which supports treating 0.35 as a representative single-point simplification of a variable real system rather than as an independently verifiable constant, and Sec. V.E shows the baseline result sits almost exactly on this assumption's safe/at-risk boundary. The coolant-side convective coefficient now uses the Hess-Kunz [9] hydrogen-specific supercritical correlation in place of the general-purpose Dittus–Boelter correlation used in the prior draft, and the gas-side wall temperature is resolved through an explicit three-resistance network including hot-wall conduction (kwall, tw) rather than assumed or neglected; both wall thickness and thermal conductivity remain representative values pending as-built data, and the single-station, fixed-bulk-temperature treatment does not model axial heating of the coolant along the channel length upstream of the throat. Finally, the supplementary Zuber CHF estimate uses illustrative low-pressure vapor density, surface tension, and latent-heat values and is retained only as a non-rigorous bound, not a validated result; as discussed in Sec. VI Item 3, no classical CHF correlation — Zuber or otherwise — has a rigorous supercritical extension, which is why the HTD margin, not a CHF number, is this study's primary result.</w:t>
      </w:r>
    </w:p>
    <w:p>
      <w:pPr>
        <w:spacing w:after="80" w:before="160"/>
      </w:pPr>
      <w:r>
        <w:t>G. Summary</w:t>
      </w:r>
    </w:p>
    <w:p>
      <w:pPr>
        <w:spacing w:after="120" w:line="252"/>
        <w:ind w:firstLine="200"/>
        <w:jc w:val="both"/>
      </w:pPr>
      <w:r>
        <w:t>Under the adopted channel geometry (1.09 mm width, 0.84 mm height, N = 390, Sec. VI Item 3) and the Hess-Kunz coolant-side correlation, the throat-station coolant-side wall temperature (95.95 K) remains well below the hydrogen pseudocritical temperature at the coolant operating pressure (334.58 K), giving a model-closed HTD margin of +238.63 K and no heat-transfer deterioration risk within this single-station screening model at the assumed 0.35 flow split — broadly consistent with +65.5 K under the prior draft's assumed-Twg, Dittus-Boelter, illustrative-geometry calculation, though arrived at through a materially different and more defensible chain of reasoning. This convergence is worth noting explicitly: an earlier calculation in this revision, using the paper's original illustrative 3.0 mm/N=183 channel geometry with the same corrected Taw, Twg, and Hess-Kunz model, found a marginal −2.0 K result (Sec. V.D) — the reversal was driven entirely by channel geometry, not by the combustion-state or heat-transfer corrections, which is itself an important finding: this margin calculation is far more sensitive to channel geometry than to the modeling refinements that were the original focus of this revision. The sensitivity sweeps in this section (run against the illustrative 3.0 mm baseline) remain useful for bounding how much the margin could move under plausible geometry variations, but the primary, adopted result is substantially positive. The recommended near-term extension is confirming the as-built RS-25 channel geometry against Patent 4,707,225's dimensions with a direct as-built source, and tightening the flow-split assumption, which remains unverified to component precision.</w:t>
      </w:r>
    </w:p>
    <w:p>
      <w:r>
        <w:t>H. COUPLED HEAT-BALANCE CLOSURE</w:t>
      </w:r>
    </w:p>
    <w:p>
      <w:r>
        <w:t>The numerical open item in the prior result is closed here by solving one equation for one heat flux across all three stated thermal resistances, rather than mixing a gas-side heat flux with a separately reported coolant-wall state. The calculation uses only the coefficients, temperatures, wall thickness, and conductivity already stated in this paper; it introduces no new fitted parameter.</w:t>
      </w:r>
    </w:p>
    <w:p>
      <w:r>
        <w:t>Using Taw = 2974.1 K, Tin = 20 K, hg = 25,410 W/m²-K, hc = 8.969×10⁵ W/m²-K, tw = 1.0 mm, and kwall = 345 W/m-K gives q" = 68.12 MW/m², Twg = 293.39 K, and Twall = 95.95 K. The resulting HTD margin is 334.58−95.95 = +238.63 K. Substitution into the gas-film, wall-conduction, and coolant-film relations returns the same heat flux to rounding (residual &lt;0.01% on the displayed quantities).</w:t>
      </w:r>
    </w:p>
    <w:p>
      <w:r>
        <w:t>Table 4  Model-closed throat results using the paper's stated inputs</w:t>
      </w:r>
    </w:p>
    <w:tbl>
      <w:tblPr>
        <w:tblW w:type="auto" w:w="0"/>
        <w:tblLook w:firstColumn="1" w:firstRow="1" w:lastColumn="0" w:lastRow="0" w:noHBand="0" w:noVBand="1" w:val="04A0"/>
      </w:tblPr>
      <w:tblGrid>
        <w:gridCol w:w="3360"/>
        <w:gridCol w:w="3360"/>
        <w:gridCol w:w="3360"/>
      </w:tblGrid>
      <w:tr>
        <w:tc>
          <w:tcPr>
            <w:tcW w:type="dxa" w:w="3360"/>
          </w:tcPr>
          <w:p>
            <w:r>
              <w:rPr>
                <w:sz w:val="18"/>
              </w:rPr>
              <w:t>Quantity</w:t>
            </w:r>
          </w:p>
        </w:tc>
        <w:tc>
          <w:tcPr>
            <w:tcW w:type="dxa" w:w="3360"/>
          </w:tcPr>
          <w:p>
            <w:r>
              <w:rPr>
                <w:sz w:val="18"/>
              </w:rPr>
              <w:t>Model-closed result</w:t>
            </w:r>
          </w:p>
        </w:tc>
        <w:tc>
          <w:tcPr>
            <w:tcW w:type="dxa" w:w="3360"/>
          </w:tcPr>
          <w:p>
            <w:r>
              <w:rPr>
                <w:sz w:val="18"/>
              </w:rPr>
              <w:t>Basis</w:t>
            </w:r>
          </w:p>
        </w:tc>
      </w:tr>
      <w:tr>
        <w:tc>
          <w:tcPr>
            <w:tcW w:type="dxa" w:w="3360"/>
          </w:tcPr>
          <w:p>
            <w:r>
              <w:rPr>
                <w:sz w:val="18"/>
              </w:rPr>
              <w:t>Total LH2 flow</w:t>
            </w:r>
          </w:p>
        </w:tc>
        <w:tc>
          <w:tcPr>
            <w:tcW w:type="dxa" w:w="3360"/>
          </w:tcPr>
          <w:p>
            <w:r>
              <w:rPr>
                <w:sz w:val="18"/>
              </w:rPr>
              <w:t>73.19 kg/s</w:t>
            </w:r>
          </w:p>
        </w:tc>
        <w:tc>
          <w:tcPr>
            <w:tcW w:type="dxa" w:w="3360"/>
          </w:tcPr>
          <w:p>
            <w:r>
              <w:rPr>
                <w:sz w:val="18"/>
              </w:rPr>
              <w:t>514.5/(1+6.03)</w:t>
            </w:r>
          </w:p>
        </w:tc>
      </w:tr>
      <w:tr>
        <w:tc>
          <w:tcPr>
            <w:tcW w:type="dxa" w:w="3360"/>
          </w:tcPr>
          <w:p>
            <w:r>
              <w:rPr>
                <w:sz w:val="18"/>
              </w:rPr>
              <w:t>Nozzle-circuit flow at assumed split</w:t>
            </w:r>
          </w:p>
        </w:tc>
        <w:tc>
          <w:tcPr>
            <w:tcW w:type="dxa" w:w="3360"/>
          </w:tcPr>
          <w:p>
            <w:r>
              <w:rPr>
                <w:sz w:val="18"/>
              </w:rPr>
              <w:t>25.62 kg/s</w:t>
            </w:r>
          </w:p>
        </w:tc>
        <w:tc>
          <w:tcPr>
            <w:tcW w:type="dxa" w:w="3360"/>
          </w:tcPr>
          <w:p>
            <w:r>
              <w:rPr>
                <w:sz w:val="18"/>
              </w:rPr>
              <w:t>0.35 × total LH2 flow</w:t>
            </w:r>
          </w:p>
        </w:tc>
      </w:tr>
      <w:tr>
        <w:tc>
          <w:tcPr>
            <w:tcW w:type="dxa" w:w="3360"/>
          </w:tcPr>
          <w:p>
            <w:r>
              <w:rPr>
                <w:sz w:val="18"/>
              </w:rPr>
              <w:t>Per-channel flow / mass flux</w:t>
            </w:r>
          </w:p>
        </w:tc>
        <w:tc>
          <w:tcPr>
            <w:tcW w:type="dxa" w:w="3360"/>
          </w:tcPr>
          <w:p>
            <w:r>
              <w:rPr>
                <w:sz w:val="18"/>
              </w:rPr>
              <w:t>0.06568 kg/s / 7.17×10⁴ kg/m²-s</w:t>
            </w:r>
          </w:p>
        </w:tc>
        <w:tc>
          <w:tcPr>
            <w:tcW w:type="dxa" w:w="3360"/>
          </w:tcPr>
          <w:p>
            <w:r>
              <w:rPr>
                <w:sz w:val="18"/>
              </w:rPr>
              <w:t>390 channels; 1.09 mm × 0.84 mm area</w:t>
            </w:r>
          </w:p>
        </w:tc>
      </w:tr>
      <w:tr>
        <w:tc>
          <w:tcPr>
            <w:tcW w:type="dxa" w:w="3360"/>
          </w:tcPr>
          <w:p>
            <w:r>
              <w:rPr>
                <w:sz w:val="18"/>
              </w:rPr>
              <w:t>Coupled throat heat flux</w:t>
            </w:r>
          </w:p>
        </w:tc>
        <w:tc>
          <w:tcPr>
            <w:tcW w:type="dxa" w:w="3360"/>
          </w:tcPr>
          <w:p>
            <w:r>
              <w:rPr>
                <w:sz w:val="18"/>
              </w:rPr>
              <w:t>68.12 MW/m²</w:t>
            </w:r>
          </w:p>
        </w:tc>
        <w:tc>
          <w:tcPr>
            <w:tcW w:type="dxa" w:w="3360"/>
          </w:tcPr>
          <w:p>
            <w:r>
              <w:rPr>
                <w:sz w:val="18"/>
              </w:rPr>
              <w:t>Three-resistance energy balance</w:t>
            </w:r>
          </w:p>
        </w:tc>
      </w:tr>
      <w:tr>
        <w:tc>
          <w:tcPr>
            <w:tcW w:type="dxa" w:w="3360"/>
          </w:tcPr>
          <w:p>
            <w:r>
              <w:rPr>
                <w:sz w:val="18"/>
              </w:rPr>
              <w:t>Gas-side / coolant-side wall temperature</w:t>
            </w:r>
          </w:p>
        </w:tc>
        <w:tc>
          <w:tcPr>
            <w:tcW w:type="dxa" w:w="3360"/>
          </w:tcPr>
          <w:p>
            <w:r>
              <w:rPr>
                <w:sz w:val="18"/>
              </w:rPr>
              <w:t>293.39 K / 95.95 K</w:t>
            </w:r>
          </w:p>
        </w:tc>
        <w:tc>
          <w:tcPr>
            <w:tcW w:type="dxa" w:w="3360"/>
          </w:tcPr>
          <w:p>
            <w:r>
              <w:rPr>
                <w:sz w:val="18"/>
              </w:rPr>
              <w:t>Same coupled solution</w:t>
            </w:r>
          </w:p>
        </w:tc>
      </w:tr>
      <w:tr>
        <w:tc>
          <w:tcPr>
            <w:tcW w:type="dxa" w:w="3360"/>
          </w:tcPr>
          <w:p>
            <w:r>
              <w:rPr>
                <w:sz w:val="18"/>
              </w:rPr>
              <w:t>HTD margin</w:t>
            </w:r>
          </w:p>
        </w:tc>
        <w:tc>
          <w:tcPr>
            <w:tcW w:type="dxa" w:w="3360"/>
          </w:tcPr>
          <w:p>
            <w:r>
              <w:rPr>
                <w:sz w:val="18"/>
              </w:rPr>
              <w:t>+238.63 K</w:t>
            </w:r>
          </w:p>
        </w:tc>
        <w:tc>
          <w:tcPr>
            <w:tcW w:type="dxa" w:w="3360"/>
          </w:tcPr>
          <w:p>
            <w:r>
              <w:rPr>
                <w:sz w:val="18"/>
              </w:rPr>
              <w:t>334.58 K pseudocritical temperature minus Twall</w:t>
            </w:r>
          </w:p>
        </w:tc>
      </w:tr>
    </w:tbl>
    <w:p>
      <w:r>
        <w:t>Closure boundary. This closes the arithmetic consistency of the published single-station model and supports publishing the result as a first-order screening calculation. It does not convert nominal patent/literature geometry into as-built RS-25 geometry, prove the 0.35 nozzle-circuit flow split, model axial coolant heating/pressure drop, or validate the Hess-Kunz prediction against a matched test. Those are explicitly retained as limitations, not represented as closed facts.</w:t>
      </w:r>
    </w:p>
    <w:p>
      <w:pPr>
        <w:spacing w:after="120" w:before="240"/>
        <w:jc w:val="center"/>
      </w:pPr>
      <w:r>
        <w:rPr>
          <w:rFonts w:ascii="Times New Roman" w:cs="Times New Roman" w:eastAsia="Times New Roman" w:hAnsi="Times New Roman"/>
          <w:b/>
          <w:bCs/>
          <w:sz w:val="20"/>
          <w:szCs w:val="20"/>
        </w:rPr>
        <w:t xml:space="preserve">VI. SUPPORTING DERIVATIONS AND CORROBORATING EVIDENCE</w:t>
      </w:r>
    </w:p>
    <w:p>
      <w:pPr>
        <w:spacing w:after="120" w:line="252"/>
        <w:ind w:firstLine="200"/>
        <w:jc w:val="both"/>
      </w:pPr>
      <w:r>
        <w:t>Three supporting derivations underlie the results presented above, documented here in order of significance to the final margin:</w:t>
      </w:r>
    </w:p>
    <w:p>
      <w:pPr>
        <w:spacing w:after="120" w:line="252"/>
        <w:jc w:val="both"/>
      </w:pPr>
      <w:r>
        <w:t>Item 1: Combustion state (Tc, k, Rs). Verified via NASA CEA (CEARUN) at O/F = 6.03, Pc = 2994 psia, LOX(L)/H2(L) reactants, infinite-area combustor, equilibrium expansion. This closed the Isp/thrust discrepancy identified in Sec. III to within 2.7% (Isp) and 0.5% (thrust) of the published RS-25 figures, consistent with expected combustion/boundary-layer/kinetic losses not modeled by 1-D ideal equilibrium.</w:t>
      </w:r>
    </w:p>
    <w:p>
      <w:pPr>
        <w:spacing w:after="120" w:line="252"/>
        <w:jc w:val="both"/>
      </w:pPr>
      <w:r>
        <w:t>Item 2: Coupled heat-balance closure. The gas-side and coolant-side wall temperatures are solved from q = (Taw−Tin)/(1/hg + tw/k + 1/hc), using the representative NARloy-Z liner (kwall = 345 W/m-K, tw = 1.0 mm) and Hess &amp; Kunz coolant coefficient reported in Sec. V. With the printed inputs, the self-consistent result is q" = 68.12 MW/m², Twg = 293.39 K, and Twall = 95.95 K; the three heat-rate paths agree to rounding. This replaces the inconsistent combination of q" = 62.4 MW/m², Twg = 517.5 K, and Twall = 95.95 K. The result closes the numerical energy balance of the stated single-station model, while liner properties and axial heating remain limitations as noted in Sec. V.F.</w:t>
      </w:r>
    </w:p>
    <w:p>
      <w:pPr>
        <w:spacing w:after="120" w:line="252"/>
        <w:jc w:val="both"/>
      </w:pPr>
      <w:r>
        <w:t>Item 3: Regenerative-channel geometry (channel count N, channel width). Re-derived from the 261.6 mm throat circumference, replacing the unscaled 40-channel subscale assumption. This initially surfaced a geometric ambiguity: circumference/(width+land) gives N = 183 at the paper's original baseline 3.0 mm channel width and 1.5 mm land, whereas NASA/Rocketdyne public literature [8] reports ≈390 actual channels machined into the RS-25's NARloy-Z liner. This is resolved with corroborating real-hardware dimensions from U.S. Patent 4,707,225 [10] (Rockwell International, filed 1986 — the RS-25's manufacturer's parent company, contemporaneous with the RS-25 program, same NARloy-family channel-construction lineage, though its worked example describes a nitrogen-tetroxide-cooled chamber rather than the RS-25's LH2 circuit specifically), which gives real throat-region channel dimensions of ≈0.043 in (1.09 mm) width and land widths ranging ≈0.04–0.15 in (1.0–3.8 mm). Taking the patent's throat width and minimum land width together (1.09 mm + 1.02 mm pitch) implies N ≈ 390 at the RS-25's 261.6 mm throat circumference — matching the literature-cited channel count to within 0.2, essentially exactly. This revision therefore adopts N = 390, width = 1.09 mm as the primary channel geometry, superseding the paper's original 3.0 mm illustrative baseline. Under this adopted geometry, including the patent-sourced 0.84 mm throat-region channel depth, and the Hess-Kunz correlation, the recalculated HTD margin is +238.63 K — substantially positive and consistent with the RS-25's known, flight-proven cooling margin, in contrast to the −2.0 K result obtained from the original illustrative 3.0 mm baseline. This is the single most important correction in this revision: the paper's original channel-width assumption was not merely imprecise but was driving the illustrative HTD calculation into an artificially marginal regime. The patent-sourced 0.84 mm throat-region depth has now been reconciled with the cooling-channel model by re-running the full iterative wall-temperature solve, and the resulting primary margin is +238.63 K. The geometry remains corroborated rather than certified because Patent 4,707,225's worked example is not confirmed to be the RS-25's exact MCC circuit; as-built RS-25 CAD would still be the ideal closing reference. Substituting a forced-flow CHF correlation (e.g., Katto–Ohno) for the Zuber pool-boiling reference is not adopted here: as established in Sec. V.A, classical CHF correlations (Zuber, Katto–Ohno, and similarly derived subcritical boiling correlations) presuppose a distinct liquid/vapor interface, which does not exist above hydrogen's critical pressure (Pcr = 1.2964 MPa) — the coolant operating pressure here (20.64 MPa) is roughly 16x critical. A supercritical CHF number from a subcritical-regime correlation would therefore not be a more rigorous result, only a more precisely wrong one. The HTD-margin framing already adopted in this study is the physically appropriate substitute, not an interim placeholder for it; the Zuber estimate is retained only as a non-rigorous supplementary bound for continuity with conventional CHF-margin language, as already stated in Sec. V.D.</w:t>
      </w:r>
    </w:p>
    <w:p>
      <w:pPr>
        <w:spacing w:after="120" w:before="240"/>
        <w:jc w:val="center"/>
      </w:pPr>
      <w:r>
        <w:rPr>
          <w:rFonts w:ascii="Times New Roman" w:cs="Times New Roman" w:eastAsia="Times New Roman" w:hAnsi="Times New Roman"/>
          <w:b/>
          <w:bCs/>
          <w:sz w:val="20"/>
          <w:szCs w:val="20"/>
        </w:rPr>
        <w:t xml:space="preserve">VII. SIGNIFICANCE AND APPLICATIONS</w:t>
      </w:r>
    </w:p>
    <w:p>
      <w:pPr>
        <w:spacing w:after="120" w:line="252"/>
        <w:ind w:firstLine="200"/>
        <w:jc w:val="both"/>
      </w:pPr>
      <w:r>
        <w:t>Using the RS-25 operating point and the adopted channel geometry shows that geometry fidelity dominates the throat cooling result. The model-closed, single-station resistance calculation gives a positive HTD margin under the stated flow split, whereas the earlier illustrative channel geometry produced a marginal result. The practical conclusion is that regenerative-channel dimensions and flow routing must be defined before a cooling-margin calculation is treated as a design result; the remaining as-built geometry, flow-split, and axial-heating limitations are stated in Sec. V.</w:t>
      </w:r>
    </w:p>
    <w:p>
      <w:pPr>
        <w:spacing w:after="100" w:before="240"/>
        <w:jc w:val="center"/>
      </w:pPr>
      <w:r>
        <w:t>References</w:t>
      </w:r>
    </w:p>
    <w:p>
      <w:pPr>
        <w:spacing w:after="100" w:line="240"/>
        <w:ind w:left="200" w:hanging="200"/>
      </w:pPr>
      <w:r>
        <w:t>[1] Baars, W. J., Tinney, C. E., Ruf, J. H., Brown, A. M., and McDaniels, D. M., "Wall Pressure Unsteadiness and Side Loads in Overexpanded Rocket Nozzles," AIAA Journal, Vol. 50, No. 1, 2012, pp. 61–73. https://doi.org/10.2514/1.J051075</w:t>
      </w:r>
    </w:p>
    <w:p>
      <w:pPr>
        <w:spacing w:after="100" w:line="240"/>
        <w:ind w:left="200" w:hanging="200"/>
      </w:pPr>
      <w:r>
        <w:t>[2] O'Leary, R. A., and Beck, J. E., "Nozzle Design," Threshold, Rocketdyne Technical Journal, No. 8, Spring 1992, pp. 26–35.</w:t>
      </w:r>
    </w:p>
    <w:p>
      <w:pPr>
        <w:spacing w:after="100" w:line="240"/>
        <w:ind w:left="200" w:hanging="200"/>
      </w:pPr>
      <w:r>
        <w:t>[3] "RS-25," Aerojet Rocketdyne / NASA specification data: thrust 2279 kN (vac.), Isp 452.3 s (vac.), chamber pressure 2994 psi (20.64 MPa), mixture ratio 6.03:1, cycle: fuel-rich staged combustion.</w:t>
      </w:r>
    </w:p>
    <w:p>
      <w:pPr>
        <w:spacing w:after="100" w:line="240"/>
        <w:ind w:left="200" w:hanging="200"/>
      </w:pPr>
      <w:r>
        <w:t>[4] Derived from this study's Ref. [3] data via ṁ = F/(Isp·g0), using the published vacuum thrust (F = 2279 kN) and vacuum specific impulse (Isp = 452.3 s): ṁ ≈ 513.7 kg/s, within 0.2% of the tabulated 514.5 kg/s figure used throughout. The individual LOX (≈441 kg/s) and LH2 (≈73 kg/s) flow rates follow from this total via the O/F = 6.03 mixture ratio [3].</w:t>
      </w:r>
    </w:p>
    <w:p>
      <w:pPr>
        <w:spacing w:after="100" w:line="240"/>
        <w:ind w:left="200" w:hanging="200"/>
      </w:pPr>
      <w:r>
        <w:t>[5] National Air and Space Museum, Space Shuttle Main Engine object record: nozzle length 121 in, throat diameter 10.3 in, exit diameter 90.7 in.</w:t>
      </w:r>
    </w:p>
    <w:p>
      <w:pPr>
        <w:spacing w:after="100" w:line="240"/>
        <w:ind w:left="200" w:hanging="200"/>
      </w:pPr>
      <w:r>
        <w:t>[6] Bartz, D. R., "A Simple Equation for Rapid Estimation of Rocket Nozzle Convective Heat Transfer Coefficients," Jet Propulsion, Vol. 27, No. 1, 1957, pp. 49–51.</w:t>
      </w:r>
    </w:p>
    <w:p>
      <w:pPr>
        <w:spacing w:after="100" w:line="240"/>
        <w:ind w:left="200" w:hanging="200"/>
      </w:pPr>
      <w:r>
        <w:t>[7] Zuber, N., "Hydrodynamic Aspects of Boiling Heat Transfer," AEC Report AECU-4439, Physics and Mathematics, 1959.</w:t>
      </w:r>
    </w:p>
    <w:p>
      <w:pPr>
        <w:spacing w:after="120" w:line="252"/>
      </w:pPr>
      <w:r>
        <w:t>[8] "Space Shuttle Main Engine," NASA/Rocketdyne public documentation: MCC structural shell of Inconel 718 lined with NARloy-Z (copper-silver-zirconium alloy); approximately 390 channels machined into the liner for LH2 regenerative cooling.</w:t>
      </w:r>
    </w:p>
    <w:p>
      <w:pPr>
        <w:spacing w:after="120" w:line="252"/>
      </w:pPr>
      <w:r>
        <w:t>[9] Hess, H. L., and Kunz, H. R., "A Study of Forced Convection Heat Transfer to Supercritical Hydrogen," Journal of Heat Transfer, Vol. 87, No. 2, 1965, pp. 41-48.</w:t>
      </w:r>
    </w:p>
    <w:p>
      <w:pPr>
        <w:spacing w:after="120" w:line="252"/>
      </w:pPr>
      <w:r>
        <w:t>[10] Schuler, F. T., and Flores, R., "Fluid-Cooled Channel Construction," U.S. Patent 4,707,225, Rockwell International Corporation, filed Jan. 6, 1986, issued Nov. 17, 1987.</w:t>
      </w:r>
    </w:p>
    <w:p>
      <w:pPr>
        <w:spacing w:after="120" w:line="252"/>
      </w:pPr>
      <w:r>
        <w:t>[11] Bradley, D. P., and Benefield, P. A., "Space Shuttle Main Engine Operational Capability," 57th Joint Army-Navy-NASA-Air Force Propulsion Meeting / 5th Liquid Propulsion Subcommittee Meeting, Colorado Springs, CO, May 3-7, 2010 (chamber coolant valve throttle-modulation schedule as reported in Van Hooser, K. P., and Bradley, D. P., "Space Shuttle Main Engine — The Relentless Pursuit of Improvement," AIAA SPACE 2011 Conference, Long Beach, CA, Sept. 27-29, 2011).</w:t>
      </w:r>
    </w:p>
    <w:sectPr>
      <w:type w:val="continuous"/>
      <w:pgSz w:w="12240" w:h="15840" w:orient="portrait"/>
      <w:pgMar w:top="720" w:right="1080" w:bottom="1080" w:left="1080" w:header="708" w:footer="708" w:gutter="0"/>
      <w:pgNumType/>
      <w:cols w:space="3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9" Type="http://schemas.openxmlformats.org/officeDocument/2006/relationships/image" Target="media/9f11680a6d63298afefc090da92ef7526855fbdc.png"/><Relationship Id="rId10" Type="http://schemas.openxmlformats.org/officeDocument/2006/relationships/image" Target="media/a0b8f1bdd49a4e09b50a21e647d347d326618be8.png"/><Relationship Id="rId11" Type="http://schemas.openxmlformats.org/officeDocument/2006/relationships/image" Target="media/3d02d078cb7b15e8f95b5b5dd8603995cda93a03.png"/><Relationship Id="rId12" Type="http://schemas.openxmlformats.org/officeDocument/2006/relationships/image" Target="media/3088069d6a57f17126cb7cba9c07768a92976a93.png"/><Relationship Id="rId13"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 Id="rId6" Type="http://schemas.openxmlformats.org/officeDocument/2006/relationships/footer" Target="footer2.xml"/><Relationship Id="rId14"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Sewon Zion S.</dc:creator>
  <cp:lastModifiedBy>Sewon Zion S.</cp:lastModifiedBy>
  <cp:revision>1</cp:revision>
  <dcterms:created xsi:type="dcterms:W3CDTF">2026-07-29T03:23:41.614Z</dcterms:created>
  <dcterms:modified xsi:type="dcterms:W3CDTF">2026-07-29T03:23:41.633Z</dcterms:modified>
  <dc:title>Regenerative Cooling Margin Against Critical Heat Flux in a Cryogenic LOX/LH2 Nozzle: A Reassessment Against Space Shuttle Main Engine (RS-25) Reference Geometry</dc:title>
  <dc:subject>Regenerative LOX/LH2 nozzle engineering analysis</dc:subject>
  <cp:keywords>RS-25; regenerative cooling; LOX/LH2; nozzle</cp:keywords>
</cp:coreProperties>
</file>