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軟體開發委外承攬合約書（付款表格範例）</w:t>
      </w:r>
    </w:p>
    <w:p>
      <w:r>
        <w:t>雙方同意就本開發案付款事宜訂立本合約，條款如下：</w:t>
      </w:r>
    </w:p>
    <w:p>
      <w:r>
        <w:t>第一條　工作範圍</w:t>
      </w:r>
    </w:p>
    <w:p>
      <w:r>
        <w:t>乙方應依附件所載規格，為甲方開發會員系統一套。</w:t>
      </w:r>
    </w:p>
    <w:p>
      <w:r>
        <w:t>第二條　付款里程碑</w:t>
      </w:r>
    </w:p>
    <w:p>
      <w:r>
        <w:t>雙方同意依下表所列里程碑分期付款：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期別</w:t>
            </w:r>
          </w:p>
        </w:tc>
        <w:tc>
          <w:tcPr>
            <w:tcW w:type="dxa" w:w="2880"/>
          </w:tcPr>
          <w:p>
            <w:r>
              <w:t>里程碑</w:t>
            </w:r>
          </w:p>
        </w:tc>
        <w:tc>
          <w:tcPr>
            <w:tcW w:type="dxa" w:w="2880"/>
          </w:tcPr>
          <w:p>
            <w:r>
              <w:t>款項比例</w:t>
            </w:r>
          </w:p>
        </w:tc>
      </w:tr>
      <w:tr>
        <w:tc>
          <w:tcPr>
            <w:tcW w:type="dxa" w:w="2880"/>
          </w:tcPr>
          <w:p>
            <w:r>
              <w:t>第一期</w:t>
            </w:r>
          </w:p>
        </w:tc>
        <w:tc>
          <w:tcPr>
            <w:tcW w:type="dxa" w:w="2880"/>
          </w:tcPr>
          <w:p>
            <w:r>
              <w:t>簽約日</w:t>
            </w:r>
          </w:p>
        </w:tc>
        <w:tc>
          <w:tcPr>
            <w:tcW w:type="dxa" w:w="2880"/>
          </w:tcPr>
          <w:p>
            <w:r>
              <w:t>百分之三十</w:t>
            </w:r>
          </w:p>
        </w:tc>
      </w:tr>
      <w:tr>
        <w:tc>
          <w:tcPr>
            <w:tcW w:type="dxa" w:w="2880"/>
          </w:tcPr>
          <w:p>
            <w:r>
              <w:t>第二期</w:t>
            </w:r>
          </w:p>
        </w:tc>
        <w:tc>
          <w:tcPr>
            <w:tcW w:type="dxa" w:w="2880"/>
          </w:tcPr>
          <w:p>
            <w:r>
              <w:t>系統驗收合格日</w:t>
            </w:r>
          </w:p>
        </w:tc>
        <w:tc>
          <w:tcPr>
            <w:tcW w:type="dxa" w:w="2880"/>
          </w:tcPr>
          <w:p>
            <w:r>
              <w:t>百分之四十</w:t>
            </w:r>
          </w:p>
        </w:tc>
      </w:tr>
      <w:tr>
        <w:tc>
          <w:tcPr>
            <w:tcW w:type="dxa" w:w="2880"/>
          </w:tcPr>
          <w:p>
            <w:r>
              <w:t>第三期</w:t>
            </w:r>
          </w:p>
        </w:tc>
        <w:tc>
          <w:tcPr>
            <w:tcW w:type="dxa" w:w="2880"/>
          </w:tcPr>
          <w:p>
            <w:r>
              <w:t>上線一個月後</w:t>
            </w:r>
          </w:p>
        </w:tc>
        <w:tc>
          <w:tcPr>
            <w:tcW w:type="dxa" w:w="2880"/>
          </w:tcPr>
          <w:p>
            <w:r>
              <w:t>百分之三十</w:t>
            </w:r>
          </w:p>
        </w:tc>
      </w:tr>
    </w:tbl>
    <w:p>
      <w:r>
        <w:t>第三條　驗收</w:t>
      </w:r>
    </w:p>
    <w:p>
      <w:r>
        <w:t>甲方應於系統上線後十個工作天內完成驗收作業。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