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0C4F970A" w:rsidR="00745ED4" w:rsidRPr="009A5D9C" w:rsidRDefault="00745ED4" w:rsidP="00745ED4">
            <w:pPr>
              <w:autoSpaceDE w:val="0"/>
              <w:autoSpaceDN w:val="0"/>
              <w:adjustRightInd w:val="0"/>
              <w:spacing w:after="0"/>
              <w:jc w:val="center"/>
              <w:rPr>
                <w:rFonts w:ascii="Times New Roman" w:hAnsi="Times New Roman" w:cs="Times New Roman"/>
              </w:rPr>
            </w:pPr>
            <w:r w:rsidRPr="003528D2">
              <w:rPr>
                <w:rFonts w:ascii="Times New Roman" w:eastAsia="Times New Roman" w:hAnsi="Times New Roman" w:cs="Times New Roman"/>
                <w:kern w:val="0"/>
                <w:sz w:val="24"/>
                <w:szCs w:val="24"/>
                <w:lang w:eastAsia="ru-RU"/>
                <w14:ligatures w14:val="none"/>
              </w:rPr>
              <w:t>канд. техн. наук,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Г.С. Армашова-Тельник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216E5B2E"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Отчет о практической работе</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r w:rsidR="00226CD1">
              <w:rPr>
                <w:rFonts w:ascii="Times New Roman" w:eastAsia="Times New Roman" w:hAnsi="Times New Roman" w:cs="Times New Roman"/>
                <w:kern w:val="0"/>
                <w:sz w:val="24"/>
                <w:szCs w:val="24"/>
                <w:lang w:eastAsia="ru-RU"/>
                <w14:ligatures w14:val="none"/>
              </w:rPr>
              <w:t>Оглуздин</w:t>
            </w:r>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Халикова</w:t>
            </w:r>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1A1841">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1A1841">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1A1841">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1A1841">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Минпросвещения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1A1841">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1A1841">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1A1841">
      <w:pPr>
        <w:pStyle w:val="a4"/>
      </w:pPr>
      <w:r w:rsidRPr="0069642A">
        <w:t>1.3.1 Рост цифровой доступности и мобильного интернета в России</w:t>
      </w:r>
    </w:p>
    <w:p w14:paraId="0F8BC10D" w14:textId="3A6AE5AF" w:rsidR="00FA3ACC" w:rsidRPr="0069642A" w:rsidRDefault="00FA3ACC" w:rsidP="001A1841">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1A1841">
      <w:pPr>
        <w:pStyle w:val="a4"/>
      </w:pPr>
      <w:r w:rsidRPr="0069642A">
        <w:t>1.3.2 Масштаб и устойчивость студенческой аудитории в России</w:t>
      </w:r>
    </w:p>
    <w:p w14:paraId="3E2F326E" w14:textId="4B1F4214" w:rsidR="000E6E25" w:rsidRPr="00F502C7" w:rsidRDefault="00FA3ACC" w:rsidP="001A1841">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1A1841">
      <w:pPr>
        <w:pStyle w:val="a4"/>
      </w:pPr>
      <w:r w:rsidRPr="0069642A">
        <w:lastRenderedPageBreak/>
        <w:t>1.3.3 Расширение цифровых сервисов в высшем образовании</w:t>
      </w:r>
    </w:p>
    <w:p w14:paraId="50A4A0E8" w14:textId="578669B6" w:rsidR="001A443B" w:rsidRPr="0069642A" w:rsidRDefault="001A443B" w:rsidP="001A1841">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суперсервис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1A1841">
      <w:pPr>
        <w:pStyle w:val="a4"/>
      </w:pPr>
      <w:r w:rsidRPr="0069642A">
        <w:t>1.3.4 Объективные ограничения и проблемы проекта</w:t>
      </w:r>
    </w:p>
    <w:p w14:paraId="2FDDDDFC" w14:textId="2E03232F" w:rsidR="008261B0" w:rsidRPr="0069642A" w:rsidRDefault="008261B0" w:rsidP="001A1841">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1A1841">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1A1841">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3B16E4C1" w:rsidR="002C2C14" w:rsidRDefault="002C2C14" w:rsidP="002C2C14">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6AFDDC40" wp14:editId="2D92B637">
            <wp:extent cx="6153318" cy="362394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153" cy="3652113"/>
                    </a:xfrm>
                    <a:prstGeom prst="rect">
                      <a:avLst/>
                    </a:prstGeom>
                    <a:noFill/>
                    <a:ln>
                      <a:noFill/>
                    </a:ln>
                  </pic:spPr>
                </pic:pic>
              </a:graphicData>
            </a:graphic>
          </wp:inline>
        </w:drawing>
      </w:r>
    </w:p>
    <w:p w14:paraId="1CF40335" w14:textId="5AB19E30" w:rsidR="00782715" w:rsidRPr="00422BB1" w:rsidRDefault="00782715" w:rsidP="00782715">
      <w:pPr>
        <w:pStyle w:val="af0"/>
        <w:shd w:val="clear" w:color="auto" w:fill="FFFFFF"/>
        <w:spacing w:before="0" w:beforeAutospacing="0" w:after="0" w:afterAutospacing="0" w:line="360" w:lineRule="auto"/>
        <w:jc w:val="center"/>
        <w:rPr>
          <w:color w:val="0D0D0D"/>
        </w:rPr>
      </w:pPr>
      <w:r>
        <w:rPr>
          <w:color w:val="0D0D0D"/>
        </w:rPr>
        <w:t>Рисунок 1 – Интеллект-карта (</w:t>
      </w:r>
      <w:r>
        <w:rPr>
          <w:color w:val="0D0D0D"/>
          <w:lang w:val="en-US"/>
        </w:rPr>
        <w:t>mind</w:t>
      </w:r>
      <w:r w:rsidRPr="00782715">
        <w:rPr>
          <w:color w:val="0D0D0D"/>
        </w:rPr>
        <w:t xml:space="preserve"> </w:t>
      </w:r>
      <w:r>
        <w:rPr>
          <w:color w:val="0D0D0D"/>
          <w:lang w:val="en-US"/>
        </w:rPr>
        <w:t>map</w:t>
      </w:r>
      <w:r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2BC54369" w14:textId="3A6F5976"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p>
    <w:p w14:paraId="1EA57353" w14:textId="4B3E836A" w:rsidR="00C826C4" w:rsidRDefault="00E04008" w:rsidP="00E04008">
      <w:pPr>
        <w:rPr>
          <w:rFonts w:ascii="Times New Roman" w:hAnsi="Times New Roman" w:cs="Times New Roman"/>
          <w:sz w:val="24"/>
          <w:szCs w:val="24"/>
        </w:rPr>
      </w:pPr>
      <w:r>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удаление некорректных или дублирующи</w:t>
            </w:r>
            <w:r>
              <w:rPr>
                <w:rFonts w:ascii="Times New Roman" w:hAnsi="Times New Roman" w:cs="Times New Roman"/>
                <w:sz w:val="24"/>
                <w:szCs w:val="24"/>
              </w:rPr>
              <w:t>хся</w:t>
            </w:r>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(Specific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(Measurable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(Achievable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(Relevant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(Time-bound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1A1841">
            <w:pPr>
              <w:pStyle w:val="a4"/>
            </w:pPr>
            <w:r w:rsidRPr="003A6D08">
              <w:t>P (Political).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1A1841">
            <w:pPr>
              <w:pStyle w:val="a4"/>
            </w:pPr>
          </w:p>
        </w:tc>
        <w:tc>
          <w:tcPr>
            <w:tcW w:w="4423" w:type="dxa"/>
          </w:tcPr>
          <w:p w14:paraId="297A7E93" w14:textId="77777777" w:rsidR="006A385F" w:rsidRPr="003A6D08" w:rsidRDefault="006A385F" w:rsidP="001A1841">
            <w:pPr>
              <w:pStyle w:val="a4"/>
            </w:pPr>
            <w:r w:rsidRPr="003A6D08">
              <w:t>E (Economic). Экономические</w:t>
            </w:r>
          </w:p>
          <w:p w14:paraId="5B56988E" w14:textId="451D98A7" w:rsidR="006A385F" w:rsidRPr="0069642A" w:rsidRDefault="006A385F" w:rsidP="001A1841">
            <w:pPr>
              <w:pStyle w:val="a4"/>
              <w:numPr>
                <w:ilvl w:val="0"/>
                <w:numId w:val="15"/>
              </w:numPr>
            </w:pPr>
            <w:r w:rsidRPr="0069642A">
              <w:t>Рост рынка образовательных технологий в РФ</w:t>
            </w:r>
          </w:p>
          <w:p w14:paraId="2427608C" w14:textId="395FB891" w:rsidR="006A385F" w:rsidRDefault="006A385F" w:rsidP="001A1841">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1A1841">
            <w:pPr>
              <w:pStyle w:val="a4"/>
              <w:numPr>
                <w:ilvl w:val="0"/>
                <w:numId w:val="15"/>
              </w:numPr>
            </w:pPr>
            <w:r>
              <w:t>Развитие рынка мобильных приложений</w:t>
            </w:r>
          </w:p>
          <w:p w14:paraId="1428CB6D" w14:textId="77777777" w:rsidR="006A385F" w:rsidRPr="0069642A" w:rsidRDefault="006A385F" w:rsidP="001A1841">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1A1841">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1A1841">
            <w:pPr>
              <w:pStyle w:val="a4"/>
            </w:pPr>
            <w:r w:rsidRPr="003A6D08">
              <w:t>S (Socio-Cultural). Социальные</w:t>
            </w:r>
          </w:p>
          <w:p w14:paraId="323BEE2B" w14:textId="0F3ADAFB" w:rsidR="006A385F" w:rsidRDefault="006A385F" w:rsidP="001A1841">
            <w:pPr>
              <w:pStyle w:val="a4"/>
              <w:numPr>
                <w:ilvl w:val="0"/>
                <w:numId w:val="15"/>
              </w:numPr>
            </w:pPr>
            <w:r>
              <w:t>Развития дистанционного и цифрового обучения</w:t>
            </w:r>
          </w:p>
          <w:p w14:paraId="5D3B771D" w14:textId="77777777" w:rsidR="006A385F" w:rsidRPr="0069642A" w:rsidRDefault="006A385F" w:rsidP="001A1841">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1A1841">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1A1841">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1A1841">
            <w:pPr>
              <w:pStyle w:val="a4"/>
            </w:pPr>
            <w:r w:rsidRPr="003A6D08">
              <w:t>T</w:t>
            </w:r>
            <w:r w:rsidR="00F502C7">
              <w:rPr>
                <w:lang w:val="en-US"/>
              </w:rPr>
              <w:t xml:space="preserve"> </w:t>
            </w:r>
            <w:r w:rsidRPr="003A6D08">
              <w:t>(Technological)</w:t>
            </w:r>
            <w:r>
              <w:t>.</w:t>
            </w:r>
            <w:r w:rsidR="00F502C7">
              <w:rPr>
                <w:lang w:val="en-US"/>
              </w:rPr>
              <w:t xml:space="preserve"> </w:t>
            </w:r>
            <w:r w:rsidRPr="003A6D08">
              <w:t>Технологические</w:t>
            </w:r>
          </w:p>
          <w:p w14:paraId="4EB9DAD3" w14:textId="77777777" w:rsidR="006A385F" w:rsidRDefault="006A385F" w:rsidP="001A1841">
            <w:pPr>
              <w:pStyle w:val="a4"/>
              <w:numPr>
                <w:ilvl w:val="0"/>
                <w:numId w:val="16"/>
              </w:numPr>
            </w:pPr>
            <w:r w:rsidRPr="006A385F">
              <w:t>развитие технологий разработки мобильных приложений</w:t>
            </w:r>
          </w:p>
          <w:p w14:paraId="6A45E04D" w14:textId="77777777" w:rsidR="006A385F" w:rsidRDefault="006A385F" w:rsidP="001A1841">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1A1841">
            <w:pPr>
              <w:pStyle w:val="a4"/>
              <w:numPr>
                <w:ilvl w:val="0"/>
                <w:numId w:val="16"/>
              </w:numPr>
            </w:pPr>
            <w:r w:rsidRPr="0069642A">
              <w:t>развитие технологий поиска и обработки информации</w:t>
            </w:r>
          </w:p>
          <w:p w14:paraId="1DC6C807" w14:textId="035EB421" w:rsidR="006A385F" w:rsidRDefault="006A385F" w:rsidP="001A1841">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22467476" w14:textId="38F6EFD7" w:rsidR="00B30492" w:rsidRPr="00B30492" w:rsidRDefault="00B30492" w:rsidP="006A385F">
      <w:pPr>
        <w:spacing w:after="0" w:line="360" w:lineRule="auto"/>
        <w:ind w:firstLine="708"/>
        <w:jc w:val="both"/>
        <w:rPr>
          <w:rFonts w:ascii="Times New Roman" w:hAnsi="Times New Roman" w:cs="Times New Roman"/>
          <w:sz w:val="24"/>
          <w:szCs w:val="24"/>
        </w:rPr>
      </w:pPr>
      <w:r w:rsidRPr="00B30492">
        <w:rPr>
          <w:rFonts w:ascii="Times New Roman" w:hAnsi="Times New Roman" w:cs="Times New Roman"/>
          <w:sz w:val="24"/>
          <w:szCs w:val="24"/>
        </w:rPr>
        <w:lastRenderedPageBreak/>
        <w:t>Политические факторы (P – Political)</w:t>
      </w: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1A1841">
            <w:pPr>
              <w:pStyle w:val="a4"/>
            </w:pPr>
            <w:r>
              <w:t>Факторы</w:t>
            </w:r>
          </w:p>
        </w:tc>
        <w:tc>
          <w:tcPr>
            <w:tcW w:w="3760" w:type="dxa"/>
          </w:tcPr>
          <w:p w14:paraId="6FD7E38E" w14:textId="77777777" w:rsidR="002B2315" w:rsidRDefault="002B2315" w:rsidP="001A1841">
            <w:pPr>
              <w:pStyle w:val="a4"/>
            </w:pPr>
            <w:r w:rsidRPr="00DB7EB6">
              <w:t>Сильные стороны (Strengths)</w:t>
            </w:r>
          </w:p>
        </w:tc>
        <w:tc>
          <w:tcPr>
            <w:tcW w:w="3871" w:type="dxa"/>
          </w:tcPr>
          <w:p w14:paraId="4841AE61" w14:textId="77777777" w:rsidR="002B2315" w:rsidRDefault="002B2315" w:rsidP="001A1841">
            <w:pPr>
              <w:pStyle w:val="a4"/>
            </w:pPr>
            <w:r w:rsidRPr="00DB7EB6">
              <w:t>Слабые стороны (Weaknesses)</w:t>
            </w:r>
          </w:p>
        </w:tc>
      </w:tr>
      <w:tr w:rsidR="002B2315" w:rsidRPr="00DB7EB6" w14:paraId="0990982D" w14:textId="77777777" w:rsidTr="008551C0">
        <w:tc>
          <w:tcPr>
            <w:tcW w:w="1637" w:type="dxa"/>
          </w:tcPr>
          <w:p w14:paraId="0FC7E56C" w14:textId="77777777" w:rsidR="002B2315" w:rsidRDefault="002B2315" w:rsidP="001A1841">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1A1841">
            <w:pPr>
              <w:pStyle w:val="a4"/>
            </w:pPr>
          </w:p>
        </w:tc>
        <w:tc>
          <w:tcPr>
            <w:tcW w:w="3760" w:type="dxa"/>
          </w:tcPr>
          <w:p w14:paraId="7F996B9F" w14:textId="77777777" w:rsidR="002B2315" w:rsidRDefault="002B2315" w:rsidP="001A1841">
            <w:pPr>
              <w:pStyle w:val="a4"/>
            </w:pPr>
            <w:r w:rsidRPr="00DB7EB6">
              <w:t>Возможности (Opportunities)</w:t>
            </w:r>
          </w:p>
        </w:tc>
        <w:tc>
          <w:tcPr>
            <w:tcW w:w="3871" w:type="dxa"/>
          </w:tcPr>
          <w:p w14:paraId="3BC2B058" w14:textId="77777777" w:rsidR="002B2315" w:rsidRDefault="002B2315" w:rsidP="001A1841">
            <w:pPr>
              <w:pStyle w:val="a4"/>
            </w:pPr>
            <w:r w:rsidRPr="00DB7EB6">
              <w:t>Угрозы (Threats)</w:t>
            </w:r>
          </w:p>
        </w:tc>
      </w:tr>
      <w:tr w:rsidR="002B2315" w14:paraId="78426AA4" w14:textId="77777777" w:rsidTr="008551C0">
        <w:tc>
          <w:tcPr>
            <w:tcW w:w="1637" w:type="dxa"/>
          </w:tcPr>
          <w:p w14:paraId="457BF1A2" w14:textId="2F3CFA38" w:rsidR="002B2315" w:rsidRDefault="00F502C7" w:rsidP="001A1841">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топ-контрибуторов.</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базовые юридические и модерационные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Диаграмма Ганта</w:t>
      </w:r>
    </w:p>
    <w:p w14:paraId="3FA9F4E2" w14:textId="77777777" w:rsidR="005A4569" w:rsidRDefault="005A4569" w:rsidP="005A4569">
      <w:pPr>
        <w:pStyle w:val="af0"/>
        <w:spacing w:before="0" w:beforeAutospacing="0" w:after="0" w:afterAutospacing="0" w:line="360" w:lineRule="auto"/>
        <w:ind w:firstLine="709"/>
        <w:jc w:val="both"/>
      </w:pPr>
      <w:r>
        <w:t>Диаграмма Ганта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backend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053A83AB" w:rsidR="005A4569" w:rsidRPr="003013B3"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Ганта, представленная в табличном формате</w:t>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Ганта</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bl>
    <w:p w14:paraId="43955390" w14:textId="7C08AA4C" w:rsidR="005A4569" w:rsidRPr="00F502C7" w:rsidRDefault="00F502C7" w:rsidP="00F502C7">
      <w:pPr>
        <w:spacing w:after="0" w:line="360" w:lineRule="auto"/>
        <w:ind w:firstLine="708"/>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Pr>
          <w:rFonts w:ascii="Times New Roman" w:hAnsi="Times New Roman" w:cs="Times New Roman"/>
          <w:sz w:val="24"/>
          <w:szCs w:val="24"/>
          <w:lang w:val="en-US"/>
        </w:rPr>
        <w:t>2</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F502C7" w:rsidRPr="003013B3" w14:paraId="16C104F4" w14:textId="77777777" w:rsidTr="00F502C7">
        <w:tc>
          <w:tcPr>
            <w:tcW w:w="1906" w:type="dxa"/>
          </w:tcPr>
          <w:p w14:paraId="4C1CCF0F" w14:textId="07B6BC1F"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Этап</w:t>
            </w:r>
          </w:p>
        </w:tc>
        <w:tc>
          <w:tcPr>
            <w:tcW w:w="1102" w:type="dxa"/>
          </w:tcPr>
          <w:p w14:paraId="08404B9E" w14:textId="085BA21E"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25A1A5B8" w14:textId="3E671CD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455F5BF6" w14:textId="14CAF419"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7657B738" w14:textId="49032432"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1E1CCACB" w14:textId="18906616"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shd w:val="clear" w:color="auto" w:fill="auto"/>
          </w:tcPr>
          <w:p w14:paraId="519C9381" w14:textId="76A91E40"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shd w:val="clear" w:color="auto" w:fill="auto"/>
          </w:tcPr>
          <w:p w14:paraId="7ED399D2" w14:textId="50FA694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F502C7" w:rsidRPr="003013B3" w14:paraId="1B16577F" w14:textId="77777777" w:rsidTr="00503921">
        <w:tc>
          <w:tcPr>
            <w:tcW w:w="1906" w:type="dxa"/>
          </w:tcPr>
          <w:p w14:paraId="727AA621" w14:textId="77777777" w:rsidR="00F502C7" w:rsidRPr="003013B3" w:rsidRDefault="00F502C7"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66442909"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5FE73195"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43660FD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3D7BC9A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50F51916"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auto"/>
          </w:tcPr>
          <w:p w14:paraId="65D04B04"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02DAB31F" w14:textId="77777777" w:rsidR="00F502C7" w:rsidRPr="003013B3" w:rsidRDefault="00F502C7" w:rsidP="00503921">
            <w:pPr>
              <w:spacing w:line="360" w:lineRule="auto"/>
              <w:jc w:val="both"/>
              <w:rPr>
                <w:rFonts w:ascii="Times New Roman" w:hAnsi="Times New Roman" w:cs="Times New Roman"/>
                <w:sz w:val="24"/>
                <w:szCs w:val="24"/>
              </w:rPr>
            </w:pPr>
          </w:p>
        </w:tc>
      </w:tr>
    </w:tbl>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Модель Остервальдера и Пинье</w:t>
      </w:r>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(Android / iOS);</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(peer-to-peer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lastRenderedPageBreak/>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lastRenderedPageBreak/>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Визуализация бизнес-модели Остервальдера и Пинье представлена в таблице</w:t>
      </w:r>
      <w:r w:rsidR="00E105A2">
        <w:t xml:space="preserve"> </w:t>
      </w:r>
      <w:r w:rsidR="00F502C7" w:rsidRPr="00F502C7">
        <w:t>3</w:t>
      </w:r>
      <w:r>
        <w:t>.</w:t>
      </w:r>
    </w:p>
    <w:p w14:paraId="3FFB1761" w14:textId="159780A0"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Остервальдера и Пинье</w:t>
      </w:r>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(Android / iOS);</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(peer-to-peer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3257"/>
        <w:gridCol w:w="2682"/>
        <w:gridCol w:w="2728"/>
      </w:tblGrid>
      <w:tr w:rsidR="00E02EE8" w:rsidRPr="00E02EE8" w14:paraId="61353B3A" w14:textId="77777777" w:rsidTr="00E02EE8">
        <w:tc>
          <w:tcPr>
            <w:tcW w:w="0" w:type="auto"/>
            <w:hideMark/>
          </w:tcPr>
          <w:p w14:paraId="1667086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Работа</w:t>
            </w:r>
          </w:p>
        </w:tc>
        <w:tc>
          <w:tcPr>
            <w:tcW w:w="0" w:type="auto"/>
            <w:hideMark/>
          </w:tcPr>
          <w:p w14:paraId="09B8F57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17AC83C2"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0477A8C" w14:textId="4F88E614"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Длительность (</w:t>
            </w:r>
            <w:r w:rsidR="00E473A3">
              <w:rPr>
                <w:rFonts w:ascii="Times New Roman" w:eastAsia="Times New Roman" w:hAnsi="Times New Roman" w:cs="Times New Roman"/>
                <w:b/>
                <w:bCs/>
                <w:kern w:val="0"/>
                <w:sz w:val="24"/>
                <w:szCs w:val="24"/>
                <w:lang w:eastAsia="ru-RU"/>
                <w14:ligatures w14:val="none"/>
              </w:rPr>
              <w:t>рабочие дни</w:t>
            </w:r>
            <w:r w:rsidRPr="00E02EE8">
              <w:rPr>
                <w:rFonts w:ascii="Times New Roman" w:eastAsia="Times New Roman" w:hAnsi="Times New Roman" w:cs="Times New Roman"/>
                <w:b/>
                <w:bCs/>
                <w:kern w:val="0"/>
                <w:sz w:val="24"/>
                <w:szCs w:val="24"/>
                <w:lang w:eastAsia="ru-RU"/>
                <w14:ligatures w14:val="none"/>
              </w:rPr>
              <w:t>)</w:t>
            </w:r>
          </w:p>
        </w:tc>
      </w:tr>
      <w:tr w:rsidR="00E02EE8" w:rsidRPr="00E02EE8" w14:paraId="2219D916" w14:textId="77777777" w:rsidTr="00E02EE8">
        <w:tc>
          <w:tcPr>
            <w:tcW w:w="0" w:type="auto"/>
            <w:hideMark/>
          </w:tcPr>
          <w:p w14:paraId="522E0F4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C0C6C7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13A9ACA8" w14:textId="7E2D0D29"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w:t>
            </w:r>
          </w:p>
        </w:tc>
        <w:tc>
          <w:tcPr>
            <w:tcW w:w="0" w:type="auto"/>
            <w:hideMark/>
          </w:tcPr>
          <w:p w14:paraId="6F516EF0" w14:textId="376F99E0"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136956F1" w14:textId="77777777" w:rsidTr="00E02EE8">
        <w:tc>
          <w:tcPr>
            <w:tcW w:w="0" w:type="auto"/>
            <w:hideMark/>
          </w:tcPr>
          <w:p w14:paraId="54A9EA0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1584AC0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1DC8179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203E5C58" w14:textId="774A41A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5A05C30" w14:textId="77777777" w:rsidTr="00E02EE8">
        <w:tc>
          <w:tcPr>
            <w:tcW w:w="0" w:type="auto"/>
            <w:hideMark/>
          </w:tcPr>
          <w:p w14:paraId="4B390D2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C</w:t>
            </w:r>
          </w:p>
        </w:tc>
        <w:tc>
          <w:tcPr>
            <w:tcW w:w="0" w:type="auto"/>
            <w:hideMark/>
          </w:tcPr>
          <w:p w14:paraId="66BA7472"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1A122D1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65929AB" w14:textId="65CB9DE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42FCDB5C" w14:textId="77777777" w:rsidTr="00E02EE8">
        <w:tc>
          <w:tcPr>
            <w:tcW w:w="0" w:type="auto"/>
            <w:hideMark/>
          </w:tcPr>
          <w:p w14:paraId="53FD79D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w:t>
            </w:r>
          </w:p>
        </w:tc>
        <w:tc>
          <w:tcPr>
            <w:tcW w:w="0" w:type="auto"/>
            <w:hideMark/>
          </w:tcPr>
          <w:p w14:paraId="3E376C1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мобильного приложения</w:t>
            </w:r>
          </w:p>
        </w:tc>
        <w:tc>
          <w:tcPr>
            <w:tcW w:w="0" w:type="auto"/>
            <w:hideMark/>
          </w:tcPr>
          <w:p w14:paraId="6F39AEE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 C</w:t>
            </w:r>
          </w:p>
        </w:tc>
        <w:tc>
          <w:tcPr>
            <w:tcW w:w="0" w:type="auto"/>
            <w:hideMark/>
          </w:tcPr>
          <w:p w14:paraId="12F7AEE2" w14:textId="676E7E13"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50</w:t>
            </w:r>
          </w:p>
        </w:tc>
      </w:tr>
      <w:tr w:rsidR="00E02EE8" w:rsidRPr="00E02EE8" w14:paraId="5644D236" w14:textId="77777777" w:rsidTr="00E02EE8">
        <w:tc>
          <w:tcPr>
            <w:tcW w:w="0" w:type="auto"/>
            <w:hideMark/>
          </w:tcPr>
          <w:p w14:paraId="7978284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E</w:t>
            </w:r>
          </w:p>
        </w:tc>
        <w:tc>
          <w:tcPr>
            <w:tcW w:w="0" w:type="auto"/>
            <w:hideMark/>
          </w:tcPr>
          <w:p w14:paraId="11AEB73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серверной части</w:t>
            </w:r>
          </w:p>
        </w:tc>
        <w:tc>
          <w:tcPr>
            <w:tcW w:w="0" w:type="auto"/>
            <w:hideMark/>
          </w:tcPr>
          <w:p w14:paraId="76B77718"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7760C3CF" w14:textId="029EAD4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40</w:t>
            </w:r>
          </w:p>
        </w:tc>
      </w:tr>
      <w:tr w:rsidR="00E02EE8" w:rsidRPr="00E02EE8" w14:paraId="5246F074" w14:textId="77777777" w:rsidTr="00E02EE8">
        <w:tc>
          <w:tcPr>
            <w:tcW w:w="0" w:type="auto"/>
            <w:hideMark/>
          </w:tcPr>
          <w:p w14:paraId="29413EC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4711437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7C56CFE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 E</w:t>
            </w:r>
          </w:p>
        </w:tc>
        <w:tc>
          <w:tcPr>
            <w:tcW w:w="0" w:type="auto"/>
            <w:hideMark/>
          </w:tcPr>
          <w:p w14:paraId="297395CF" w14:textId="6187F391"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AD3F9B8" w14:textId="77777777" w:rsidTr="00E02EE8">
        <w:tc>
          <w:tcPr>
            <w:tcW w:w="0" w:type="auto"/>
            <w:hideMark/>
          </w:tcPr>
          <w:p w14:paraId="06836C3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7ADAED7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3BD4E19F"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70E0601C" w14:textId="0005B3E7"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3917A99" w14:textId="77777777" w:rsidTr="00E02EE8">
        <w:tc>
          <w:tcPr>
            <w:tcW w:w="0" w:type="auto"/>
            <w:hideMark/>
          </w:tcPr>
          <w:p w14:paraId="6120093E"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250F840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5F49386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170630F9" w14:textId="28279FDD"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r w:rsidR="00E02EE8" w:rsidRPr="00E02EE8" w14:paraId="03270FF2" w14:textId="77777777" w:rsidTr="00E02EE8">
        <w:tc>
          <w:tcPr>
            <w:tcW w:w="0" w:type="auto"/>
            <w:hideMark/>
          </w:tcPr>
          <w:p w14:paraId="5F193DF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I</w:t>
            </w:r>
          </w:p>
        </w:tc>
        <w:tc>
          <w:tcPr>
            <w:tcW w:w="0" w:type="auto"/>
            <w:hideMark/>
          </w:tcPr>
          <w:p w14:paraId="666BD6C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Подготовка и запуск приложения</w:t>
            </w:r>
          </w:p>
        </w:tc>
        <w:tc>
          <w:tcPr>
            <w:tcW w:w="0" w:type="auto"/>
            <w:hideMark/>
          </w:tcPr>
          <w:p w14:paraId="521C1950"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1B03FDA9" w14:textId="432F0C4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bl>
    <w:p w14:paraId="3C7AC1BC" w14:textId="4F539EA4"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lang w:val="en-US"/>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31E019" w14:textId="77777777" w:rsidR="00E473A3" w:rsidRDefault="00E473A3" w:rsidP="00E473A3">
      <w:pPr>
        <w:spacing w:after="0" w:line="360" w:lineRule="auto"/>
        <w:jc w:val="both"/>
        <w:rPr>
          <w:rFonts w:ascii="Times New Roman" w:hAnsi="Times New Roman" w:cs="Times New Roman"/>
          <w:sz w:val="24"/>
          <w:szCs w:val="24"/>
        </w:rPr>
      </w:pPr>
    </w:p>
    <w:p w14:paraId="587B9F9C" w14:textId="37CD408B"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lastRenderedPageBreak/>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Рисунок 4 – Причинно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lastRenderedPageBreak/>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19DF8CA0" w14:textId="55FD0531" w:rsidR="007E33F3" w:rsidRDefault="007E33F3" w:rsidP="00DC171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Создаётся backend,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0A999BBE" w14:textId="39FF9C89" w:rsid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1E250B83" w14:textId="0E376EF8" w:rsidR="003528D2" w:rsidRDefault="003528D2" w:rsidP="003528D2">
      <w:pPr>
        <w:spacing w:after="0" w:line="360" w:lineRule="auto"/>
        <w:ind w:firstLine="709"/>
        <w:rPr>
          <w:rFonts w:ascii="Times New Roman" w:hAnsi="Times New Roman" w:cs="Times New Roman"/>
          <w:sz w:val="24"/>
          <w:szCs w:val="24"/>
        </w:rPr>
      </w:pPr>
    </w:p>
    <w:p w14:paraId="7FA8D36B" w14:textId="77777777" w:rsidR="003528D2" w:rsidRPr="003528D2" w:rsidRDefault="003528D2" w:rsidP="003528D2">
      <w:pPr>
        <w:spacing w:after="0" w:line="360" w:lineRule="auto"/>
        <w:ind w:firstLine="709"/>
        <w:rPr>
          <w:rFonts w:ascii="Times New Roman" w:hAnsi="Times New Roman" w:cs="Times New Roman"/>
          <w:sz w:val="24"/>
          <w:szCs w:val="24"/>
        </w:rPr>
      </w:pP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0" w:type="auto"/>
        <w:tblLayout w:type="fixed"/>
        <w:tblLook w:val="04A0" w:firstRow="1" w:lastRow="0" w:firstColumn="1" w:lastColumn="0" w:noHBand="0" w:noVBand="1"/>
      </w:tblPr>
      <w:tblGrid>
        <w:gridCol w:w="423"/>
        <w:gridCol w:w="1818"/>
        <w:gridCol w:w="1440"/>
        <w:gridCol w:w="1441"/>
        <w:gridCol w:w="1252"/>
        <w:gridCol w:w="1843"/>
        <w:gridCol w:w="1411"/>
      </w:tblGrid>
      <w:tr w:rsidR="00435215" w:rsidRPr="00435215" w14:paraId="068B0A90" w14:textId="77777777" w:rsidTr="00435215">
        <w:tc>
          <w:tcPr>
            <w:tcW w:w="423" w:type="dxa"/>
            <w:hideMark/>
          </w:tcPr>
          <w:p w14:paraId="259D671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818" w:type="dxa"/>
            <w:hideMark/>
          </w:tcPr>
          <w:p w14:paraId="2289C430"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40" w:type="dxa"/>
            <w:hideMark/>
          </w:tcPr>
          <w:p w14:paraId="1A383A8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441" w:type="dxa"/>
            <w:hideMark/>
          </w:tcPr>
          <w:p w14:paraId="7A2B409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52" w:type="dxa"/>
            <w:hideMark/>
          </w:tcPr>
          <w:p w14:paraId="685A9782"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7673335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C864828"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67273CAC" w14:textId="77777777" w:rsidTr="00435215">
        <w:tc>
          <w:tcPr>
            <w:tcW w:w="423" w:type="dxa"/>
            <w:hideMark/>
          </w:tcPr>
          <w:p w14:paraId="1F20FC9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1818" w:type="dxa"/>
            <w:hideMark/>
          </w:tcPr>
          <w:p w14:paraId="4F873B9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1206110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1441" w:type="dxa"/>
            <w:hideMark/>
          </w:tcPr>
          <w:p w14:paraId="0DC83F7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56369C3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1456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411" w:type="dxa"/>
            <w:hideMark/>
          </w:tcPr>
          <w:p w14:paraId="0F4863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435215" w:rsidRPr="00435215" w14:paraId="019687C8" w14:textId="77777777" w:rsidTr="00435215">
        <w:tc>
          <w:tcPr>
            <w:tcW w:w="423" w:type="dxa"/>
            <w:hideMark/>
          </w:tcPr>
          <w:p w14:paraId="674F8BB7"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1818" w:type="dxa"/>
            <w:hideMark/>
          </w:tcPr>
          <w:p w14:paraId="71AFE7A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0456313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1441" w:type="dxa"/>
            <w:hideMark/>
          </w:tcPr>
          <w:p w14:paraId="79AB762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52" w:type="dxa"/>
            <w:hideMark/>
          </w:tcPr>
          <w:p w14:paraId="41E1A31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39B3C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411" w:type="dxa"/>
            <w:hideMark/>
          </w:tcPr>
          <w:p w14:paraId="28B34CD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435215" w:rsidRPr="00435215" w14:paraId="2A794CCF" w14:textId="77777777" w:rsidTr="00435215">
        <w:tc>
          <w:tcPr>
            <w:tcW w:w="423" w:type="dxa"/>
            <w:hideMark/>
          </w:tcPr>
          <w:p w14:paraId="06E3AA5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1818" w:type="dxa"/>
            <w:hideMark/>
          </w:tcPr>
          <w:p w14:paraId="6709DB2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1440" w:type="dxa"/>
            <w:hideMark/>
          </w:tcPr>
          <w:p w14:paraId="0028C0C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1441" w:type="dxa"/>
            <w:hideMark/>
          </w:tcPr>
          <w:p w14:paraId="367808B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35F2B1A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3A95B70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411" w:type="dxa"/>
            <w:hideMark/>
          </w:tcPr>
          <w:p w14:paraId="1C9C125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435215" w:rsidRPr="00435215" w14:paraId="4C81AC72" w14:textId="77777777" w:rsidTr="00435215">
        <w:tc>
          <w:tcPr>
            <w:tcW w:w="423" w:type="dxa"/>
            <w:hideMark/>
          </w:tcPr>
          <w:p w14:paraId="0A845E9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1818" w:type="dxa"/>
            <w:hideMark/>
          </w:tcPr>
          <w:p w14:paraId="132CB17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1440" w:type="dxa"/>
            <w:hideMark/>
          </w:tcPr>
          <w:p w14:paraId="34A05B4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1441" w:type="dxa"/>
            <w:hideMark/>
          </w:tcPr>
          <w:p w14:paraId="06DA65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037E17A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175DE4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411" w:type="dxa"/>
            <w:hideMark/>
          </w:tcPr>
          <w:p w14:paraId="081FF1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tc>
      </w:tr>
    </w:tbl>
    <w:p w14:paraId="37918651" w14:textId="33D03D16" w:rsidR="00435215" w:rsidRDefault="00435215" w:rsidP="00435215"/>
    <w:p w14:paraId="56C44743" w14:textId="42EEC01D" w:rsidR="00E22059" w:rsidRDefault="00E22059" w:rsidP="00435215"/>
    <w:p w14:paraId="5C4CEC27" w14:textId="77777777" w:rsidR="00E22059" w:rsidRDefault="00E22059" w:rsidP="00435215"/>
    <w:p w14:paraId="3C6DEFE3" w14:textId="581F8BA4" w:rsidR="00435215" w:rsidRPr="00F502C7" w:rsidRDefault="00435215" w:rsidP="00435215">
      <w:pPr>
        <w:spacing w:after="0" w:line="360" w:lineRule="auto"/>
        <w:ind w:firstLine="709"/>
        <w:jc w:val="both"/>
        <w:rPr>
          <w:rFonts w:ascii="Times New Roman" w:hAnsi="Times New Roman" w:cs="Times New Roman"/>
          <w:sz w:val="24"/>
          <w:szCs w:val="24"/>
          <w:lang w:val="en-US"/>
        </w:rPr>
      </w:pPr>
      <w:r w:rsidRPr="005A4569">
        <w:rPr>
          <w:rFonts w:ascii="Times New Roman" w:hAnsi="Times New Roman" w:cs="Times New Roman"/>
          <w:sz w:val="24"/>
          <w:szCs w:val="24"/>
        </w:rPr>
        <w:t xml:space="preserve">Продолжение таблицы </w:t>
      </w:r>
      <w:r w:rsidR="00F502C7">
        <w:rPr>
          <w:rFonts w:ascii="Times New Roman" w:hAnsi="Times New Roman" w:cs="Times New Roman"/>
          <w:sz w:val="24"/>
          <w:szCs w:val="24"/>
          <w:lang w:val="en-US"/>
        </w:rPr>
        <w:t>6</w:t>
      </w:r>
    </w:p>
    <w:tbl>
      <w:tblPr>
        <w:tblStyle w:val="af5"/>
        <w:tblW w:w="0" w:type="auto"/>
        <w:tblLayout w:type="fixed"/>
        <w:tblLook w:val="04A0" w:firstRow="1" w:lastRow="0" w:firstColumn="1" w:lastColumn="0" w:noHBand="0" w:noVBand="1"/>
      </w:tblPr>
      <w:tblGrid>
        <w:gridCol w:w="433"/>
        <w:gridCol w:w="1592"/>
        <w:gridCol w:w="1425"/>
        <w:gridCol w:w="1648"/>
        <w:gridCol w:w="1276"/>
        <w:gridCol w:w="1843"/>
        <w:gridCol w:w="1411"/>
      </w:tblGrid>
      <w:tr w:rsidR="00435215" w:rsidRPr="00435215" w14:paraId="04D1AEDF" w14:textId="77777777" w:rsidTr="00435215">
        <w:trPr>
          <w:trHeight w:val="717"/>
        </w:trPr>
        <w:tc>
          <w:tcPr>
            <w:tcW w:w="433" w:type="dxa"/>
            <w:hideMark/>
          </w:tcPr>
          <w:p w14:paraId="5A6A86EE" w14:textId="5743475C"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592" w:type="dxa"/>
            <w:hideMark/>
          </w:tcPr>
          <w:p w14:paraId="43C7482E" w14:textId="3C326C0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25" w:type="dxa"/>
            <w:hideMark/>
          </w:tcPr>
          <w:p w14:paraId="4F28DFE1" w14:textId="01E0A51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648" w:type="dxa"/>
            <w:hideMark/>
          </w:tcPr>
          <w:p w14:paraId="6E21AC67" w14:textId="386EFD28"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76" w:type="dxa"/>
            <w:hideMark/>
          </w:tcPr>
          <w:p w14:paraId="1CDFDA50" w14:textId="3DF46213"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52C7024F" w14:textId="7386C690"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7B062F9" w14:textId="06F87BAB"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5CD554EF" w14:textId="77777777" w:rsidTr="00435215">
        <w:tc>
          <w:tcPr>
            <w:tcW w:w="433" w:type="dxa"/>
          </w:tcPr>
          <w:p w14:paraId="47A8B05F" w14:textId="46C07CD5"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1592" w:type="dxa"/>
          </w:tcPr>
          <w:p w14:paraId="2D830D19" w14:textId="773D4CCD"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1425" w:type="dxa"/>
          </w:tcPr>
          <w:p w14:paraId="179A30BB" w14:textId="67D575BE"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1648" w:type="dxa"/>
          </w:tcPr>
          <w:p w14:paraId="114C35B3" w14:textId="0312ED0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tcPr>
          <w:p w14:paraId="33B4DD9C" w14:textId="3B40FF4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tcPr>
          <w:p w14:paraId="3CA66B62" w14:textId="478EC194"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1411" w:type="dxa"/>
          </w:tcPr>
          <w:p w14:paraId="577273E7" w14:textId="4AA522B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435215" w:rsidRPr="00435215" w14:paraId="7D39815A" w14:textId="77777777" w:rsidTr="00435215">
        <w:tc>
          <w:tcPr>
            <w:tcW w:w="433" w:type="dxa"/>
            <w:hideMark/>
          </w:tcPr>
          <w:p w14:paraId="7B2E4E4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1592" w:type="dxa"/>
            <w:hideMark/>
          </w:tcPr>
          <w:p w14:paraId="3A7D7B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1425" w:type="dxa"/>
            <w:hideMark/>
          </w:tcPr>
          <w:p w14:paraId="7B03D7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1648" w:type="dxa"/>
            <w:hideMark/>
          </w:tcPr>
          <w:p w14:paraId="5D62691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76" w:type="dxa"/>
            <w:hideMark/>
          </w:tcPr>
          <w:p w14:paraId="23662A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216C577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1411" w:type="dxa"/>
            <w:hideMark/>
          </w:tcPr>
          <w:p w14:paraId="546336C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435215" w:rsidRPr="00435215" w14:paraId="07F7651D" w14:textId="77777777" w:rsidTr="00435215">
        <w:tc>
          <w:tcPr>
            <w:tcW w:w="433" w:type="dxa"/>
            <w:hideMark/>
          </w:tcPr>
          <w:p w14:paraId="22244CB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1592" w:type="dxa"/>
            <w:hideMark/>
          </w:tcPr>
          <w:p w14:paraId="659FB51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1425" w:type="dxa"/>
            <w:hideMark/>
          </w:tcPr>
          <w:p w14:paraId="3AF2039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1648" w:type="dxa"/>
            <w:hideMark/>
          </w:tcPr>
          <w:p w14:paraId="717FF34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hideMark/>
          </w:tcPr>
          <w:p w14:paraId="54A57CB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6BAEEEC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1411" w:type="dxa"/>
            <w:hideMark/>
          </w:tcPr>
          <w:p w14:paraId="310AD76E"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2441C89D" w14:textId="77777777" w:rsidR="00F75A60" w:rsidRPr="00F75A60" w:rsidRDefault="00F75A60" w:rsidP="00F502C7">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t>10.3 Матрица вероятности и влияния рисков</w:t>
      </w:r>
    </w:p>
    <w:p w14:paraId="3E86F6DD" w14:textId="25C82D50"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Для наглядной оценки рисков используется матрица, в которой учитывается вероятность возникновения риска и степень его влияния на проект.</w:t>
      </w:r>
    </w:p>
    <w:p w14:paraId="25E54A8E" w14:textId="39880587" w:rsidR="00F75A60" w:rsidRPr="00E02EE8" w:rsidRDefault="00F75A60" w:rsidP="00F75A6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Матрица вероятности и влияния рисков в таблице </w:t>
      </w:r>
      <w:r w:rsidR="00F502C7" w:rsidRPr="00F502C7">
        <w:rPr>
          <w:rFonts w:ascii="Times New Roman" w:hAnsi="Times New Roman" w:cs="Times New Roman"/>
          <w:sz w:val="24"/>
          <w:szCs w:val="24"/>
        </w:rPr>
        <w:t>7</w:t>
      </w:r>
      <w:r>
        <w:rPr>
          <w:rFonts w:ascii="Times New Roman" w:hAnsi="Times New Roman" w:cs="Times New Roman"/>
          <w:sz w:val="24"/>
          <w:szCs w:val="24"/>
        </w:rPr>
        <w:t>.</w:t>
      </w:r>
    </w:p>
    <w:p w14:paraId="6869E407" w14:textId="333D2E8A" w:rsidR="00F75A60" w:rsidRDefault="00F75A60" w:rsidP="00F75A60">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7</w:t>
      </w:r>
      <w:r>
        <w:rPr>
          <w:rFonts w:ascii="Times New Roman" w:hAnsi="Times New Roman" w:cs="Times New Roman"/>
          <w:color w:val="auto"/>
          <w:sz w:val="24"/>
          <w:szCs w:val="24"/>
        </w:rPr>
        <w:t xml:space="preserve"> –</w:t>
      </w:r>
      <w:r w:rsidRPr="00E02EE8">
        <w:rPr>
          <w:rFonts w:ascii="Times New Roman" w:hAnsi="Times New Roman" w:cs="Times New Roman"/>
          <w:color w:val="auto"/>
          <w:sz w:val="24"/>
          <w:szCs w:val="24"/>
        </w:rPr>
        <w:t xml:space="preserve"> </w:t>
      </w:r>
      <w:r>
        <w:rPr>
          <w:rFonts w:ascii="Times New Roman" w:hAnsi="Times New Roman" w:cs="Times New Roman"/>
          <w:color w:val="auto"/>
          <w:sz w:val="24"/>
          <w:szCs w:val="24"/>
        </w:rPr>
        <w:t>Матрица</w:t>
      </w:r>
      <w:r w:rsidRPr="00F75A60">
        <w:rPr>
          <w:rFonts w:ascii="Times New Roman" w:hAnsi="Times New Roman" w:cs="Times New Roman"/>
          <w:sz w:val="24"/>
          <w:szCs w:val="24"/>
        </w:rPr>
        <w:t xml:space="preserve"> </w:t>
      </w:r>
      <w:r w:rsidRPr="00F75A60">
        <w:rPr>
          <w:rFonts w:ascii="Times New Roman" w:hAnsi="Times New Roman" w:cs="Times New Roman"/>
          <w:color w:val="auto"/>
          <w:sz w:val="24"/>
          <w:szCs w:val="24"/>
        </w:rPr>
        <w:t xml:space="preserve">вероятности и влияния </w:t>
      </w:r>
      <w:r>
        <w:rPr>
          <w:rFonts w:ascii="Times New Roman" w:hAnsi="Times New Roman" w:cs="Times New Roman"/>
          <w:color w:val="auto"/>
          <w:sz w:val="24"/>
          <w:szCs w:val="24"/>
        </w:rPr>
        <w:t>рисков</w:t>
      </w:r>
    </w:p>
    <w:tbl>
      <w:tblPr>
        <w:tblStyle w:val="af5"/>
        <w:tblW w:w="0" w:type="auto"/>
        <w:jc w:val="center"/>
        <w:tblLook w:val="04A0" w:firstRow="1" w:lastRow="0" w:firstColumn="1" w:lastColumn="0" w:noHBand="0" w:noVBand="1"/>
      </w:tblPr>
      <w:tblGrid>
        <w:gridCol w:w="2727"/>
        <w:gridCol w:w="1003"/>
        <w:gridCol w:w="1103"/>
        <w:gridCol w:w="1155"/>
      </w:tblGrid>
      <w:tr w:rsidR="00F75A60" w:rsidRPr="00F75A60" w14:paraId="55FA2122" w14:textId="77777777" w:rsidTr="00F75A60">
        <w:trPr>
          <w:jc w:val="center"/>
        </w:trPr>
        <w:tc>
          <w:tcPr>
            <w:tcW w:w="0" w:type="auto"/>
            <w:hideMark/>
          </w:tcPr>
          <w:p w14:paraId="2E579E5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Вероятность / Влияние</w:t>
            </w:r>
          </w:p>
        </w:tc>
        <w:tc>
          <w:tcPr>
            <w:tcW w:w="0" w:type="auto"/>
            <w:hideMark/>
          </w:tcPr>
          <w:p w14:paraId="726292B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Низкое</w:t>
            </w:r>
          </w:p>
        </w:tc>
        <w:tc>
          <w:tcPr>
            <w:tcW w:w="0" w:type="auto"/>
            <w:hideMark/>
          </w:tcPr>
          <w:p w14:paraId="4AA3AD9B"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Среднее</w:t>
            </w:r>
          </w:p>
        </w:tc>
        <w:tc>
          <w:tcPr>
            <w:tcW w:w="0" w:type="auto"/>
            <w:hideMark/>
          </w:tcPr>
          <w:p w14:paraId="0447EA74"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Высокое</w:t>
            </w:r>
          </w:p>
        </w:tc>
      </w:tr>
      <w:tr w:rsidR="00F75A60" w:rsidRPr="00F75A60" w14:paraId="355B0B66" w14:textId="77777777" w:rsidTr="00F75A60">
        <w:trPr>
          <w:jc w:val="center"/>
        </w:trPr>
        <w:tc>
          <w:tcPr>
            <w:tcW w:w="0" w:type="auto"/>
            <w:hideMark/>
          </w:tcPr>
          <w:p w14:paraId="77D5E9A5"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Высокая вероятность</w:t>
            </w:r>
          </w:p>
        </w:tc>
        <w:tc>
          <w:tcPr>
            <w:tcW w:w="0" w:type="auto"/>
            <w:hideMark/>
          </w:tcPr>
          <w:p w14:paraId="6471460A"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6898EB6F" w14:textId="59CD56D2"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r>
              <w:rPr>
                <w:rFonts w:ascii="Times New Roman" w:eastAsia="Times New Roman" w:hAnsi="Times New Roman" w:cs="Times New Roman"/>
                <w:kern w:val="0"/>
                <w:sz w:val="24"/>
                <w:szCs w:val="24"/>
                <w:lang w:eastAsia="ru-RU"/>
                <w14:ligatures w14:val="none"/>
              </w:rPr>
              <w:t>6,</w:t>
            </w:r>
          </w:p>
        </w:tc>
        <w:tc>
          <w:tcPr>
            <w:tcW w:w="0" w:type="auto"/>
            <w:hideMark/>
          </w:tcPr>
          <w:p w14:paraId="4D8D008D" w14:textId="77777777"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p>
        </w:tc>
      </w:tr>
      <w:tr w:rsidR="00F75A60" w:rsidRPr="00F75A60" w14:paraId="70A5C894" w14:textId="77777777" w:rsidTr="00F75A60">
        <w:trPr>
          <w:jc w:val="center"/>
        </w:trPr>
        <w:tc>
          <w:tcPr>
            <w:tcW w:w="0" w:type="auto"/>
            <w:hideMark/>
          </w:tcPr>
          <w:p w14:paraId="00D10A4C"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Средняя вероятность</w:t>
            </w:r>
          </w:p>
        </w:tc>
        <w:tc>
          <w:tcPr>
            <w:tcW w:w="0" w:type="auto"/>
            <w:hideMark/>
          </w:tcPr>
          <w:p w14:paraId="6E84A899"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7244EF1D" w14:textId="5399B69C"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3,</w:t>
            </w:r>
            <w:r>
              <w:rPr>
                <w:rFonts w:ascii="Times New Roman" w:eastAsia="Times New Roman" w:hAnsi="Times New Roman" w:cs="Times New Roman"/>
                <w:kern w:val="0"/>
                <w:sz w:val="24"/>
                <w:szCs w:val="24"/>
                <w:lang w:eastAsia="ru-RU"/>
                <w14:ligatures w14:val="none"/>
              </w:rPr>
              <w:t xml:space="preserve"> </w:t>
            </w:r>
            <w:r w:rsidRPr="00F75A60">
              <w:rPr>
                <w:rFonts w:ascii="Times New Roman" w:eastAsia="Times New Roman" w:hAnsi="Times New Roman" w:cs="Times New Roman"/>
                <w:kern w:val="0"/>
                <w:sz w:val="24"/>
                <w:szCs w:val="24"/>
                <w:lang w:eastAsia="ru-RU"/>
                <w14:ligatures w14:val="none"/>
              </w:rPr>
              <w:t>7</w:t>
            </w:r>
          </w:p>
        </w:tc>
        <w:tc>
          <w:tcPr>
            <w:tcW w:w="0" w:type="auto"/>
            <w:hideMark/>
          </w:tcPr>
          <w:p w14:paraId="599628BD" w14:textId="40687ECB"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1, </w:t>
            </w:r>
            <w:r w:rsidRPr="00F75A60">
              <w:rPr>
                <w:rFonts w:ascii="Times New Roman" w:eastAsia="Times New Roman" w:hAnsi="Times New Roman" w:cs="Times New Roman"/>
                <w:kern w:val="0"/>
                <w:sz w:val="24"/>
                <w:szCs w:val="24"/>
                <w:lang w:eastAsia="ru-RU"/>
                <w14:ligatures w14:val="none"/>
              </w:rPr>
              <w:t>4</w:t>
            </w:r>
          </w:p>
        </w:tc>
      </w:tr>
      <w:tr w:rsidR="00F75A60" w:rsidRPr="00F75A60" w14:paraId="57F8BAD6" w14:textId="77777777" w:rsidTr="00F75A60">
        <w:trPr>
          <w:jc w:val="center"/>
        </w:trPr>
        <w:tc>
          <w:tcPr>
            <w:tcW w:w="0" w:type="auto"/>
            <w:hideMark/>
          </w:tcPr>
          <w:p w14:paraId="230CC184"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Низкая вероятность</w:t>
            </w:r>
          </w:p>
        </w:tc>
        <w:tc>
          <w:tcPr>
            <w:tcW w:w="0" w:type="auto"/>
            <w:hideMark/>
          </w:tcPr>
          <w:p w14:paraId="3B68A039" w14:textId="2337EB1E"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37D7782F"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5</w:t>
            </w:r>
          </w:p>
        </w:tc>
        <w:tc>
          <w:tcPr>
            <w:tcW w:w="0" w:type="auto"/>
            <w:hideMark/>
          </w:tcPr>
          <w:p w14:paraId="602A75DE"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2</w:t>
            </w:r>
          </w:p>
        </w:tc>
      </w:tr>
    </w:tbl>
    <w:p w14:paraId="58F3A483" w14:textId="093BCFBE"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Где:</w:t>
      </w:r>
    </w:p>
    <w:p w14:paraId="15FB130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 — ошибки приложения</w:t>
      </w:r>
    </w:p>
    <w:p w14:paraId="5C15BA6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2 — потеря данных</w:t>
      </w:r>
    </w:p>
    <w:p w14:paraId="489DBAFE"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3 — задержка разработки</w:t>
      </w:r>
    </w:p>
    <w:p w14:paraId="661B827B"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4 — низкая активность пользователей</w:t>
      </w:r>
    </w:p>
    <w:p w14:paraId="48698B3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5 — проблемы с авторскими правами</w:t>
      </w:r>
    </w:p>
    <w:p w14:paraId="140E915A"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6 — недостаток финансирования</w:t>
      </w:r>
    </w:p>
    <w:p w14:paraId="0B7F18C1" w14:textId="410D4A19"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7 — появление конкурентов</w:t>
      </w:r>
    </w:p>
    <w:p w14:paraId="35E07BBF" w14:textId="48637471"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lastRenderedPageBreak/>
        <w:t>Наиболее значимыми рисками являются технические риски и риск низкой активности пользователей, так как они могут существенно повлиять на успешность реализации проекта.</w:t>
      </w:r>
    </w:p>
    <w:p w14:paraId="67241F2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10.4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1A1841">
      <w:pPr>
        <w:pStyle w:val="a4"/>
      </w:pPr>
      <w:r>
        <w:t>11.1</w:t>
      </w:r>
      <w:r>
        <w:tab/>
        <w:t>Последовательность финансовой оценки проекта</w:t>
      </w:r>
    </w:p>
    <w:p w14:paraId="7E8D535A" w14:textId="203E751C" w:rsidR="00F47A00" w:rsidRPr="0069642A" w:rsidRDefault="00F47A00" w:rsidP="001A1841">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1A1841">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1A1841">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1A1841">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1A1841">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1A1841">
      <w:pPr>
        <w:pStyle w:val="a4"/>
        <w:numPr>
          <w:ilvl w:val="0"/>
          <w:numId w:val="40"/>
        </w:numPr>
      </w:pPr>
      <w:r w:rsidRPr="00F47A00">
        <w:t>расчёт индекса прибыльности (PI);</w:t>
      </w:r>
    </w:p>
    <w:p w14:paraId="75133552" w14:textId="53CC4A1F" w:rsidR="00F47A00" w:rsidRPr="0069642A" w:rsidRDefault="00F47A00" w:rsidP="001A1841">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1A1841">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1A1841">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1A1841">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1A1841">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1A1841">
      <w:pPr>
        <w:pStyle w:val="a4"/>
        <w:numPr>
          <w:ilvl w:val="0"/>
          <w:numId w:val="40"/>
        </w:numPr>
      </w:pPr>
      <w:r w:rsidRPr="00F47A00">
        <w:t>расчёт точки безубыточности;</w:t>
      </w:r>
    </w:p>
    <w:p w14:paraId="02122376" w14:textId="1C63F16F" w:rsidR="00F47A00" w:rsidRPr="0069642A" w:rsidRDefault="00F47A00" w:rsidP="001A1841">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1A1841">
      <w:pPr>
        <w:pStyle w:val="a4"/>
      </w:pPr>
      <w:r w:rsidRPr="0069642A">
        <w:t>11.2</w:t>
      </w:r>
      <w:r w:rsidRPr="0069642A">
        <w:tab/>
        <w:t>Исходные данные для расчёта</w:t>
      </w:r>
    </w:p>
    <w:p w14:paraId="77A11B5D" w14:textId="09D229E1" w:rsidR="00F951B7" w:rsidRPr="0069642A" w:rsidRDefault="00F951B7" w:rsidP="001A1841">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w:t>
      </w:r>
      <w:r w:rsidRPr="0069642A">
        <w:lastRenderedPageBreak/>
        <w:t xml:space="preserve">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платформами и дополнительные </w:t>
      </w:r>
      <w:r>
        <w:t>premium</w:t>
      </w:r>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1A1841">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1A1841">
      <w:pPr>
        <w:pStyle w:val="a4"/>
        <w:numPr>
          <w:ilvl w:val="0"/>
          <w:numId w:val="41"/>
        </w:numPr>
      </w:pPr>
      <w:r w:rsidRPr="00F951B7">
        <w:t>первоначальные инвестиции — 2 400 000 руб.;</w:t>
      </w:r>
    </w:p>
    <w:p w14:paraId="571E72CD" w14:textId="0F88B65C" w:rsidR="00F951B7" w:rsidRPr="00F951B7" w:rsidRDefault="00F951B7" w:rsidP="001A1841">
      <w:pPr>
        <w:pStyle w:val="a4"/>
        <w:numPr>
          <w:ilvl w:val="0"/>
          <w:numId w:val="41"/>
        </w:numPr>
      </w:pPr>
      <w:r w:rsidRPr="00F951B7">
        <w:t>расчётный период — 3 года;</w:t>
      </w:r>
    </w:p>
    <w:p w14:paraId="4626FCC3" w14:textId="0AC8ADDC" w:rsidR="00F951B7" w:rsidRPr="00F951B7" w:rsidRDefault="00F951B7" w:rsidP="001A1841">
      <w:pPr>
        <w:pStyle w:val="a4"/>
        <w:numPr>
          <w:ilvl w:val="0"/>
          <w:numId w:val="41"/>
        </w:numPr>
      </w:pPr>
      <w:r w:rsidRPr="00F951B7">
        <w:t>ставка дисконтирования — 12 % в год;</w:t>
      </w:r>
    </w:p>
    <w:p w14:paraId="60BB99F5" w14:textId="4FC27A82" w:rsidR="00F951B7" w:rsidRPr="00F951B7" w:rsidRDefault="00F951B7" w:rsidP="001A1841">
      <w:pPr>
        <w:pStyle w:val="a4"/>
        <w:numPr>
          <w:ilvl w:val="0"/>
          <w:numId w:val="41"/>
        </w:numPr>
      </w:pPr>
      <w:r w:rsidRPr="00F951B7">
        <w:t>прогнозные денежные потоки:</w:t>
      </w:r>
    </w:p>
    <w:p w14:paraId="180E3308" w14:textId="77777777" w:rsidR="00F951B7" w:rsidRPr="00F951B7" w:rsidRDefault="00F951B7" w:rsidP="001A1841">
      <w:pPr>
        <w:pStyle w:val="a4"/>
        <w:numPr>
          <w:ilvl w:val="1"/>
          <w:numId w:val="41"/>
        </w:numPr>
        <w:rPr>
          <w:lang w:eastAsia="ru-RU"/>
        </w:rPr>
      </w:pPr>
      <w:r w:rsidRPr="00F951B7">
        <w:rPr>
          <w:lang w:eastAsia="ru-RU"/>
        </w:rPr>
        <w:t>1-й год — 900 000 руб.;</w:t>
      </w:r>
    </w:p>
    <w:p w14:paraId="73C88A60" w14:textId="77777777" w:rsidR="00F951B7" w:rsidRPr="00F951B7" w:rsidRDefault="00F951B7" w:rsidP="001A1841">
      <w:pPr>
        <w:pStyle w:val="a4"/>
        <w:numPr>
          <w:ilvl w:val="1"/>
          <w:numId w:val="41"/>
        </w:numPr>
        <w:rPr>
          <w:lang w:eastAsia="ru-RU"/>
        </w:rPr>
      </w:pPr>
      <w:r w:rsidRPr="00F951B7">
        <w:rPr>
          <w:lang w:eastAsia="ru-RU"/>
        </w:rPr>
        <w:t>2-й год — 1 300 000 руб.;</w:t>
      </w:r>
    </w:p>
    <w:p w14:paraId="6F718839" w14:textId="77777777" w:rsidR="00F951B7" w:rsidRPr="00F951B7" w:rsidRDefault="00F951B7" w:rsidP="001A1841">
      <w:pPr>
        <w:pStyle w:val="a4"/>
        <w:numPr>
          <w:ilvl w:val="1"/>
          <w:numId w:val="41"/>
        </w:numPr>
        <w:rPr>
          <w:lang w:eastAsia="ru-RU"/>
        </w:rPr>
      </w:pPr>
      <w:r w:rsidRPr="00F951B7">
        <w:rPr>
          <w:lang w:eastAsia="ru-RU"/>
        </w:rPr>
        <w:t>3-й год — 1 800 000 руб..</w:t>
      </w:r>
    </w:p>
    <w:p w14:paraId="2380E273" w14:textId="73B054BD" w:rsidR="00F951B7" w:rsidRDefault="00F951B7" w:rsidP="001A1841">
      <w:pPr>
        <w:pStyle w:val="a4"/>
      </w:pPr>
      <w:r w:rsidRPr="0069642A">
        <w:t xml:space="preserve">Для расчёта точки безубыточности в качестве базового платного элемента монетизации принимается </w:t>
      </w:r>
      <w:r>
        <w:t>premium</w:t>
      </w:r>
      <w:r w:rsidRPr="0069642A">
        <w:t xml:space="preserve">-подписка. </w:t>
      </w:r>
      <w:r>
        <w:t>При этом используются следующие значения:</w:t>
      </w:r>
    </w:p>
    <w:p w14:paraId="75E365D2" w14:textId="3EB47917" w:rsidR="00F951B7" w:rsidRDefault="00F951B7" w:rsidP="001A1841">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1A1841">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1A1841">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1A1841">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1A1841">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22AACFB8" w:rsidR="00F951B7" w:rsidRDefault="00B11B9D" w:rsidP="001A1841">
      <w:pPr>
        <w:pStyle w:val="a4"/>
      </w:pPr>
      <w:r>
        <w:t>Чистая приведённая стоимость проекта (NPV) используется для оценки общей экономической эффективности проекта с учётом фактора времени. Данный показатель позволяет определить, создаёт ли проект дополнительную стоимость после возврата первоначальных инвестиций. Для расчёта NPV используется следующая формула</w:t>
      </w:r>
      <w:r w:rsidR="00F951B7">
        <w:t>:</w:t>
      </w:r>
    </w:p>
    <w:p w14:paraId="2272FA99" w14:textId="657B4922" w:rsidR="00F951B7" w:rsidRPr="00F951B7" w:rsidRDefault="00F951B7" w:rsidP="001A1841">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1A1841">
      <w:pPr>
        <w:pStyle w:val="a4"/>
      </w:pPr>
      <w:r>
        <w:t>Экспликация:</w:t>
      </w:r>
    </w:p>
    <w:p w14:paraId="488CAE44" w14:textId="11C612DF" w:rsidR="00F951B7" w:rsidRPr="0069642A" w:rsidRDefault="00F951B7" w:rsidP="001A1841">
      <w:pPr>
        <w:pStyle w:val="a4"/>
        <w:numPr>
          <w:ilvl w:val="0"/>
          <w:numId w:val="42"/>
        </w:numPr>
      </w:pPr>
      <m:oMath>
        <m:r>
          <w:rPr>
            <w:rFonts w:ascii="Cambria Math" w:hAnsi="Cambria Math"/>
          </w:rPr>
          <w:lastRenderedPageBreak/>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1A1841">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1A1841">
      <w:pPr>
        <w:pStyle w:val="a4"/>
        <w:numPr>
          <w:ilvl w:val="0"/>
          <w:numId w:val="42"/>
        </w:numPr>
      </w:pPr>
      <m:oMath>
        <m:r>
          <w:rPr>
            <w:rFonts w:ascii="Cambria Math" w:hAnsi="Cambria Math"/>
          </w:rPr>
          <m:t>t</m:t>
        </m:r>
      </m:oMath>
      <w:r w:rsidR="00F951B7" w:rsidRPr="002F74F5">
        <w:t xml:space="preserve"> – номер периода;</w:t>
      </w:r>
    </w:p>
    <w:p w14:paraId="41A41953" w14:textId="54E7177D" w:rsidR="00F951B7" w:rsidRPr="002F74F5" w:rsidRDefault="002F74F5" w:rsidP="001A1841">
      <w:pPr>
        <w:pStyle w:val="a4"/>
        <w:numPr>
          <w:ilvl w:val="0"/>
          <w:numId w:val="42"/>
        </w:numPr>
      </w:pPr>
      <m:oMath>
        <m:r>
          <w:rPr>
            <w:rFonts w:ascii="Cambria Math" w:hAnsi="Cambria Math"/>
          </w:rPr>
          <m:t>n</m:t>
        </m:r>
      </m:oMath>
      <w:r w:rsidR="00F951B7" w:rsidRPr="002F74F5">
        <w:t xml:space="preserve"> – число периодов расчета.</w:t>
      </w:r>
    </w:p>
    <w:p w14:paraId="1E788B5A" w14:textId="160DC26C" w:rsidR="00F951B7" w:rsidRPr="0069642A" w:rsidRDefault="002F74F5" w:rsidP="001A1841">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1A1841">
      <w:pPr>
        <w:pStyle w:val="a4"/>
      </w:pPr>
      <w:r>
        <w:t>Адаптационный вариант для проекта:</w:t>
      </w:r>
    </w:p>
    <w:p w14:paraId="0E1184C8" w14:textId="1360DD31" w:rsidR="00F951B7" w:rsidRPr="002F74F5" w:rsidRDefault="00F951B7" w:rsidP="001A1841">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1A1841">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1A1841">
      <w:pPr>
        <w:pStyle w:val="a4"/>
      </w:pPr>
      <w:r>
        <w:t>11.4</w:t>
      </w:r>
      <w:r>
        <w:tab/>
        <w:t>Индекс прибыльности (PI)</w:t>
      </w:r>
    </w:p>
    <w:p w14:paraId="1DA02097" w14:textId="718FE578" w:rsidR="002F74F5" w:rsidRPr="0069642A" w:rsidRDefault="00C42A5C" w:rsidP="001A1841">
      <w:pPr>
        <w:pStyle w:val="a4"/>
      </w:pPr>
      <w:r>
        <w:t>Индекс прибыльности (PI) применяется для оценки относительной эффективности инвестиционного проекта. Этот показатель показывает, сколько дисконтированных поступлений приходится на 1 рубль вложенных средств, и позволяет судить о целесообразности инвестирования в проект. Для расчёта индекса прибыльности используется следующая формула</w:t>
      </w:r>
      <w:r w:rsidR="0069642A" w:rsidRPr="0069642A">
        <w:t>:</w:t>
      </w:r>
    </w:p>
    <w:p w14:paraId="61170DFA" w14:textId="7BAC575A" w:rsidR="002F74F5" w:rsidRPr="002F74F5" w:rsidRDefault="002F74F5" w:rsidP="001A1841">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1A1841">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1A1841">
      <w:pPr>
        <w:pStyle w:val="a4"/>
      </w:pPr>
      <w:r>
        <w:t>Так как</w:t>
      </w:r>
    </w:p>
    <w:p w14:paraId="5FCE0F0D" w14:textId="304D9BA2" w:rsidR="007572F9" w:rsidRDefault="007572F9" w:rsidP="001A1841">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1A1841">
      <w:pPr>
        <w:pStyle w:val="a4"/>
      </w:pPr>
      <w:r>
        <w:t>То</w:t>
      </w:r>
    </w:p>
    <w:p w14:paraId="1AE5DA1F" w14:textId="14A62D99" w:rsidR="0069642A" w:rsidRPr="002F74F5" w:rsidRDefault="0069642A" w:rsidP="001A1841">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1A1841">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1A1841">
      <w:pPr>
        <w:pStyle w:val="a4"/>
      </w:pPr>
      <w:r>
        <w:t>11.5</w:t>
      </w:r>
      <w:r>
        <w:tab/>
        <w:t>Расчёт внутренней нормы доходности проекта</w:t>
      </w:r>
    </w:p>
    <w:p w14:paraId="22FC14B5" w14:textId="7819D5DA" w:rsidR="0069642A" w:rsidRDefault="00390930" w:rsidP="00390930">
      <w:pPr>
        <w:pStyle w:val="a4"/>
      </w:pPr>
      <w:r>
        <w:t xml:space="preserve">Внутренняя норма доходности (IRR) используется для определения максимально допустимой стоимости капитала, при которой проект ещё остаётся эффективным. Данный показатель позволяет сравнить доходность проекта с принятой ставкой дисконтирования и </w:t>
      </w:r>
      <w:r>
        <w:lastRenderedPageBreak/>
        <w:t>сделать вывод о его финансовой привлекательности. Для расчёта IRR используется следующее условие</w:t>
      </w:r>
      <w:r>
        <w:t xml:space="preserve">: </w:t>
      </w: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rsidR="0069642A">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1A1841">
      <w:pPr>
        <w:pStyle w:val="a4"/>
      </w:pPr>
      <w:r>
        <w:t>Для данного проекта это условие записывается следующим образом:</w:t>
      </w:r>
    </w:p>
    <w:p w14:paraId="54AE3074" w14:textId="104271CA" w:rsidR="0069642A" w:rsidRPr="0069642A" w:rsidRDefault="0069642A" w:rsidP="001A1841">
      <w:pPr>
        <w:pStyle w:val="a4"/>
      </w:pPr>
      <m:oMathPara>
        <m:oMath>
          <m:r>
            <m:rPr>
              <m:sty m:val="p"/>
            </m:rPr>
            <w:rPr>
              <w:rFonts w:ascii="Cambria Math" w:hAnsi="Cambria Math"/>
            </w:rPr>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1A1841">
      <w:pPr>
        <w:pStyle w:val="a4"/>
      </w:pPr>
      <w:r>
        <w:t>В результате расчёта получаем:</w:t>
      </w:r>
    </w:p>
    <w:p w14:paraId="2D161C33" w14:textId="4FA29F25" w:rsidR="0069642A" w:rsidRPr="0069642A" w:rsidRDefault="0069642A" w:rsidP="001A1841">
      <w:pPr>
        <w:pStyle w:val="a4"/>
      </w:pPr>
      <m:oMathPara>
        <m:oMath>
          <m:r>
            <w:rPr>
              <w:rFonts w:ascii="Cambria Math" w:hAnsi="Cambria Math"/>
            </w:rPr>
            <m:t>IRR</m:t>
          </m:r>
          <m:r>
            <m:rPr>
              <m:sty m:val="p"/>
            </m:rPr>
            <w:rPr>
              <w:rFonts w:ascii="Cambria Math" w:hAnsi="Cambria Math"/>
            </w:rPr>
            <m:t>≈26,83%</m:t>
          </m:r>
        </m:oMath>
      </m:oMathPara>
    </w:p>
    <w:p w14:paraId="4E781CA7" w14:textId="6283ADD9" w:rsidR="00F47A00" w:rsidRDefault="0069642A" w:rsidP="001A1841">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r w:rsidR="00B65EA4">
        <w:t xml:space="preserve"> </w:t>
      </w:r>
      <w:r w:rsidR="00B65EA4">
        <w:t xml:space="preserve">Это означает, что проект способен обеспечивать доходность выше минимально требуемого уровня доходности капитала. Такой результат является </w:t>
      </w:r>
      <w:r w:rsidR="00B65EA4" w:rsidRPr="00B65EA4">
        <w:rPr>
          <w:rStyle w:val="af"/>
          <w:b w:val="0"/>
          <w:bCs w:val="0"/>
        </w:rPr>
        <w:t>положительным</w:t>
      </w:r>
      <w:r w:rsidR="00B65EA4">
        <w:t>, поскольку по критерию IRR проект считается финансово привлекательным: если IRR больше ставки дисконтирования, проект можно принимать к реализации.</w:t>
      </w:r>
    </w:p>
    <w:p w14:paraId="2A4EAB3D" w14:textId="1946DCEE" w:rsidR="0069642A" w:rsidRDefault="0069642A" w:rsidP="001A1841">
      <w:pPr>
        <w:pStyle w:val="a4"/>
      </w:pPr>
      <w:r>
        <w:t>11.6</w:t>
      </w:r>
      <w:r>
        <w:tab/>
        <w:t>Расчет модифицированной внутренней нормы доходности проекта</w:t>
      </w:r>
    </w:p>
    <w:p w14:paraId="631E4A5A" w14:textId="77777777" w:rsidR="00390930" w:rsidRDefault="00390930" w:rsidP="001A1841">
      <w:pPr>
        <w:pStyle w:val="a4"/>
      </w:pPr>
      <w:r>
        <w:t xml:space="preserve">Модифицированная внутренняя норма доходности (MIRR) применяется для более реалистичной оценки доходности проекта, поскольку учитывает стоимость реинвестирования положительных денежных потоков и стоимость финансирования отрицательных потоков. Этот показатель позволяет точнее оценить экономическую эффективность проекта по сравнению с классическим IRR. </w:t>
      </w:r>
    </w:p>
    <w:p w14:paraId="4E965254" w14:textId="508395FF" w:rsidR="0069642A" w:rsidRDefault="0069642A" w:rsidP="001A1841">
      <w:pPr>
        <w:pStyle w:val="a4"/>
      </w:pPr>
      <w:r>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851A22"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1A1841">
      <w:pPr>
        <w:pStyle w:val="a4"/>
      </w:pPr>
      <w:r>
        <w:t>Или</w:t>
      </w:r>
    </w:p>
    <w:p w14:paraId="66F78183" w14:textId="343DDC74" w:rsidR="002C5410" w:rsidRPr="002C5410" w:rsidRDefault="00851A22" w:rsidP="001A1841">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1A1841">
      <w:pPr>
        <w:pStyle w:val="a4"/>
      </w:pPr>
      <w:r>
        <w:t>Где:</w:t>
      </w:r>
    </w:p>
    <w:p w14:paraId="2E5C8F62" w14:textId="196FD482" w:rsidR="002C5410" w:rsidRDefault="002C5410" w:rsidP="001A1841">
      <w:pPr>
        <w:pStyle w:val="a4"/>
        <w:numPr>
          <w:ilvl w:val="0"/>
          <w:numId w:val="43"/>
        </w:numPr>
      </w:pPr>
      <w:r>
        <w:t>k – коэффициент дисконтирования;</w:t>
      </w:r>
    </w:p>
    <w:p w14:paraId="72382E34" w14:textId="759858C4" w:rsidR="002C5410" w:rsidRDefault="002C5410" w:rsidP="001A1841">
      <w:pPr>
        <w:pStyle w:val="a4"/>
        <w:numPr>
          <w:ilvl w:val="0"/>
          <w:numId w:val="43"/>
        </w:numPr>
      </w:pPr>
      <w:r>
        <w:t>n – число периодов;</w:t>
      </w:r>
    </w:p>
    <w:p w14:paraId="70923D8D" w14:textId="1DF8632D" w:rsidR="002C5410" w:rsidRDefault="002C5410" w:rsidP="001A1841">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1A1841">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1A1841">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851A22"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1A1841">
      <w:pPr>
        <w:pStyle w:val="a4"/>
      </w:pPr>
      <w:r w:rsidRPr="008B48B9">
        <w:lastRenderedPageBreak/>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1A1841">
      <w:pPr>
        <w:pStyle w:val="a4"/>
      </w:pPr>
      <w:r>
        <w:t>Будущая стоимость притоков</w:t>
      </w:r>
      <w:r w:rsidR="008B48B9">
        <w:t>:</w:t>
      </w:r>
    </w:p>
    <w:p w14:paraId="48E85853" w14:textId="613E43D0" w:rsidR="002C5410" w:rsidRPr="008B48B9" w:rsidRDefault="00851A22"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851A22"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851A22"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1A1841">
      <w:pPr>
        <w:pStyle w:val="a4"/>
      </w:pPr>
      <w:r>
        <w:t>Дальше:</w:t>
      </w:r>
    </w:p>
    <w:p w14:paraId="7A03EE14" w14:textId="0E0A3842" w:rsidR="008B48B9" w:rsidRPr="008B48B9" w:rsidRDefault="008B48B9" w:rsidP="001A1841">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851A22" w:rsidP="001A1841">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1A1841">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1A1841">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1A1841">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1A1841">
      <w:pPr>
        <w:pStyle w:val="a4"/>
      </w:pPr>
      <w:r>
        <w:t>11.7</w:t>
      </w:r>
      <w:r>
        <w:tab/>
        <w:t>Расчет срока окупаемости проекта (PP</w:t>
      </w:r>
      <w:r w:rsidRPr="00C93352">
        <w:t>)</w:t>
      </w:r>
    </w:p>
    <w:p w14:paraId="0AC807DE" w14:textId="7226F316" w:rsidR="00C93352" w:rsidRDefault="00154693" w:rsidP="001A1841">
      <w:pPr>
        <w:pStyle w:val="a4"/>
      </w:pPr>
      <w:r>
        <w:t>Срок окупаемости проекта (PP) используется для определения периода времени, необходимого для возврата первоначальных инвестиций за счёт поступающих доходов. Данный показатель позволяет оценить, насколько быстро проект компенсирует вложенные в него средства. Для расчёта срока окупаемости может использоваться следующая формула</w:t>
      </w:r>
      <w:r w:rsidR="00C93352">
        <w:t>:</w:t>
      </w:r>
    </w:p>
    <w:p w14:paraId="5F1C7E4C" w14:textId="7C20A37B" w:rsidR="00C93352" w:rsidRPr="00C93352" w:rsidRDefault="00C93352" w:rsidP="001A1841">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1A1841">
      <w:pPr>
        <w:pStyle w:val="a4"/>
      </w:pPr>
      <w:r>
        <w:t>Где:</w:t>
      </w:r>
    </w:p>
    <w:p w14:paraId="37D51632" w14:textId="5F53982E" w:rsidR="00C93352" w:rsidRDefault="00C93352" w:rsidP="001A1841">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851A22" w:rsidP="001A1841">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851A22"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1A1841">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1A1841">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1A1841">
      <w:pPr>
        <w:pStyle w:val="a4"/>
      </w:pPr>
      <w:r>
        <w:t>Где</w:t>
      </w:r>
    </w:p>
    <w:p w14:paraId="7AF9B1B2" w14:textId="4FB204BF" w:rsidR="00C93352" w:rsidRDefault="00851A22"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1A1841">
      <w:pPr>
        <w:pStyle w:val="a4"/>
        <w:numPr>
          <w:ilvl w:val="0"/>
          <w:numId w:val="44"/>
        </w:numPr>
      </w:pPr>
      <w:r>
        <w:lastRenderedPageBreak/>
        <w:t>n – количество лет.</w:t>
      </w:r>
    </w:p>
    <w:p w14:paraId="3BE7880B" w14:textId="0D4241F1" w:rsidR="003E1A38" w:rsidRDefault="003E1A38" w:rsidP="001A1841">
      <w:pPr>
        <w:pStyle w:val="a4"/>
      </w:pPr>
      <w:r>
        <w:t>Накопленные доходы за 2 года:</w:t>
      </w:r>
    </w:p>
    <w:p w14:paraId="41E87359" w14:textId="554E000E" w:rsidR="003E1A38" w:rsidRPr="003E1A38" w:rsidRDefault="003E1A38" w:rsidP="001A1841">
      <w:pPr>
        <w:pStyle w:val="a4"/>
      </w:pPr>
      <m:oMathPara>
        <m:oMath>
          <m:r>
            <m:rPr>
              <m:sty m:val="p"/>
            </m:rPr>
            <w:rPr>
              <w:rFonts w:ascii="Cambria Math" w:hAnsi="Cambria Math"/>
            </w:rPr>
            <m:t>900000+1300000=2200000 руб.</m:t>
          </m:r>
        </m:oMath>
      </m:oMathPara>
    </w:p>
    <w:p w14:paraId="2C64EF41" w14:textId="5B910622" w:rsidR="003E1A38" w:rsidRDefault="003E1A38" w:rsidP="001A1841">
      <w:pPr>
        <w:pStyle w:val="a4"/>
      </w:pPr>
      <w:r>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1A1841">
      <w:pPr>
        <w:pStyle w:val="a4"/>
      </w:pPr>
      <m:oMathPara>
        <m:oMath>
          <m:r>
            <m:rPr>
              <m:sty m:val="p"/>
            </m:rPr>
            <w:rPr>
              <w:rFonts w:ascii="Cambria Math" w:hAnsi="Cambria Math"/>
            </w:rPr>
            <m:t>2200000&lt;2400000</m:t>
          </m:r>
        </m:oMath>
      </m:oMathPara>
    </w:p>
    <w:p w14:paraId="0D949B85" w14:textId="6C5D22C2" w:rsidR="003E1A38" w:rsidRDefault="003E1A38" w:rsidP="001A1841">
      <w:pPr>
        <w:pStyle w:val="a4"/>
      </w:pPr>
      <w:r>
        <w:t>После трех лет сумма поступлений равна:</w:t>
      </w:r>
    </w:p>
    <w:p w14:paraId="4C0B663C" w14:textId="250A3559" w:rsidR="003E1A38" w:rsidRPr="003E1A38" w:rsidRDefault="003E1A38" w:rsidP="001A1841">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1A1841">
      <w:pPr>
        <w:pStyle w:val="a4"/>
      </w:pPr>
      <w:r>
        <w:t>Так как</w:t>
      </w:r>
    </w:p>
    <w:p w14:paraId="2D9C58FC" w14:textId="70E1517C" w:rsidR="003E1A38" w:rsidRPr="003E1A38" w:rsidRDefault="003E1A38" w:rsidP="001A1841">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1A1841">
      <w:pPr>
        <w:pStyle w:val="a4"/>
      </w:pPr>
      <w:r>
        <w:t>Следовательно, проект окупается раньше окончания третьего года.</w:t>
      </w:r>
    </w:p>
    <w:p w14:paraId="3BEE2DB6" w14:textId="3DBDADEA" w:rsidR="003E1A38" w:rsidRDefault="003E1A38" w:rsidP="001A1841">
      <w:pPr>
        <w:pStyle w:val="a4"/>
      </w:pPr>
      <w:r>
        <w:t>Остаток третьего года определяется по аналогии с примером расчета:</w:t>
      </w:r>
    </w:p>
    <w:p w14:paraId="30C5ACEC" w14:textId="05BA6FE2"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1A1841">
      <w:pPr>
        <w:pStyle w:val="a4"/>
      </w:pPr>
      <w:r>
        <w:t>Тогда срок окупаемости составит:</w:t>
      </w:r>
    </w:p>
    <w:p w14:paraId="2FCF043E" w14:textId="29124787" w:rsidR="003E1A38" w:rsidRPr="003E1A38" w:rsidRDefault="003E1A38" w:rsidP="001A1841">
      <w:pPr>
        <w:pStyle w:val="a4"/>
      </w:pPr>
      <m:oMathPara>
        <m:oMath>
          <m:r>
            <w:rPr>
              <w:rFonts w:ascii="Cambria Math" w:hAnsi="Cambria Math"/>
            </w:rPr>
            <m:t>PP</m:t>
          </m:r>
          <m:r>
            <m:rPr>
              <m:sty m:val="p"/>
            </m:rPr>
            <w:rPr>
              <w:rFonts w:ascii="Cambria Math" w:hAnsi="Cambria Math"/>
            </w:rPr>
            <m:t>=2+0,11=2,11 года</m:t>
          </m:r>
        </m:oMath>
      </m:oMathPara>
    </w:p>
    <w:p w14:paraId="3D4EC642" w14:textId="6F559038" w:rsidR="003E1A38" w:rsidRDefault="003E1A38" w:rsidP="001A1841">
      <w:pPr>
        <w:pStyle w:val="a4"/>
      </w:pPr>
      <w:r w:rsidRPr="003E1A38">
        <w:t>Таким образом, срок окупаемости первоначальных инвестиций проекта составляет 2,11 года, то есть примерно 2 года и 1 месяц.</w:t>
      </w:r>
      <w:r w:rsidR="00B65EA4">
        <w:t xml:space="preserve"> </w:t>
      </w:r>
      <w:r w:rsidR="00B65EA4">
        <w:t xml:space="preserve">Это означает, что за данный период проект компенсирует первоначально вложенные средства за счёт поступающих доходов. Такой результат можно оценить как </w:t>
      </w:r>
      <w:r w:rsidR="00B65EA4" w:rsidRPr="00B65EA4">
        <w:rPr>
          <w:rStyle w:val="af"/>
          <w:b w:val="0"/>
          <w:bCs w:val="0"/>
        </w:rPr>
        <w:t>скорее хороший</w:t>
      </w:r>
      <w:r w:rsidR="00B65EA4">
        <w:t>, поскольку проект окупается в пределах расчётного периода, равного 3 годам. Вместе с тем срок окупаемости нельзя назвать очень коротким, поэтому проект зависит от стабильного получения доходов в течение нескольких лет.</w:t>
      </w:r>
    </w:p>
    <w:p w14:paraId="0568A71D" w14:textId="40F8B209" w:rsidR="003E1A38" w:rsidRDefault="003E1A38" w:rsidP="001A1841">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4DEB9AF9" w14:textId="77777777" w:rsidR="00D43E89" w:rsidRDefault="00D43E89" w:rsidP="001A1841">
      <w:pPr>
        <w:pStyle w:val="a4"/>
      </w:pPr>
      <w:r>
        <w:t>Дисконтированный срок окупаемости (DPP) используется для определения периода возврата инвестиций с учётом стоимости денег во времени. В отличие от простого срока окупаемости, данный показатель учитывает дисконтирование денежных потоков и поэтому позволяет получить более точную оценку финансовой устойчивости проекта. Для расчёта DPP используется следующая формула:</w:t>
      </w:r>
    </w:p>
    <w:p w14:paraId="522F6BFC" w14:textId="1791C2D1" w:rsidR="003E1A38" w:rsidRPr="003E1A38" w:rsidRDefault="003E1A38" w:rsidP="001A1841">
      <w:pPr>
        <w:pStyle w:val="a4"/>
      </w:pPr>
      <m:oMathPara>
        <m:oMath>
          <m:r>
            <w:rPr>
              <w:rFonts w:ascii="Cambria Math" w:hAnsi="Cambria Math"/>
              <w:lang w:val="en-US"/>
            </w:rPr>
            <m:t>DPP</m:t>
          </m:r>
          <m:r>
            <m:rPr>
              <m:sty m:val="p"/>
            </m:rPr>
            <w:rPr>
              <w:rFonts w:ascii="Cambria Math" w:hAnsi="Cambria Math"/>
            </w:rPr>
            <m:t>=</m:t>
          </m:r>
          <m:r>
            <w:rPr>
              <w:rFonts w:ascii="Cambria Math" w:hAnsi="Cambria Math"/>
              <w:lang w:val="en-US"/>
            </w:rPr>
            <m:t>n</m:t>
          </m:r>
          <m:r>
            <m:rPr>
              <m:sty m:val="p"/>
            </m:rPr>
            <w:rPr>
              <w:rFonts w:ascii="Cambria Math" w:hAnsi="Cambria Math"/>
            </w:rPr>
            <m:t xml:space="preserve">, </m:t>
          </m:r>
          <m:r>
            <m:rPr>
              <m:sty m:val="p"/>
            </m:rPr>
            <w:rPr>
              <w:rFonts w:ascii="Cambria Math" w:hAnsi="Cambria Math"/>
            </w:rPr>
            <m:t xml:space="preserve">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rPr>
                    <m:t>0</m:t>
                  </m:r>
                </m:sub>
              </m:sSub>
            </m:e>
          </m:nary>
        </m:oMath>
      </m:oMathPara>
    </w:p>
    <w:p w14:paraId="726887C3" w14:textId="5191CBF9" w:rsidR="003E1A38" w:rsidRDefault="003E1A38" w:rsidP="001A1841">
      <w:pPr>
        <w:pStyle w:val="a4"/>
      </w:pPr>
      <w:r>
        <w:t>Где</w:t>
      </w:r>
    </w:p>
    <w:p w14:paraId="0E6E8568" w14:textId="5360E59E" w:rsidR="003E1A38" w:rsidRDefault="003E1A38" w:rsidP="001A1841">
      <w:pPr>
        <w:pStyle w:val="a4"/>
        <w:numPr>
          <w:ilvl w:val="0"/>
          <w:numId w:val="45"/>
        </w:numPr>
      </w:pPr>
      <m:oMath>
        <m:r>
          <w:rPr>
            <w:rFonts w:ascii="Cambria Math" w:hAnsi="Cambria Math"/>
            <w:lang w:val="en-US"/>
          </w:rPr>
          <w:lastRenderedPageBreak/>
          <m:t>DPP</m:t>
        </m:r>
      </m:oMath>
      <w:r w:rsidRPr="003E1A38">
        <w:t xml:space="preserve"> – </w:t>
      </w:r>
      <w:r>
        <w:t>срок окупаемости с учётом стоимости денег</w:t>
      </w:r>
      <w:r w:rsidRPr="003E1A38">
        <w:t>;</w:t>
      </w:r>
    </w:p>
    <w:p w14:paraId="4755CAF8" w14:textId="665B679A" w:rsidR="003E1A38" w:rsidRDefault="003E1A38" w:rsidP="001A1841">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1A1841">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851A22" w:rsidP="001A1841">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1A1841">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1A1841">
      <w:pPr>
        <w:pStyle w:val="a4"/>
      </w:pPr>
      <w:r>
        <w:t>Расчет дисконтированных денежных потоков по годам.</w:t>
      </w:r>
    </w:p>
    <w:p w14:paraId="11DC9194" w14:textId="446C06F9" w:rsidR="003E1A38" w:rsidRDefault="003E1A38" w:rsidP="001A1841">
      <w:pPr>
        <w:pStyle w:val="a4"/>
      </w:pPr>
      <w:r>
        <w:t>Для первого года:</w:t>
      </w:r>
    </w:p>
    <w:p w14:paraId="7F54567F" w14:textId="35B24818" w:rsidR="003E1A38" w:rsidRPr="0014237E" w:rsidRDefault="00851A22" w:rsidP="001A1841">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1A1841">
      <w:pPr>
        <w:pStyle w:val="a4"/>
      </w:pPr>
      <w:r>
        <w:t>Для второго года:</w:t>
      </w:r>
    </w:p>
    <w:p w14:paraId="3EE17659" w14:textId="2720DE86" w:rsidR="0014237E" w:rsidRPr="0014237E" w:rsidRDefault="00851A22" w:rsidP="001A1841">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1A1841">
      <w:pPr>
        <w:pStyle w:val="a4"/>
      </w:pPr>
      <w:r>
        <w:t>Для третьего года:</w:t>
      </w:r>
    </w:p>
    <w:p w14:paraId="455A8B28" w14:textId="190845CC" w:rsidR="0014237E" w:rsidRPr="0014237E" w:rsidRDefault="00851A22" w:rsidP="001A1841">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1A1841">
      <w:pPr>
        <w:pStyle w:val="a4"/>
      </w:pPr>
      <w:r>
        <w:t>Накопленный дисконтированный доход за два года равен:</w:t>
      </w:r>
    </w:p>
    <w:p w14:paraId="1B06EEE3" w14:textId="2CAA90C5" w:rsidR="0014237E" w:rsidRPr="0014237E" w:rsidRDefault="0014237E" w:rsidP="001A1841">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1A1841">
      <w:pPr>
        <w:pStyle w:val="a4"/>
      </w:pPr>
      <w:r>
        <w:t>Так как</w:t>
      </w:r>
    </w:p>
    <w:p w14:paraId="0A6D60CE" w14:textId="168561FB" w:rsidR="0014237E" w:rsidRPr="0014237E" w:rsidRDefault="0014237E" w:rsidP="001A1841">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1A1841">
      <w:pPr>
        <w:pStyle w:val="a4"/>
      </w:pPr>
      <w:r>
        <w:t>То за 2 года проект еще не окупается.</w:t>
      </w:r>
    </w:p>
    <w:p w14:paraId="0D876454" w14:textId="2171AB85" w:rsidR="0014237E" w:rsidRDefault="0014237E" w:rsidP="001A1841">
      <w:pPr>
        <w:pStyle w:val="a4"/>
      </w:pPr>
      <w:r>
        <w:t>Накопленный дисконтированный доход за три года равен:</w:t>
      </w:r>
    </w:p>
    <w:p w14:paraId="20CDE2BD" w14:textId="207B33AF" w:rsidR="0014237E" w:rsidRPr="0014237E" w:rsidRDefault="0014237E" w:rsidP="001A1841">
      <w:pPr>
        <w:pStyle w:val="a4"/>
      </w:pPr>
      <m:oMathPara>
        <m:oMath>
          <m:r>
            <m:rPr>
              <m:sty m:val="p"/>
            </m:rPr>
            <w:rPr>
              <w:rFonts w:ascii="Cambria Math" w:hAnsi="Cambria Math"/>
            </w:rPr>
            <m:t>1839923+1281204=3121127 руб.</m:t>
          </m:r>
        </m:oMath>
      </m:oMathPara>
    </w:p>
    <w:p w14:paraId="317A885B" w14:textId="13D4FBE4" w:rsidR="0014237E" w:rsidRDefault="0014237E" w:rsidP="001A1841">
      <w:pPr>
        <w:pStyle w:val="a4"/>
      </w:pPr>
      <w:r>
        <w:t>Так как</w:t>
      </w:r>
    </w:p>
    <w:p w14:paraId="6CD00BBA" w14:textId="71FE1D5A" w:rsidR="0014237E" w:rsidRPr="0014237E" w:rsidRDefault="0014237E" w:rsidP="001A1841">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1A1841">
      <w:pPr>
        <w:pStyle w:val="a4"/>
      </w:pPr>
      <w:r>
        <w:t>Проект окупается в течение третьего года.</w:t>
      </w:r>
    </w:p>
    <w:p w14:paraId="50174931" w14:textId="21A6B624" w:rsidR="0014237E" w:rsidRDefault="0014237E" w:rsidP="001A1841">
      <w:pPr>
        <w:pStyle w:val="a4"/>
      </w:pPr>
      <w:r>
        <w:t>Остаток третьего года:</w:t>
      </w:r>
    </w:p>
    <w:p w14:paraId="13A64ADD" w14:textId="39685307" w:rsidR="0014237E" w:rsidRPr="0014237E" w:rsidRDefault="0014237E"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1A1841">
      <w:pPr>
        <w:pStyle w:val="a4"/>
      </w:pPr>
      <m:oMathPara>
        <m:oMath>
          <m:r>
            <m:rPr>
              <m:sty m:val="p"/>
            </m:rPr>
            <w:rPr>
              <w:rFonts w:ascii="Cambria Math" w:hAnsi="Cambria Math"/>
            </w:rPr>
            <m:t>Остаток=1-0,5629=0,44 года</m:t>
          </m:r>
        </m:oMath>
      </m:oMathPara>
    </w:p>
    <w:p w14:paraId="174239A2" w14:textId="66DFE84C" w:rsidR="0014237E" w:rsidRDefault="0014237E" w:rsidP="001A1841">
      <w:pPr>
        <w:pStyle w:val="a4"/>
      </w:pPr>
      <w:r>
        <w:t>Тогда дисконтированный срок окупаемости составит:</w:t>
      </w:r>
    </w:p>
    <w:p w14:paraId="36DFA1EC" w14:textId="6D5D6D51" w:rsidR="0014237E" w:rsidRPr="0014237E" w:rsidRDefault="0014237E" w:rsidP="001A1841">
      <w:pPr>
        <w:pStyle w:val="a4"/>
      </w:pPr>
      <m:oMathPara>
        <m:oMath>
          <m:r>
            <w:rPr>
              <w:rFonts w:ascii="Cambria Math" w:hAnsi="Cambria Math"/>
            </w:rPr>
            <m:t>DPP</m:t>
          </m:r>
          <m:r>
            <m:rPr>
              <m:sty m:val="p"/>
            </m:rPr>
            <w:rPr>
              <w:rFonts w:ascii="Cambria Math" w:hAnsi="Cambria Math"/>
            </w:rPr>
            <m:t>=2+0,44=2,44 года</m:t>
          </m:r>
        </m:oMath>
      </m:oMathPara>
    </w:p>
    <w:p w14:paraId="3437BCC7" w14:textId="4FAA9376" w:rsidR="0014237E" w:rsidRDefault="0014237E" w:rsidP="001A1841">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r w:rsidR="00B112F5" w:rsidRPr="00B112F5">
        <w:t xml:space="preserve"> </w:t>
      </w:r>
      <w:r w:rsidR="00B112F5">
        <w:t xml:space="preserve">Это означает, что даже с поправкой на стоимость денег во времени проект успевает вернуть вложения в пределах расчётного периода. Такой результат является </w:t>
      </w:r>
      <w:r w:rsidR="00B112F5" w:rsidRPr="00B112F5">
        <w:rPr>
          <w:rStyle w:val="af"/>
          <w:b w:val="0"/>
          <w:bCs w:val="0"/>
        </w:rPr>
        <w:t>положительным</w:t>
      </w:r>
      <w:r w:rsidR="00B112F5">
        <w:t xml:space="preserve">, поскольку подтверждает </w:t>
      </w:r>
      <w:r w:rsidR="00B112F5">
        <w:lastRenderedPageBreak/>
        <w:t>финансовую устойчивость проекта, однако показывает, что фактическая окупаемость с учётом дисконтирования происходит медленнее, чем по простому сроку окупаемости.</w:t>
      </w:r>
    </w:p>
    <w:p w14:paraId="6FD06943" w14:textId="25CB9A7A" w:rsidR="0014237E" w:rsidRPr="0014237E" w:rsidRDefault="0014237E" w:rsidP="001A1841">
      <w:pPr>
        <w:pStyle w:val="a4"/>
      </w:pPr>
      <w:r>
        <w:t>11.9</w:t>
      </w:r>
      <w:r>
        <w:tab/>
        <w:t xml:space="preserve">Расчёт коэффициента рентабельности инвестиций </w:t>
      </w:r>
      <w:r w:rsidRPr="0014237E">
        <w:t>(</w:t>
      </w:r>
      <w:r>
        <w:rPr>
          <w:lang w:val="en-US"/>
        </w:rPr>
        <w:t>ARR</w:t>
      </w:r>
      <w:r w:rsidRPr="0014237E">
        <w:t>)</w:t>
      </w:r>
    </w:p>
    <w:p w14:paraId="33200690" w14:textId="77777777" w:rsidR="00E4106C" w:rsidRDefault="00E4106C" w:rsidP="001A1841">
      <w:pPr>
        <w:pStyle w:val="a4"/>
      </w:pPr>
      <w:r>
        <w:t>Коэффициент рентабельности инвестиций (ARR) применяется для оценки средней доходности проекта по отношению к объёму первоначальных вложений. Этот показатель позволяет определить, сколько прибыли в среднем приносит каждый рубль инвестированного капитала. Для расчёта ARR используется следующая формула:</w:t>
      </w:r>
    </w:p>
    <w:p w14:paraId="75BD546E" w14:textId="4AF4F9CD"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1A1841">
      <w:pPr>
        <w:pStyle w:val="a4"/>
      </w:pPr>
      <w:r>
        <w:t>Где</w:t>
      </w:r>
    </w:p>
    <w:p w14:paraId="1CBC65E3" w14:textId="07535843" w:rsidR="0014237E" w:rsidRDefault="00851A22" w:rsidP="001A1841">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1A1841">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1A1841">
      <w:pPr>
        <w:pStyle w:val="a4"/>
      </w:pPr>
      <w:r>
        <w:t>Средний денежный поток проекта:</w:t>
      </w:r>
    </w:p>
    <w:p w14:paraId="7FB15DF2" w14:textId="4140E134" w:rsidR="0014237E" w:rsidRPr="0014237E" w:rsidRDefault="00851A22"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851A22"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1A1841">
      <w:pPr>
        <w:pStyle w:val="a4"/>
      </w:pPr>
      <w:r>
        <w:t>Сумма первоначальных инвестиций составляет:</w:t>
      </w:r>
    </w:p>
    <w:p w14:paraId="64A82C35" w14:textId="21D7CFAC" w:rsidR="0014237E" w:rsidRPr="0014237E" w:rsidRDefault="0014237E" w:rsidP="001A1841">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1A1841">
      <w:pPr>
        <w:pStyle w:val="a4"/>
      </w:pPr>
      <w:r>
        <w:t>Коэффициент рентабельности:</w:t>
      </w:r>
    </w:p>
    <w:p w14:paraId="07BD6E0F" w14:textId="192FFEAA"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149C0D9D" w:rsidR="0014237E" w:rsidRDefault="006B0669" w:rsidP="001A1841">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r w:rsidR="00D5126B">
        <w:t xml:space="preserve"> </w:t>
      </w:r>
      <w:r w:rsidR="00D5126B">
        <w:t xml:space="preserve">Такой результат можно оценить как </w:t>
      </w:r>
      <w:r w:rsidR="00D5126B" w:rsidRPr="00D5126B">
        <w:rPr>
          <w:rStyle w:val="af"/>
          <w:b w:val="0"/>
          <w:bCs w:val="0"/>
        </w:rPr>
        <w:t>достаточно хороший</w:t>
      </w:r>
      <w:r w:rsidR="00D5126B">
        <w:t>, поскольку он показывает сравнительно высокий уровень отдачи на вложенный капитал. Данный показатель положительно влияет на оценку проекта и подтверждает, что вложения в проект являются оправданными с точки зрения прибыльности.</w:t>
      </w:r>
    </w:p>
    <w:p w14:paraId="0E4CE9E6" w14:textId="4D7CA212" w:rsidR="006B0669" w:rsidRDefault="006B0669" w:rsidP="001A1841">
      <w:pPr>
        <w:pStyle w:val="a4"/>
      </w:pPr>
      <w:r>
        <w:t>11.10</w:t>
      </w:r>
      <w:r>
        <w:tab/>
        <w:t>Расчёт точки безубыточности проекта</w:t>
      </w:r>
    </w:p>
    <w:p w14:paraId="33B4DB4B" w14:textId="54463951" w:rsidR="00E4106C" w:rsidRDefault="00E4106C" w:rsidP="001A1841">
      <w:pPr>
        <w:pStyle w:val="a4"/>
      </w:pPr>
      <w:r>
        <w:t>Точка безубыточности используется для определения минимального объёма продаж, при котором проект покрывает все свои постоянные и переменные затраты, но ещё не получает прибыль. Данный показатель позволяет оценить минимально необходимый уровень коммерческой активности для безубыточной работы проекта.</w:t>
      </w:r>
    </w:p>
    <w:p w14:paraId="41627A02" w14:textId="3D670197" w:rsidR="006B0669" w:rsidRDefault="006B0669" w:rsidP="001A1841">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1A1841">
      <w:pPr>
        <w:pStyle w:val="a4"/>
      </w:pPr>
      <w:r>
        <w:lastRenderedPageBreak/>
        <w:t>Точка безубыточности определяется по формуле:</w:t>
      </w:r>
    </w:p>
    <w:p w14:paraId="78AB9388" w14:textId="233BDB3C" w:rsidR="006B0669" w:rsidRPr="006B0669" w:rsidRDefault="00851A22"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1A1841">
      <w:pPr>
        <w:pStyle w:val="a4"/>
      </w:pPr>
      <w:r>
        <w:t>Где</w:t>
      </w:r>
    </w:p>
    <w:p w14:paraId="707DF822" w14:textId="5FF54F5F" w:rsidR="006B0669" w:rsidRDefault="00851A22" w:rsidP="001A1841">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1A1841">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1A1841">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1A1841">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1A1841">
      <w:pPr>
        <w:pStyle w:val="a4"/>
      </w:pPr>
      <w:r>
        <w:t>Для проекта принимаются следующие значения:</w:t>
      </w:r>
    </w:p>
    <w:p w14:paraId="58223B6A" w14:textId="3F9AD0AB" w:rsidR="006B0669" w:rsidRDefault="006B0669" w:rsidP="001A1841">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1A1841">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1A1841">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1A1841">
      <w:pPr>
        <w:pStyle w:val="a4"/>
      </w:pPr>
      <w:r>
        <w:t>Расчет точки безубыточности:</w:t>
      </w:r>
    </w:p>
    <w:p w14:paraId="16AF3E53" w14:textId="7D05B977" w:rsidR="006B0669" w:rsidRPr="006B0669" w:rsidRDefault="00851A22"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48424510" w14:textId="77777777" w:rsidR="00285A4B" w:rsidRDefault="00285A4B" w:rsidP="001A1841">
      <w:pPr>
        <w:pStyle w:val="a4"/>
      </w:pPr>
      <w:r>
        <w:t xml:space="preserve">Следовательно, точка безубыточности составляет </w:t>
      </w:r>
      <w:r w:rsidRPr="00285A4B">
        <w:rPr>
          <w:rStyle w:val="af"/>
          <w:b w:val="0"/>
          <w:bCs w:val="0"/>
        </w:rPr>
        <w:t>375 платных подписок в месяц</w:t>
      </w:r>
      <w:r>
        <w:t>. Это означает, что при данном объёме продаж выручка проекта полностью покрывает все постоянные и переменные затраты, но прибыль ещё не формируется. Сам по себе этот показатель нельзя назвать ни однозначно хорошим, ни плохим: его оценка зависит от того, насколько реально для проекта обеспечить не менее 375 платных подписок ежемесячно. Для итоговой оценки проекта этот показатель очень важен, поскольку показывает минимальный уровень коммерческого успеха, необходимый для отсутствия убытков.</w:t>
      </w:r>
    </w:p>
    <w:p w14:paraId="179973D0" w14:textId="0E64B361" w:rsidR="006B0669" w:rsidRDefault="006B0669" w:rsidP="001A1841">
      <w:pPr>
        <w:pStyle w:val="a4"/>
      </w:pPr>
      <w:r>
        <w:t>11.11</w:t>
      </w:r>
      <w:r>
        <w:tab/>
      </w:r>
      <w:r w:rsidR="00E726F5">
        <w:t>График</w:t>
      </w:r>
      <w:r>
        <w:t xml:space="preserve"> безубыточности</w:t>
      </w:r>
      <w:r w:rsidR="00E726F5">
        <w:t xml:space="preserve"> проекта</w:t>
      </w:r>
    </w:p>
    <w:p w14:paraId="6674554E" w14:textId="17E12CAE" w:rsidR="00E4106C" w:rsidRDefault="00E4106C" w:rsidP="001A1841">
      <w:pPr>
        <w:pStyle w:val="a4"/>
      </w:pPr>
      <w:r>
        <w:t>График безубыточности строится для наглядного представления зависимости между выручкой, затратами и объёмом продаж. Он позволяет визуально определить точку, в которой проект переходит из зоны убытков в зону прибыли.</w:t>
      </w:r>
    </w:p>
    <w:p w14:paraId="17F42A30" w14:textId="63DE6923" w:rsidR="006B0669" w:rsidRDefault="008D061A" w:rsidP="001A1841">
      <w:pPr>
        <w:pStyle w:val="a4"/>
      </w:pPr>
      <w:r>
        <w:t xml:space="preserve">В таблице </w:t>
      </w:r>
      <w:r w:rsidR="00F502C7" w:rsidRPr="00F502C7">
        <w:t>8</w:t>
      </w:r>
      <w:r>
        <w:t xml:space="preserve"> представлены данные для построения графика безубыточности.</w:t>
      </w:r>
    </w:p>
    <w:p w14:paraId="739E105C" w14:textId="75999909" w:rsidR="008D061A" w:rsidRDefault="008D061A" w:rsidP="001A1841">
      <w:pPr>
        <w:pStyle w:val="a4"/>
      </w:pPr>
      <w:r>
        <w:t xml:space="preserve">Таблица </w:t>
      </w:r>
      <w:r w:rsidR="00F502C7" w:rsidRPr="00F502C7">
        <w:t>8</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1A1841">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 xml:space="preserve">денежная сумма в рублях. На </w:t>
      </w:r>
      <w:r w:rsidR="00E726F5">
        <w:lastRenderedPageBreak/>
        <w:t>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316052D3" w:rsidR="00E726F5" w:rsidRDefault="00E726F5" w:rsidP="00E726F5">
      <w:pPr>
        <w:pStyle w:val="a3"/>
      </w:pPr>
      <w:r>
        <w:t>Рисунок 7 – График безубыточности проекта</w:t>
      </w:r>
    </w:p>
    <w:p w14:paraId="57564497" w14:textId="0E616DB4" w:rsidR="00285A4B" w:rsidRDefault="00285A4B" w:rsidP="00285A4B">
      <w:pPr>
        <w:pStyle w:val="a4"/>
      </w:pPr>
      <w:r>
        <w:t xml:space="preserve">График безубыточности наглядно показывает, что при объёме менее </w:t>
      </w:r>
      <w:r w:rsidRPr="00285A4B">
        <w:rPr>
          <w:rStyle w:val="af"/>
          <w:b w:val="0"/>
          <w:bCs w:val="0"/>
        </w:rPr>
        <w:t>375 платных подписок в месяц</w:t>
      </w:r>
      <w:r>
        <w:t xml:space="preserve"> проект будет убыточным, а при превышении данного значения начнёт формировать прибыль. Следовательно, дальнейшая финансовая устойчивость проекта напрямую зависит от способности привлечь и удержать достаточное количество платных пользователей.</w:t>
      </w:r>
    </w:p>
    <w:p w14:paraId="77A1A066" w14:textId="06E31230" w:rsidR="00E726F5" w:rsidRDefault="00E726F5" w:rsidP="001A1841">
      <w:pPr>
        <w:pStyle w:val="a4"/>
      </w:pPr>
      <w:r>
        <w:t>11.12</w:t>
      </w:r>
      <w:r>
        <w:tab/>
        <w:t>Вывод по результатам финансовой оценки</w:t>
      </w:r>
    </w:p>
    <w:p w14:paraId="4F7EC8C4" w14:textId="20852661" w:rsidR="005412BC" w:rsidRDefault="00285A4B" w:rsidP="00285A4B">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w:t>
      </w:r>
      <w:r w:rsidRPr="00285A4B">
        <w:rPr>
          <w:rStyle w:val="af"/>
          <w:b w:val="0"/>
          <w:bCs w:val="0"/>
        </w:rPr>
        <w:t>имеет потенциальную экономическую реализуемость</w:t>
      </w:r>
      <w:r>
        <w:t xml:space="preserve">, однако его коммерческая эффективность в значительной степени зависит от достижения планируемых показателей пользовательской базы и монетизации. Значения финансовых показателей свидетельствуют о том, что при принятых исходных данных проект способен окупить вложенные средства: модифицированная внутренняя норма доходности составляет 22,25 %, срок окупаемости первоначальных инвестиций — 2,11 года, дисконтированный срок окупаемости — 2,44 года, </w:t>
      </w:r>
      <w:r>
        <w:lastRenderedPageBreak/>
        <w:t xml:space="preserve">коэффициент рентабельности инвестиций — 55,56 %, а точка безубыточности достигается при 375 платных подписках в месяц. Вместе с тем положительный финансовый результат возможен только при условии стабильного привлечения и удержания пользователей, готовых оформлять платную подписку. Следовательно, проект можно рассматривать как </w:t>
      </w:r>
      <w:r w:rsidRPr="00285A4B">
        <w:rPr>
          <w:rStyle w:val="af"/>
          <w:b w:val="0"/>
          <w:bCs w:val="0"/>
        </w:rPr>
        <w:t>условно экономически оправданный</w:t>
      </w:r>
      <w:r>
        <w:t>, но не как высокорентабельный коммерческий продукт при текущих условиях реализации.</w:t>
      </w:r>
      <w:r w:rsidR="005412BC">
        <w:br w:type="page"/>
      </w:r>
    </w:p>
    <w:p w14:paraId="05C5EFF5" w14:textId="2BEAEB66" w:rsidR="00C93352" w:rsidRPr="005412BC" w:rsidRDefault="005412BC" w:rsidP="001A1841">
      <w:pPr>
        <w:pStyle w:val="a4"/>
      </w:pPr>
      <w:r w:rsidRPr="005412BC">
        <w:lastRenderedPageBreak/>
        <w:t>ВЫВОД</w:t>
      </w:r>
    </w:p>
    <w:p w14:paraId="69EB2B15" w14:textId="1BD7C252" w:rsidR="005412BC" w:rsidRDefault="005412BC" w:rsidP="001A1841">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соответствует ранее выявленным ограничениям проекта, связанным с финансовыми ресурсами, необходимостью постоянного наполнения базы материалов и зависимостью от активности пользователей.</w:t>
      </w:r>
    </w:p>
    <w:p w14:paraId="3204DC2B" w14:textId="7F38DACF" w:rsidR="005412BC" w:rsidRPr="008B48B9" w:rsidRDefault="005412BC" w:rsidP="001A1841">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30A18" w14:textId="77777777" w:rsidR="00EF1582" w:rsidRDefault="00EF1582" w:rsidP="002D4490">
      <w:pPr>
        <w:spacing w:after="0" w:line="240" w:lineRule="auto"/>
      </w:pPr>
      <w:r>
        <w:separator/>
      </w:r>
    </w:p>
  </w:endnote>
  <w:endnote w:type="continuationSeparator" w:id="0">
    <w:p w14:paraId="3B3D9756" w14:textId="77777777" w:rsidR="00EF1582" w:rsidRDefault="00EF1582"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9A3BB" w14:textId="77777777" w:rsidR="00EF1582" w:rsidRDefault="00EF1582" w:rsidP="002D4490">
      <w:pPr>
        <w:spacing w:after="0" w:line="240" w:lineRule="auto"/>
      </w:pPr>
      <w:r>
        <w:separator/>
      </w:r>
    </w:p>
  </w:footnote>
  <w:footnote w:type="continuationSeparator" w:id="0">
    <w:p w14:paraId="50B0F4EF" w14:textId="77777777" w:rsidR="00EF1582" w:rsidRDefault="00EF1582"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54693"/>
    <w:rsid w:val="00196004"/>
    <w:rsid w:val="001A1841"/>
    <w:rsid w:val="001A443B"/>
    <w:rsid w:val="001F1145"/>
    <w:rsid w:val="00220E24"/>
    <w:rsid w:val="00226CD1"/>
    <w:rsid w:val="00235D72"/>
    <w:rsid w:val="00255BE8"/>
    <w:rsid w:val="00285A4B"/>
    <w:rsid w:val="002B2315"/>
    <w:rsid w:val="002C0E81"/>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0930"/>
    <w:rsid w:val="00395718"/>
    <w:rsid w:val="003B5F8F"/>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44BE9"/>
    <w:rsid w:val="00560859"/>
    <w:rsid w:val="00561AA5"/>
    <w:rsid w:val="00563CCD"/>
    <w:rsid w:val="005838BD"/>
    <w:rsid w:val="00583E59"/>
    <w:rsid w:val="005A4569"/>
    <w:rsid w:val="005C4972"/>
    <w:rsid w:val="005F26C5"/>
    <w:rsid w:val="00664920"/>
    <w:rsid w:val="0066559D"/>
    <w:rsid w:val="006832FC"/>
    <w:rsid w:val="00684B21"/>
    <w:rsid w:val="0069642A"/>
    <w:rsid w:val="006A385F"/>
    <w:rsid w:val="006A7CAB"/>
    <w:rsid w:val="006B0669"/>
    <w:rsid w:val="006B51F2"/>
    <w:rsid w:val="006D293F"/>
    <w:rsid w:val="00745ED4"/>
    <w:rsid w:val="007572F9"/>
    <w:rsid w:val="0077068F"/>
    <w:rsid w:val="00770817"/>
    <w:rsid w:val="007717AA"/>
    <w:rsid w:val="00782715"/>
    <w:rsid w:val="007A7293"/>
    <w:rsid w:val="007E33F3"/>
    <w:rsid w:val="00814200"/>
    <w:rsid w:val="008261B0"/>
    <w:rsid w:val="00851A22"/>
    <w:rsid w:val="008560D2"/>
    <w:rsid w:val="00861C77"/>
    <w:rsid w:val="008B48B9"/>
    <w:rsid w:val="008D061A"/>
    <w:rsid w:val="00913AC9"/>
    <w:rsid w:val="00922E88"/>
    <w:rsid w:val="00925F36"/>
    <w:rsid w:val="00937563"/>
    <w:rsid w:val="00997412"/>
    <w:rsid w:val="009A1688"/>
    <w:rsid w:val="009E3962"/>
    <w:rsid w:val="00A31D45"/>
    <w:rsid w:val="00A70AC3"/>
    <w:rsid w:val="00A93704"/>
    <w:rsid w:val="00AB2AAC"/>
    <w:rsid w:val="00AB482D"/>
    <w:rsid w:val="00AE1907"/>
    <w:rsid w:val="00AE1B22"/>
    <w:rsid w:val="00AE7F3F"/>
    <w:rsid w:val="00B112F5"/>
    <w:rsid w:val="00B114F3"/>
    <w:rsid w:val="00B11B9D"/>
    <w:rsid w:val="00B30492"/>
    <w:rsid w:val="00B52C5A"/>
    <w:rsid w:val="00B5528A"/>
    <w:rsid w:val="00B65EA4"/>
    <w:rsid w:val="00B848FF"/>
    <w:rsid w:val="00BB46B9"/>
    <w:rsid w:val="00BD5251"/>
    <w:rsid w:val="00C3494B"/>
    <w:rsid w:val="00C42A5C"/>
    <w:rsid w:val="00C43B19"/>
    <w:rsid w:val="00C64A47"/>
    <w:rsid w:val="00C7472E"/>
    <w:rsid w:val="00C826C4"/>
    <w:rsid w:val="00C836EE"/>
    <w:rsid w:val="00C878F2"/>
    <w:rsid w:val="00C93352"/>
    <w:rsid w:val="00D26946"/>
    <w:rsid w:val="00D31F9E"/>
    <w:rsid w:val="00D41A73"/>
    <w:rsid w:val="00D43E89"/>
    <w:rsid w:val="00D5126B"/>
    <w:rsid w:val="00D84ADD"/>
    <w:rsid w:val="00DA341C"/>
    <w:rsid w:val="00DC1718"/>
    <w:rsid w:val="00DE31A1"/>
    <w:rsid w:val="00DE7D5B"/>
    <w:rsid w:val="00E02EE8"/>
    <w:rsid w:val="00E04008"/>
    <w:rsid w:val="00E105A2"/>
    <w:rsid w:val="00E22059"/>
    <w:rsid w:val="00E4106C"/>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725C8"/>
    <w:rsid w:val="00F72AFF"/>
    <w:rsid w:val="00F75A60"/>
    <w:rsid w:val="00F951B7"/>
    <w:rsid w:val="00F951FE"/>
    <w:rsid w:val="00FA3ACC"/>
    <w:rsid w:val="00FA5A21"/>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1A1841"/>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1A1841"/>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40</Pages>
  <Words>9346</Words>
  <Characters>53274</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khalikova_03@mail.ru</cp:lastModifiedBy>
  <cp:revision>18</cp:revision>
  <dcterms:created xsi:type="dcterms:W3CDTF">2026-03-19T16:46:00Z</dcterms:created>
  <dcterms:modified xsi:type="dcterms:W3CDTF">2026-03-20T10:33:00Z</dcterms:modified>
</cp:coreProperties>
</file>