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532.299988pt;margin-top:792.399963pt;width:36pt;height:27.4pt;mso-position-horizontal-relative:page;mso-position-vertical-relative:page;z-index:-253465600" filled="false" stroked="true" strokeweight=".75pt" strokecolor="#737373">
            <v:stroke dashstyl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91"/>
        <w:ind w:left="410" w:right="819" w:firstLine="0"/>
        <w:jc w:val="center"/>
        <w:rPr>
          <w:rFonts w:ascii="微软雅黑" w:eastAsia="微软雅黑" w:hint="eastAsia"/>
          <w:b/>
          <w:sz w:val="55"/>
        </w:rPr>
      </w:pPr>
      <w:r>
        <w:rPr>
          <w:rFonts w:ascii="微软雅黑" w:eastAsia="微软雅黑" w:hint="eastAsia"/>
          <w:b/>
          <w:sz w:val="55"/>
        </w:rPr>
        <w:t>北京尚学堂软件开发常用词汇表</w:t>
      </w:r>
    </w:p>
    <w:p>
      <w:pPr>
        <w:spacing w:before="246"/>
        <w:ind w:left="406" w:right="819" w:firstLine="0"/>
        <w:jc w:val="center"/>
        <w:rPr>
          <w:rFonts w:ascii="微软雅黑"/>
          <w:b/>
          <w:sz w:val="37"/>
        </w:rPr>
      </w:pPr>
      <w:hyperlink r:id="rId7">
        <w:r>
          <w:rPr>
            <w:rFonts w:ascii="微软雅黑"/>
            <w:b/>
            <w:sz w:val="37"/>
          </w:rPr>
          <w:t>www.bjsxt.com</w:t>
        </w:r>
      </w:hyperlink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3298807</wp:posOffset>
            </wp:positionH>
            <wp:positionV relativeFrom="paragraph">
              <wp:posOffset>242141</wp:posOffset>
            </wp:positionV>
            <wp:extent cx="904874" cy="9048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6"/>
        </w:rPr>
      </w:pPr>
    </w:p>
    <w:p>
      <w:pPr>
        <w:pStyle w:val="BodyText"/>
        <w:spacing w:line="386" w:lineRule="auto" w:before="46"/>
        <w:ind w:left="120" w:right="524" w:firstLine="422"/>
        <w:jc w:val="both"/>
      </w:pPr>
      <w:r>
        <w:rPr/>
        <w:drawing>
          <wp:anchor distT="0" distB="0" distL="0" distR="0" allowOverlap="1" layoutInCell="1" locked="0" behindDoc="1" simplePos="0" relativeHeight="249849856">
            <wp:simplePos x="0" y="0"/>
            <wp:positionH relativeFrom="page">
              <wp:posOffset>1299322</wp:posOffset>
            </wp:positionH>
            <wp:positionV relativeFrom="paragraph">
              <wp:posOffset>591343</wp:posOffset>
            </wp:positionV>
            <wp:extent cx="4864758" cy="100758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758" cy="10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>本词汇表汇集了软件开发编程中常见的词汇，为尚学堂学员孙 </w:t>
      </w:r>
      <w:r>
        <w:rPr/>
        <w:t>BO</w:t>
      </w:r>
      <w:r>
        <w:rPr>
          <w:spacing w:val="-7"/>
        </w:rPr>
        <w:t> 同学整理。孙 </w:t>
      </w:r>
      <w:r>
        <w:rPr/>
        <w:t>BO 同</w:t>
      </w:r>
      <w:r>
        <w:rPr>
          <w:spacing w:val="-10"/>
        </w:rPr>
        <w:t>学坚持将自己在开发中碰到的词汇一一整理，彻底贯彻了高淇老师的”见一个消灭一个”的</w:t>
      </w:r>
      <w:r>
        <w:rPr>
          <w:spacing w:val="-5"/>
        </w:rPr>
        <w:t>原则。孙波同学早已实现了非常高质量的就业，现薪水三十万元(</w:t>
      </w:r>
      <w:r>
        <w:rPr/>
        <w:t>2014</w:t>
      </w:r>
      <w:r>
        <w:rPr>
          <w:spacing w:val="-4"/>
        </w:rPr>
        <w:t> 年水准)。</w:t>
      </w:r>
    </w:p>
    <w:p>
      <w:pPr>
        <w:pStyle w:val="BodyText"/>
        <w:spacing w:line="386" w:lineRule="auto" w:before="3"/>
        <w:ind w:left="120" w:right="525" w:firstLine="422"/>
        <w:jc w:val="both"/>
      </w:pPr>
      <w:r>
        <w:rPr>
          <w:spacing w:val="-6"/>
        </w:rPr>
        <w:t>现将之共享出来，供大家学习使用！本词汇表是 </w:t>
      </w:r>
      <w:r>
        <w:rPr/>
        <w:t>500</w:t>
      </w:r>
      <w:r>
        <w:rPr>
          <w:spacing w:val="-5"/>
        </w:rPr>
        <w:t> 常用词汇的升级版，总数约 </w:t>
      </w:r>
      <w:r>
        <w:rPr/>
        <w:t>1800 </w:t>
      </w:r>
      <w:r>
        <w:rPr>
          <w:spacing w:val="-3"/>
        </w:rPr>
        <w:t>个。 据统计，基本覆盖常用开发词汇的 </w:t>
      </w:r>
      <w:r>
        <w:rPr/>
        <w:t>90</w:t>
      </w:r>
      <w:r>
        <w:rPr>
          <w:spacing w:val="-1"/>
        </w:rPr>
        <w:t>%， 望大家努力学习，更上一层楼！</w:t>
      </w:r>
    </w:p>
    <w:p>
      <w:pPr>
        <w:pStyle w:val="BodyText"/>
        <w:spacing w:before="12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463"/>
        <w:gridCol w:w="3602"/>
      </w:tblGrid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spacing w:line="292" w:lineRule="exact" w:before="0"/>
              <w:ind w:left="1085" w:right="1085"/>
              <w:jc w:val="center"/>
              <w:rPr>
                <w:rFonts w:ascii="微软雅黑" w:eastAsia="微软雅黑" w:hint="eastAsia"/>
                <w:b/>
                <w:sz w:val="22"/>
              </w:rPr>
            </w:pPr>
            <w:r>
              <w:rPr>
                <w:rFonts w:ascii="微软雅黑" w:eastAsia="微软雅黑" w:hint="eastAsia"/>
                <w:b/>
                <w:sz w:val="22"/>
              </w:rPr>
              <w:t>单词</w:t>
            </w:r>
          </w:p>
        </w:tc>
        <w:tc>
          <w:tcPr>
            <w:tcW w:w="2463" w:type="dxa"/>
          </w:tcPr>
          <w:p>
            <w:pPr>
              <w:pStyle w:val="TableParagraph"/>
              <w:spacing w:line="292" w:lineRule="exact" w:before="0"/>
              <w:ind w:left="988" w:right="985"/>
              <w:jc w:val="center"/>
              <w:rPr>
                <w:rFonts w:ascii="微软雅黑" w:eastAsia="微软雅黑" w:hint="eastAsia"/>
                <w:b/>
                <w:sz w:val="22"/>
              </w:rPr>
            </w:pPr>
            <w:r>
              <w:rPr>
                <w:rFonts w:ascii="微软雅黑" w:eastAsia="微软雅黑" w:hint="eastAsia"/>
                <w:b/>
                <w:sz w:val="22"/>
              </w:rPr>
              <w:t>音标</w:t>
            </w:r>
          </w:p>
        </w:tc>
        <w:tc>
          <w:tcPr>
            <w:tcW w:w="3602" w:type="dxa"/>
          </w:tcPr>
          <w:p>
            <w:pPr>
              <w:pStyle w:val="TableParagraph"/>
              <w:spacing w:line="292" w:lineRule="exact" w:before="0"/>
              <w:ind w:left="1556" w:right="1556"/>
              <w:jc w:val="center"/>
              <w:rPr>
                <w:rFonts w:ascii="微软雅黑" w:eastAsia="微软雅黑" w:hint="eastAsia"/>
                <w:b/>
                <w:sz w:val="22"/>
              </w:rPr>
            </w:pPr>
            <w:r>
              <w:rPr>
                <w:rFonts w:ascii="微软雅黑" w:eastAsia="微软雅黑" w:hint="eastAsia"/>
                <w:b/>
                <w:sz w:val="22"/>
              </w:rPr>
              <w:t>注释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collection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一组…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couple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几个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kind of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一种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number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许多…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point in time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n.时间点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a set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一组…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series of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一系列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ability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n.能力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absence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æbs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n.缺席，不存在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absolute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æbs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lu:t]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adj.绝对的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æbstrækt]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adj.抽象的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[æb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stræk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n.抽象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access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ækses]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v.访问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accessed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adj.访问的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960" w:footer="550" w:top="1380" w:bottom="740" w:left="1680" w:right="126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463"/>
        <w:gridCol w:w="3602"/>
      </w:tblGrid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ses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bl]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adj.可访问的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accessor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ækses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n.访问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accidental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æks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dentl]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adj.意外的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accommodate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'k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de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v.容纳，适应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accompany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'k</w:t>
            </w:r>
            <w:r>
              <w:rPr>
                <w:rFonts w:ascii="MS Gothic" w:hAnsi="MS Gothic"/>
                <w:sz w:val="22"/>
              </w:rPr>
              <w:t>ʌ</w:t>
            </w:r>
            <w:r>
              <w:rPr>
                <w:sz w:val="22"/>
              </w:rPr>
              <w:t>mp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v.陪同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accomplish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'k</w:t>
            </w:r>
            <w:r>
              <w:rPr>
                <w:rFonts w:ascii="MS Gothic" w:hAnsi="MS Gothic"/>
                <w:sz w:val="22"/>
              </w:rPr>
              <w:t>ʌ</w:t>
            </w:r>
            <w:r>
              <w:rPr>
                <w:sz w:val="22"/>
              </w:rPr>
              <w:t>mpl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v.完成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accordion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:di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adj.可折叠的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account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'ka</w:t>
            </w:r>
            <w:r>
              <w:rPr>
                <w:rFonts w:ascii="MS Gothic" w:hAnsi="MS Gothic"/>
                <w:sz w:val="22"/>
              </w:rPr>
              <w:t>ʊ</w:t>
            </w:r>
            <w:r>
              <w:rPr>
                <w:sz w:val="22"/>
              </w:rPr>
              <w:t>nt]</w:t>
            </w:r>
          </w:p>
        </w:tc>
        <w:tc>
          <w:tcPr>
            <w:tcW w:w="360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accountable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ka</w:t>
            </w:r>
            <w:r>
              <w:rPr>
                <w:rFonts w:ascii="MS Gothic" w:hAnsi="MS Gothic"/>
                <w:sz w:val="22"/>
              </w:rPr>
              <w:t>ʊ</w:t>
            </w:r>
            <w:r>
              <w:rPr>
                <w:sz w:val="22"/>
              </w:rPr>
              <w:t>nt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bl]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adj.负有责任的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accumulate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'kju:mj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le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v.累积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accurate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ækj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adj.精确的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 as…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v.充当…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</w:t>
            </w:r>
            <w:r>
              <w:rPr>
                <w:rFonts w:ascii="MS Gothic" w:hAnsi="MS Gothic"/>
                <w:sz w:val="22"/>
              </w:rPr>
              <w:t>ʃə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n.操作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activation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ækt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've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n.激活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active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adj.活跃的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actively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['ækt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vl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adv.主动地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actual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ækt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u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adj.真实的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actually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ækt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u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li]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adv.实际上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across…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在…间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adaptation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ædæp'te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n.改编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adapter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dæpt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n.适配器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[æd]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v.增加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adequate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æd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kw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adj.足够的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addition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d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n.加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additional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'd</w:t>
            </w:r>
            <w:r>
              <w:rPr>
                <w:rFonts w:ascii="MS Gothic" w:hAnsi="MS Gothic"/>
                <w:sz w:val="22"/>
              </w:rPr>
              <w:t>ɪʃə</w:t>
            </w:r>
            <w:r>
              <w:rPr>
                <w:sz w:val="22"/>
              </w:rPr>
              <w:t>nl]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adj.附加的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dres]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n.地址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adjacent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d</w:t>
            </w:r>
            <w:r>
              <w:rPr>
                <w:rFonts w:ascii="MS Gothic" w:hAnsi="MS Gothic"/>
                <w:sz w:val="22"/>
              </w:rPr>
              <w:t>ʒ</w:t>
            </w:r>
            <w:r>
              <w:rPr>
                <w:sz w:val="22"/>
              </w:rPr>
              <w:t>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snt]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adj.邻近的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adjust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'd</w:t>
            </w:r>
            <w:r>
              <w:rPr>
                <w:rFonts w:ascii="MS Gothic" w:hAnsi="MS Gothic"/>
                <w:sz w:val="22"/>
              </w:rPr>
              <w:t>ʒʌ</w:t>
            </w:r>
            <w:r>
              <w:rPr>
                <w:sz w:val="22"/>
              </w:rPr>
              <w:t>st]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v.调整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advance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d'vɑ:ns]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v.提前，向前一步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advance..past..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将…移至…后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advise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d'va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z]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v.建议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affect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'fekt]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v.影响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ahead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hed]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adv.预先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alert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'l</w:t>
            </w:r>
            <w:r>
              <w:rPr>
                <w:rFonts w:ascii="MS Gothic" w:hAnsi="MS Gothic"/>
                <w:sz w:val="22"/>
              </w:rPr>
              <w:t>ɜ</w:t>
            </w:r>
            <w:r>
              <w:rPr>
                <w:sz w:val="22"/>
              </w:rPr>
              <w:t>:t]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v.警示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alias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li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n.别名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align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la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v.对齐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algorithm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09"/>
              <w:rPr>
                <w:sz w:val="22"/>
              </w:rPr>
            </w:pPr>
            <w:r>
              <w:rPr>
                <w:sz w:val="22"/>
              </w:rPr>
              <w:t>['ælɡ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ð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m]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n.算法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allocate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['æl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ke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v.分配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allocation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æl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ke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n.分配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alow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v.支持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allowable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la</w:t>
            </w:r>
            <w:r>
              <w:rPr>
                <w:rFonts w:ascii="MS Gothic" w:hAnsi="MS Gothic"/>
                <w:sz w:val="22"/>
              </w:rPr>
              <w:t>ʊə</w:t>
            </w:r>
            <w:r>
              <w:rPr>
                <w:sz w:val="22"/>
              </w:rPr>
              <w:t>bl]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adj.允许的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alone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un]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adj.单独的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along with…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以及…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49851904">
            <wp:simplePos x="0" y="0"/>
            <wp:positionH relativeFrom="page">
              <wp:posOffset>1299322</wp:posOffset>
            </wp:positionH>
            <wp:positionV relativeFrom="page">
              <wp:posOffset>4919780</wp:posOffset>
            </wp:positionV>
            <wp:extent cx="4854509" cy="1005459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09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32.299988pt;margin-top:792.399963pt;width:36pt;height:27.4pt;mso-position-horizontal-relative:page;mso-position-vertical-relative:page;z-index:251662336" filled="false" stroked="true" strokeweight=".75pt" strokecolor="#737373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960" w:footer="550" w:top="1440" w:bottom="740" w:left="1680" w:right="12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463"/>
        <w:gridCol w:w="3602"/>
      </w:tblGrid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alphabetical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ælf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bet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adj.字母的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alphanumeric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ælf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nju: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mer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adj.字母数字式的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already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:l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red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adv.已经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alter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:lt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v.更改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alternate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:lt</w:t>
            </w:r>
            <w:r>
              <w:rPr>
                <w:rFonts w:ascii="MS Gothic" w:hAnsi="MS Gothic"/>
                <w:sz w:val="22"/>
              </w:rPr>
              <w:t>ɜ</w:t>
            </w:r>
            <w:r>
              <w:rPr>
                <w:sz w:val="22"/>
              </w:rPr>
              <w:t>:n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v.交替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alternative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:l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ɜ</w:t>
            </w:r>
            <w:r>
              <w:rPr>
                <w:sz w:val="22"/>
              </w:rPr>
              <w:t>:n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n.选择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ambiguity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æmb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'ɡju: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n.含糊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ambiguous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[æm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gju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adj.含糊的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among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ʌŋ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prep.在…中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amongst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'm</w:t>
            </w:r>
            <w:r>
              <w:rPr>
                <w:rFonts w:ascii="MS Gothic" w:hAnsi="MS Gothic"/>
                <w:sz w:val="22"/>
              </w:rPr>
              <w:t>ʌŋ</w:t>
            </w:r>
            <w:r>
              <w:rPr>
                <w:sz w:val="22"/>
              </w:rPr>
              <w:t>st]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prep.在…之内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amortized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:ta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zd]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adj.分期的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amount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'ma</w:t>
            </w:r>
            <w:r>
              <w:rPr>
                <w:rFonts w:ascii="MS Gothic" w:hAnsi="MS Gothic"/>
                <w:sz w:val="22"/>
              </w:rPr>
              <w:t>ʊ</w:t>
            </w:r>
            <w:r>
              <w:rPr>
                <w:sz w:val="22"/>
              </w:rPr>
              <w:t>nt]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n.数量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analysis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næl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n.分析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ancestor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['ænsest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n.祖先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anchor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['æ</w:t>
            </w:r>
            <w:r>
              <w:rPr>
                <w:rFonts w:ascii="Cambria" w:hAnsi="Cambria"/>
                <w:sz w:val="22"/>
              </w:rPr>
              <w:t>ŋ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n.锚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angel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nd</w:t>
            </w:r>
            <w:r>
              <w:rPr>
                <w:rFonts w:ascii="MS Gothic" w:hAnsi="MS Gothic"/>
                <w:sz w:val="22"/>
              </w:rPr>
              <w:t>ʒ</w:t>
            </w:r>
            <w:r>
              <w:rPr>
                <w:sz w:val="22"/>
              </w:rPr>
              <w:t>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n.天使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animate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['æn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me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adj.生气勃勃的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annotated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['æn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adj.注解的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annotation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æn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u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te</w:t>
            </w:r>
            <w:r>
              <w:rPr>
                <w:rFonts w:ascii="MS Gothic" w:hAnsi="MS Gothic"/>
                <w:sz w:val="22"/>
              </w:rPr>
              <w:t>ɪʃə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n.注解 @…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anonymous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n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n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adj.匿名的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[ænt]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n.蚂蚁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appearance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p</w:t>
            </w:r>
            <w:r>
              <w:rPr>
                <w:rFonts w:ascii="MS Gothic" w:hAnsi="MS Gothic"/>
                <w:sz w:val="22"/>
              </w:rPr>
              <w:t>ɪə</w:t>
            </w:r>
            <w:r>
              <w:rPr>
                <w:sz w:val="22"/>
              </w:rPr>
              <w:t>r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n.外表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append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pend]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v.追加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applicable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pl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bl]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adj.适当的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æpl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ke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n.应用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application-specific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adj.应用程序特定的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'pla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v.应用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apply 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适用于…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appropriate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'pr</w:t>
            </w:r>
            <w:r>
              <w:rPr>
                <w:rFonts w:ascii="MS Gothic" w:hAnsi="MS Gothic"/>
                <w:sz w:val="22"/>
              </w:rPr>
              <w:t>əʊ</w:t>
            </w:r>
            <w:r>
              <w:rPr>
                <w:sz w:val="22"/>
              </w:rPr>
              <w:t>pr</w:t>
            </w:r>
            <w:r>
              <w:rPr>
                <w:rFonts w:ascii="MS Gothic" w:hAnsi="MS Gothic"/>
                <w:sz w:val="22"/>
              </w:rPr>
              <w:t>ɪə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adj.适当的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appropriately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[]</w:t>
            </w:r>
          </w:p>
        </w:tc>
        <w:tc>
          <w:tcPr>
            <w:tcW w:w="360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approximate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'pr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ks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adj.近似的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approximately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pr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ks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tli]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adv.近似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approximation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əˌ</w:t>
            </w:r>
            <w:r>
              <w:rPr>
                <w:sz w:val="22"/>
              </w:rPr>
              <w:t>pr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ks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me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n.近似值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arbitrary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ɑ:bitr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ri]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adj.任意的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architecture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ɑ:k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tekt</w:t>
            </w:r>
            <w:r>
              <w:rPr>
                <w:rFonts w:ascii="MS Gothic" w:hAnsi="MS Gothic"/>
                <w:sz w:val="22"/>
              </w:rPr>
              <w:t>ʃə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n.架构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archive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['ɑ:ka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n.档案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area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ε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</w:t>
            </w:r>
            <w:r>
              <w:rPr>
                <w:rFonts w:ascii="MS Gothic" w:hAnsi="MS Gothic"/>
                <w:sz w:val="22"/>
              </w:rPr>
              <w:t>ɪə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n.面积；范围；区域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argument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a:gjum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nt]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n.参数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arise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'ra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z]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v.产生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arithmetic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r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θm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n.算术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around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'ra</w:t>
            </w:r>
            <w:r>
              <w:rPr>
                <w:rFonts w:ascii="MS Gothic" w:hAnsi="MS Gothic"/>
                <w:sz w:val="22"/>
              </w:rPr>
              <w:t>ʊ</w:t>
            </w:r>
            <w:r>
              <w:rPr>
                <w:sz w:val="22"/>
              </w:rPr>
              <w:t>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v.根据 prep.在…周围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arrange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're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nd</w:t>
            </w:r>
            <w:r>
              <w:rPr>
                <w:rFonts w:ascii="MS Gothic" w:hAnsi="MS Gothic"/>
                <w:sz w:val="22"/>
              </w:rPr>
              <w:t>ʒ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v.安排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re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n.数组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49853952">
            <wp:simplePos x="0" y="0"/>
            <wp:positionH relativeFrom="page">
              <wp:posOffset>1299322</wp:posOffset>
            </wp:positionH>
            <wp:positionV relativeFrom="page">
              <wp:posOffset>4919780</wp:posOffset>
            </wp:positionV>
            <wp:extent cx="4854509" cy="1005459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09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32.299988pt;margin-top:792.399963pt;width:36pt;height:27.4pt;mso-position-horizontal-relative:page;mso-position-vertical-relative:page;z-index:251664384" filled="false" stroked="true" strokeweight=".75pt" strokecolor="#737373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960" w:footer="550" w:top="1440" w:bottom="740" w:left="1680" w:right="12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463"/>
        <w:gridCol w:w="3602"/>
      </w:tblGrid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a result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由于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by…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如通过…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follows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如下所示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if…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正如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long as...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只要…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as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从…开始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necessary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根据需要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soon as…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一旦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关于…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with…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和…一样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ascend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'send]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v.上升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ascending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'send</w:t>
            </w:r>
            <w:r>
              <w:rPr>
                <w:rFonts w:ascii="MS Gothic" w:hAnsi="MS Gothic"/>
                <w:sz w:val="22"/>
              </w:rPr>
              <w:t>ɪŋ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adj.上升的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for…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类似于…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much as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差不多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necessary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根据需要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 well as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以及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aspect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æspekt]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n.方面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assertion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ɜːʃ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n.断言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sa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v.分配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assigned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'sa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adj.指定的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assign…to…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将…分配给…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assignment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'sa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n.赋值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assist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's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v.帮助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associate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u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ieit]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v.关联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associated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əʊʃ</w:t>
            </w:r>
            <w:r>
              <w:rPr>
                <w:sz w:val="22"/>
              </w:rPr>
              <w:t>ie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adj.相关的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associated with…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与…相关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əˌ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əʊʃɪ</w:t>
            </w:r>
            <w:r>
              <w:rPr>
                <w:sz w:val="22"/>
              </w:rPr>
              <w:t>'e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n.关联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assume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sju:m]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v.认为，假定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assure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</w:t>
            </w:r>
            <w:r>
              <w:rPr>
                <w:rFonts w:ascii="MS Gothic" w:hAnsi="MS Gothic"/>
                <w:sz w:val="22"/>
              </w:rPr>
              <w:t>ʃʊə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v.确定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asynchronous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[e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ɪŋ</w:t>
            </w:r>
            <w:r>
              <w:rPr>
                <w:sz w:val="22"/>
              </w:rPr>
              <w:t>kr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adj.异步的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as large as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等于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 least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至少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 most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至多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 once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adv.同时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 the same time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同一时间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athlete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æθli:t]</w:t>
            </w:r>
          </w:p>
        </w:tc>
        <w:tc>
          <w:tcPr>
            <w:tcW w:w="360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2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atomic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't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k]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adj.原子的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atomically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't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kl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adv.不可分地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attach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[]</w:t>
            </w:r>
          </w:p>
        </w:tc>
        <w:tc>
          <w:tcPr>
            <w:tcW w:w="360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attachment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tæt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m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n.附件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attempt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tempt]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v.尝试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attempt 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v.尝试…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attribute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tr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bju:t]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n.属性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49856000">
            <wp:simplePos x="0" y="0"/>
            <wp:positionH relativeFrom="page">
              <wp:posOffset>1299322</wp:posOffset>
            </wp:positionH>
            <wp:positionV relativeFrom="page">
              <wp:posOffset>4919780</wp:posOffset>
            </wp:positionV>
            <wp:extent cx="4854509" cy="1005459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09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32.299988pt;margin-top:792.399963pt;width:36pt;height:27.4pt;mso-position-horizontal-relative:page;mso-position-vertical-relative:page;z-index:251666432" filled="false" stroked="true" strokeweight=".75pt" strokecolor="#737373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960" w:footer="550" w:top="1440" w:bottom="740" w:left="1680" w:right="12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463"/>
        <w:gridCol w:w="3602"/>
      </w:tblGrid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auditing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:d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</w:t>
            </w:r>
            <w:r>
              <w:rPr>
                <w:rFonts w:ascii="MS Gothic" w:hAnsi="MS Gothic"/>
                <w:sz w:val="22"/>
              </w:rPr>
              <w:t>ɪŋ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n.审计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authentication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ɔ</w:t>
            </w:r>
            <w:r>
              <w:rPr>
                <w:sz w:val="22"/>
              </w:rPr>
              <w:t>: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θent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'ke</w:t>
            </w:r>
            <w:r>
              <w:rPr>
                <w:rFonts w:ascii="MS Gothic" w:hAnsi="MS Gothic"/>
                <w:sz w:val="22"/>
              </w:rPr>
              <w:t>ɪʃ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n.身份验证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ˈɔ</w:t>
            </w:r>
            <w:r>
              <w:rPr>
                <w:sz w:val="22"/>
              </w:rPr>
              <w:t>:θ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n.作者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authorize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ˈɔ</w:t>
            </w:r>
            <w:r>
              <w:rPr>
                <w:sz w:val="22"/>
              </w:rPr>
              <w:t>:θ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z]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v.授权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authorized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ˈɔ</w:t>
            </w:r>
            <w:r>
              <w:rPr>
                <w:sz w:val="22"/>
              </w:rPr>
              <w:t>:θ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ra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zd]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adj.经授权的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autoboxing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n.自动装箱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automatic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ˌɔ</w:t>
            </w:r>
            <w:r>
              <w:rPr>
                <w:sz w:val="22"/>
              </w:rPr>
              <w:t>:t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'mæt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adj.自动的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automatically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ˌɔ</w:t>
            </w:r>
            <w:r>
              <w:rPr>
                <w:sz w:val="22"/>
              </w:rPr>
              <w:t>:t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mæt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l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adv.自动地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available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ve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bl]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adj.可用的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avoid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v</w:t>
            </w:r>
            <w:r>
              <w:rPr>
                <w:rFonts w:ascii="MS Gothic" w:hAnsi="MS Gothic"/>
                <w:sz w:val="22"/>
              </w:rPr>
              <w:t>ɔɪ</w:t>
            </w:r>
            <w:r>
              <w:rPr>
                <w:sz w:val="22"/>
              </w:rPr>
              <w:t>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v.避免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awaken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'we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v.唤醒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awakened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adj.已唤醒的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aware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w</w:t>
            </w:r>
            <w:r>
              <w:rPr>
                <w:rFonts w:ascii="MS Gothic" w:hAnsi="MS Gothic"/>
                <w:sz w:val="22"/>
              </w:rPr>
              <w:t>ɛə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adj.意识到的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[bæk]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v.后退，支持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backend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n.后端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background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bækgraund]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n.背景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backing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bæk</w:t>
            </w:r>
            <w:r>
              <w:rPr>
                <w:rFonts w:ascii="MS Gothic" w:hAnsi="MS Gothic"/>
                <w:sz w:val="22"/>
              </w:rPr>
              <w:t>ɪŋ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adj.底层的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backslash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bækslæ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n.反斜杠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backspace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bækspe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n.退格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backward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bækw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adv.向后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bæl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ns]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v.(使)平衡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[bɑ:]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n.栏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base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v.基于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['be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s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k]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adj.基本的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beautification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bju:t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f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'ke</w:t>
            </w:r>
            <w:r>
              <w:rPr>
                <w:rFonts w:ascii="MS Gothic" w:hAnsi="MS Gothic"/>
                <w:sz w:val="22"/>
              </w:rPr>
              <w:t>ɪʃə</w:t>
            </w:r>
            <w:r>
              <w:rPr>
                <w:sz w:val="22"/>
              </w:rPr>
              <w:t>n]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n.美化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begin with…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以…开头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beginning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g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n</w:t>
            </w:r>
            <w:r>
              <w:rPr>
                <w:rFonts w:ascii="MS Gothic" w:hAnsi="MS Gothic"/>
                <w:sz w:val="22"/>
              </w:rPr>
              <w:t>ɪŋ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n.头部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behavior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'he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vj</w:t>
            </w:r>
            <w:r>
              <w:rPr>
                <w:rFonts w:ascii="MS Gothic" w:hAnsi="MS Gothic"/>
                <w:sz w:val="22"/>
              </w:rPr>
              <w:t>ə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n.行为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best-effort basis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尽最大努力原则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batch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[bæt</w:t>
            </w:r>
            <w:r>
              <w:rPr>
                <w:rFonts w:ascii="MS Gothic" w:hAnsi="MS Gothic"/>
                <w:sz w:val="22"/>
              </w:rPr>
              <w:t>ʃ</w:t>
            </w:r>
            <w:r>
              <w:rPr>
                <w:sz w:val="22"/>
              </w:rPr>
              <w:t>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n.一批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be all about…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是关于…</w:t>
            </w:r>
          </w:p>
        </w:tc>
      </w:tr>
      <w:tr>
        <w:trPr>
          <w:trHeight w:val="312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 aware 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意识到…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 of…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属于…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 subject to…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服从…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 taken to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被用于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 up to</w:t>
            </w:r>
          </w:p>
        </w:tc>
        <w:tc>
          <w:tcPr>
            <w:tcW w:w="246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取决于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bean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09"/>
              <w:rPr>
                <w:sz w:val="22"/>
              </w:rPr>
            </w:pPr>
            <w:r>
              <w:rPr>
                <w:sz w:val="22"/>
              </w:rPr>
              <w:t>[b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:n]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rPr>
                <w:sz w:val="22"/>
              </w:rPr>
            </w:pPr>
            <w:r>
              <w:rPr>
                <w:sz w:val="22"/>
              </w:rPr>
              <w:t>n.豆</w:t>
            </w:r>
          </w:p>
        </w:tc>
      </w:tr>
      <w:tr>
        <w:trPr>
          <w:trHeight w:val="309" w:hRule="atLeast"/>
        </w:trPr>
        <w:tc>
          <w:tcPr>
            <w:tcW w:w="2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behalf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[bi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hɑ:f]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behave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</w:t>
            </w:r>
            <w:r>
              <w:rPr>
                <w:rFonts w:ascii="MS Gothic" w:hAnsi="MS Gothic"/>
                <w:sz w:val="22"/>
              </w:rPr>
              <w:t>ɪˈ</w:t>
            </w:r>
            <w:r>
              <w:rPr>
                <w:sz w:val="22"/>
              </w:rPr>
              <w:t>he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v]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v.表现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benefit from…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ˈ</w:t>
            </w:r>
            <w:r>
              <w:rPr>
                <w:sz w:val="22"/>
              </w:rPr>
              <w:t>ben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f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t]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受益于…</w:t>
            </w:r>
          </w:p>
        </w:tc>
      </w:tr>
      <w:tr>
        <w:trPr>
          <w:trHeight w:val="311" w:hRule="atLeast"/>
        </w:trPr>
        <w:tc>
          <w:tcPr>
            <w:tcW w:w="2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beyond</w:t>
            </w:r>
          </w:p>
        </w:tc>
        <w:tc>
          <w:tcPr>
            <w:tcW w:w="246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[b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'j</w:t>
            </w:r>
            <w:r>
              <w:rPr>
                <w:rFonts w:ascii="MS Gothic" w:hAnsi="MS Gothic"/>
                <w:sz w:val="22"/>
              </w:rPr>
              <w:t>ɒ</w:t>
            </w:r>
            <w:r>
              <w:rPr>
                <w:sz w:val="22"/>
              </w:rPr>
              <w:t>nd]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prep.超出</w:t>
            </w:r>
          </w:p>
        </w:tc>
      </w:tr>
      <w:tr>
        <w:trPr>
          <w:trHeight w:val="311" w:hRule="atLeast"/>
        </w:trPr>
        <w:tc>
          <w:tcPr>
            <w:tcW w:w="5124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beyond the fact that…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跨过这个事实就是…</w:t>
            </w:r>
          </w:p>
        </w:tc>
      </w:tr>
      <w:tr>
        <w:trPr>
          <w:trHeight w:val="316" w:hRule="atLeast"/>
        </w:trPr>
        <w:tc>
          <w:tcPr>
            <w:tcW w:w="2661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bidirectional</w:t>
            </w:r>
          </w:p>
        </w:tc>
        <w:tc>
          <w:tcPr>
            <w:tcW w:w="2463" w:type="dxa"/>
          </w:tcPr>
          <w:p>
            <w:pPr>
              <w:pStyle w:val="TableParagraph"/>
              <w:spacing w:before="20"/>
              <w:ind w:left="109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ascii="MS Gothic" w:hAnsi="MS Gothic"/>
                <w:sz w:val="22"/>
              </w:rPr>
              <w:t>ˌ</w:t>
            </w:r>
            <w:r>
              <w:rPr>
                <w:sz w:val="22"/>
              </w:rPr>
              <w:t>ba</w:t>
            </w:r>
            <w:r>
              <w:rPr>
                <w:rFonts w:ascii="MS Gothic" w:hAnsi="MS Gothic"/>
                <w:sz w:val="22"/>
              </w:rPr>
              <w:t>ɪ</w:t>
            </w:r>
            <w:r>
              <w:rPr>
                <w:sz w:val="22"/>
              </w:rPr>
              <w:t>d</w:t>
            </w:r>
            <w:r>
              <w:rPr>
                <w:rFonts w:ascii="MS Gothic" w:hAnsi="MS Gothic"/>
                <w:sz w:val="22"/>
              </w:rPr>
              <w:t>əˈ</w:t>
            </w:r>
            <w:r>
              <w:rPr>
                <w:sz w:val="22"/>
              </w:rPr>
              <w:t>rek</w:t>
            </w:r>
            <w:r>
              <w:rPr>
                <w:rFonts w:ascii="MS Gothic" w:hAnsi="MS Gothic"/>
                <w:sz w:val="22"/>
              </w:rPr>
              <w:t>ʃə</w:t>
            </w:r>
            <w:r>
              <w:rPr>
                <w:sz w:val="22"/>
              </w:rPr>
              <w:t>nl]</w:t>
            </w:r>
          </w:p>
        </w:tc>
        <w:tc>
          <w:tcPr>
            <w:tcW w:w="360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adj.双向的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49858048">
            <wp:simplePos x="0" y="0"/>
            <wp:positionH relativeFrom="page">
              <wp:posOffset>1299322</wp:posOffset>
            </wp:positionH>
            <wp:positionV relativeFrom="page">
              <wp:posOffset>4919780</wp:posOffset>
            </wp:positionV>
            <wp:extent cx="4854509" cy="1005459"/>
            <wp:effectExtent l="0" t="0" r="0" b="0"/>
            <wp:wrapNone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09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32.299988pt;margin-top:792.399963pt;width:36pt;height:27.4pt;mso-position-horizontal-relative:page;mso-position-vertical-relative:page;z-index:251668480" filled="false" stroked="true" strokeweight=".75pt" strokecolor="#737373">
            <v:stroke dashstyle="solid"/>
            <w10:wrap type="none"/>
          </v:rect>
        </w:pict>
      </w:r>
    </w:p>
    <w:sectPr>
      <w:pgSz w:w="11910" w:h="16840"/>
      <w:pgMar w:header="960" w:footer="550" w:top="1440" w:bottom="74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MS Gothic">
    <w:altName w:val="MS Gothic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30.244995pt;margin-top:789.72998pt;width:40.15pt;height:32.75pt;mso-position-horizontal-relative:page;mso-position-vertical-relative:page;z-index:-253466624" coordorigin="10605,15795" coordsize="803,655">
          <v:shape style="position:absolute;left:10617;top:15809;width:777;height:626" coordorigin="10618,15809" coordsize="777,626" path="m10679,16435l11394,16354,11333,15809,10618,15890,10679,16435xe" filled="false" stroked="true" strokeweight=".75pt" strokecolor="#737373">
            <v:path arrowok="t"/>
            <v:stroke dashstyle="solid"/>
          </v:shape>
          <v:shape style="position:absolute;left:10612;top:15802;width:788;height:640" coordorigin="10612,15802" coordsize="788,640" path="m10686,15802l10612,16345,11326,16442,11400,15899,10686,15802xe" filled="true" fillcolor="#ffffff" stroked="false">
            <v:path arrowok="t"/>
            <v:fill type="solid"/>
          </v:shape>
          <v:shape style="position:absolute;left:10612;top:15802;width:788;height:640" coordorigin="10612,15802" coordsize="788,640" path="m10612,16345l11326,16442,11400,15899,10686,15802,10612,16345xe" filled="false" stroked="true" strokeweight=".75pt" strokecolor="#737373">
            <v:path arrowok="t"/>
            <v:stroke dashstyle="solid"/>
          </v:shape>
          <v:rect style="position:absolute;left:10646;top:15848;width:720;height:548" filled="true" fillcolor="#ffffff" stroked="false">
            <v:fill type="solid"/>
          </v:rect>
          <v:rect style="position:absolute;left:10646;top:15848;width:720;height:548" filled="false" stroked="true" strokeweight=".75pt" strokecolor="#737373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380005pt;margin-top:799.409058pt;width:8.6pt;height:12.1pt;mso-position-horizontal-relative:page;mso-position-vertical-relative:page;z-index:-253465600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9848832">
          <wp:simplePos x="0" y="0"/>
          <wp:positionH relativeFrom="page">
            <wp:posOffset>1185582</wp:posOffset>
          </wp:positionH>
          <wp:positionV relativeFrom="page">
            <wp:posOffset>609327</wp:posOffset>
          </wp:positionV>
          <wp:extent cx="1336021" cy="27831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21" cy="278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5" w:line="277" w:lineRule="exact"/>
      <w:ind w:left="105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jsxt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dcterms:created xsi:type="dcterms:W3CDTF">2018-12-25T08:31:02Z</dcterms:created>
  <dcterms:modified xsi:type="dcterms:W3CDTF">2018-12-25T08:31:02Z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2018-12-25T00:00:00Z</vt:filetime>
  </property>
</Properties>
</file>