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Suite du workshop LAN en 30 minutes</w:t>
      </w:r>
    </w:p>
    <w:p>
      <w:pPr>
        <w:spacing w:after="60"/>
      </w:pPr>
      <w:r/>
      <w:r>
        <w:rPr>
          <w:b/>
          <w:color w:val="087E83"/>
          <w:sz w:val="22"/>
        </w:rPr>
        <w:t>Conducteur slide par slide et fiche de décisions</w:t>
      </w:r>
    </w:p>
    <w:p>
      <w:pPr>
        <w:spacing w:after="60"/>
      </w:pPr>
      <w:r>
        <w:t>Cette réunion poursuit l’échange commencé hier. Aujourd’hui, les Venue Managers sont présents pour confirmer ce qui peut réellement être collecté sur les sites. Objectif : clarifier la remontée quotidienne des informations opérationnelles vers le FCC et vérifier comment les indicateurs CIO seront recueillis pour les opérations et le rapport final. Le formulaire commun reste une option si un besoin validé n’est pas couvert.</w:t>
      </w:r>
    </w:p>
    <w:p>
      <w:pPr>
        <w:spacing w:after="60"/>
      </w:pPr>
      <w:r>
        <w:t>Ton rôle : tu es le facilitateur. Tu guides l’échange, fais préciser les réponses, notes les décisions et les points ouverts. Les responsables LAN, les Venue Managers et le counterpart CIO valident ensemble le contenu et les solutions; tu ne décides pas seul d’ajouter ou de remplacer un indicateur.</w:t>
      </w:r>
    </w:p>
    <w:tbl>
      <w:tblPr>
        <w:tblStyle w:val="TableGrid"/>
        <w:tblW w:type="auto" w:w="0"/>
        <w:jc w:val="center"/>
        <w:tblLayout w:type="fixed"/>
        <w:tblLook w:firstColumn="1" w:firstRow="1" w:lastColumn="0" w:lastRow="0" w:noHBand="0" w:noVBand="1" w:val="04A0"/>
      </w:tblPr>
      <w:tblGrid>
        <w:gridCol w:w="5227"/>
        <w:gridCol w:w="5227"/>
      </w:tblGrid>
      <w:tr>
        <w:tc>
          <w:tcPr>
            <w:tcW w:type="dxa" w:w="1440"/>
            <w:shd w:fill="17324D"/>
          </w:tcPr>
          <w:p>
            <w:r>
              <w:rPr>
                <w:b/>
                <w:color w:val="FFFFFF"/>
                <w:sz w:val="16"/>
              </w:rPr>
              <w:t>Temps</w:t>
            </w:r>
          </w:p>
        </w:tc>
        <w:tc>
          <w:tcPr>
            <w:tcW w:type="dxa" w:w="8496"/>
            <w:shd w:fill="17324D"/>
          </w:tcPr>
          <w:p>
            <w:r>
              <w:rPr>
                <w:b/>
                <w:color w:val="FFFFFF"/>
                <w:sz w:val="16"/>
              </w:rPr>
              <w:t>Étape</w:t>
            </w:r>
          </w:p>
        </w:tc>
      </w:tr>
      <w:tr>
        <w:tc>
          <w:tcPr>
            <w:tcW w:type="dxa" w:w="1440"/>
            <w:vAlign w:val="center"/>
            <w:shd w:fill="F1F6F7"/>
          </w:tcPr>
          <w:p>
            <w:pPr>
              <w:spacing w:after="0"/>
            </w:pPr>
            <w:r>
              <w:rPr>
                <w:sz w:val="16"/>
              </w:rPr>
              <w:t>0–3</w:t>
            </w:r>
          </w:p>
        </w:tc>
        <w:tc>
          <w:tcPr>
            <w:tcW w:type="dxa" w:w="8496"/>
            <w:vAlign w:val="center"/>
            <w:shd w:fill="F1F6F7"/>
          </w:tcPr>
          <w:p>
            <w:pPr>
              <w:spacing w:after="0"/>
            </w:pPr>
            <w:r>
              <w:rPr>
                <w:sz w:val="16"/>
              </w:rPr>
              <w:t>Accueil, rappel d’hier et rôle</w:t>
            </w:r>
          </w:p>
        </w:tc>
      </w:tr>
      <w:tr>
        <w:tc>
          <w:tcPr>
            <w:tcW w:type="dxa" w:w="1440"/>
            <w:vAlign w:val="center"/>
          </w:tcPr>
          <w:p>
            <w:pPr>
              <w:spacing w:after="0"/>
            </w:pPr>
            <w:r>
              <w:rPr>
                <w:sz w:val="16"/>
              </w:rPr>
              <w:t>3–4</w:t>
            </w:r>
          </w:p>
        </w:tc>
        <w:tc>
          <w:tcPr>
            <w:tcW w:type="dxa" w:w="8496"/>
            <w:vAlign w:val="center"/>
          </w:tcPr>
          <w:p>
            <w:pPr>
              <w:spacing w:after="0"/>
            </w:pPr>
            <w:r>
              <w:rPr>
                <w:sz w:val="16"/>
              </w:rPr>
              <w:t>Slide 1</w:t>
            </w:r>
          </w:p>
        </w:tc>
      </w:tr>
      <w:tr>
        <w:tc>
          <w:tcPr>
            <w:tcW w:type="dxa" w:w="1440"/>
            <w:vAlign w:val="center"/>
            <w:shd w:fill="F1F6F7"/>
          </w:tcPr>
          <w:p>
            <w:pPr>
              <w:spacing w:after="0"/>
            </w:pPr>
            <w:r>
              <w:rPr>
                <w:sz w:val="16"/>
              </w:rPr>
              <w:t>4–5</w:t>
            </w:r>
          </w:p>
        </w:tc>
        <w:tc>
          <w:tcPr>
            <w:tcW w:type="dxa" w:w="8496"/>
            <w:vAlign w:val="center"/>
            <w:shd w:fill="F1F6F7"/>
          </w:tcPr>
          <w:p>
            <w:pPr>
              <w:spacing w:after="0"/>
            </w:pPr>
            <w:r>
              <w:rPr>
                <w:sz w:val="16"/>
              </w:rPr>
              <w:t>Slide 2</w:t>
            </w:r>
          </w:p>
        </w:tc>
      </w:tr>
      <w:tr>
        <w:tc>
          <w:tcPr>
            <w:tcW w:type="dxa" w:w="1440"/>
            <w:vAlign w:val="center"/>
          </w:tcPr>
          <w:p>
            <w:pPr>
              <w:spacing w:after="0"/>
            </w:pPr>
            <w:r>
              <w:rPr>
                <w:sz w:val="16"/>
              </w:rPr>
              <w:t>5–7</w:t>
            </w:r>
          </w:p>
        </w:tc>
        <w:tc>
          <w:tcPr>
            <w:tcW w:type="dxa" w:w="8496"/>
            <w:vAlign w:val="center"/>
          </w:tcPr>
          <w:p>
            <w:pPr>
              <w:spacing w:after="0"/>
            </w:pPr>
            <w:r>
              <w:rPr>
                <w:sz w:val="16"/>
              </w:rPr>
              <w:t>Slide 3</w:t>
            </w:r>
          </w:p>
        </w:tc>
      </w:tr>
      <w:tr>
        <w:tc>
          <w:tcPr>
            <w:tcW w:type="dxa" w:w="1440"/>
            <w:vAlign w:val="center"/>
            <w:shd w:fill="F1F6F7"/>
          </w:tcPr>
          <w:p>
            <w:pPr>
              <w:spacing w:after="0"/>
            </w:pPr>
            <w:r>
              <w:rPr>
                <w:sz w:val="16"/>
              </w:rPr>
              <w:t>7–12</w:t>
            </w:r>
          </w:p>
        </w:tc>
        <w:tc>
          <w:tcPr>
            <w:tcW w:type="dxa" w:w="8496"/>
            <w:vAlign w:val="center"/>
            <w:shd w:fill="F1F6F7"/>
          </w:tcPr>
          <w:p>
            <w:pPr>
              <w:spacing w:after="0"/>
            </w:pPr>
            <w:r>
              <w:rPr>
                <w:sz w:val="16"/>
              </w:rPr>
              <w:t>Slide 4 : processus et faisabilité par site</w:t>
            </w:r>
          </w:p>
        </w:tc>
      </w:tr>
      <w:tr>
        <w:tc>
          <w:tcPr>
            <w:tcW w:type="dxa" w:w="1440"/>
            <w:vAlign w:val="center"/>
          </w:tcPr>
          <w:p>
            <w:pPr>
              <w:spacing w:after="0"/>
            </w:pPr>
            <w:r>
              <w:rPr>
                <w:sz w:val="16"/>
              </w:rPr>
              <w:t>12–21</w:t>
            </w:r>
          </w:p>
        </w:tc>
        <w:tc>
          <w:tcPr>
            <w:tcW w:type="dxa" w:w="8496"/>
            <w:vAlign w:val="center"/>
          </w:tcPr>
          <w:p>
            <w:pPr>
              <w:spacing w:after="0"/>
            </w:pPr>
            <w:r>
              <w:rPr>
                <w:sz w:val="16"/>
              </w:rPr>
              <w:t>Indicateurs CIO : collecte VM et solutions</w:t>
            </w:r>
          </w:p>
        </w:tc>
      </w:tr>
      <w:tr>
        <w:tc>
          <w:tcPr>
            <w:tcW w:type="dxa" w:w="1440"/>
            <w:vAlign w:val="center"/>
            <w:shd w:fill="F1F6F7"/>
          </w:tcPr>
          <w:p>
            <w:pPr>
              <w:spacing w:after="0"/>
            </w:pPr>
            <w:r>
              <w:rPr>
                <w:sz w:val="16"/>
              </w:rPr>
              <w:t>21–24</w:t>
            </w:r>
          </w:p>
        </w:tc>
        <w:tc>
          <w:tcPr>
            <w:tcW w:type="dxa" w:w="8496"/>
            <w:vAlign w:val="center"/>
            <w:shd w:fill="F1F6F7"/>
          </w:tcPr>
          <w:p>
            <w:pPr>
              <w:spacing w:after="0"/>
            </w:pPr>
            <w:r>
              <w:rPr>
                <w:sz w:val="16"/>
              </w:rPr>
              <w:t>Slides 5 et 6</w:t>
            </w:r>
          </w:p>
        </w:tc>
      </w:tr>
      <w:tr>
        <w:tc>
          <w:tcPr>
            <w:tcW w:type="dxa" w:w="1440"/>
            <w:vAlign w:val="center"/>
          </w:tcPr>
          <w:p>
            <w:pPr>
              <w:spacing w:after="0"/>
            </w:pPr>
            <w:r>
              <w:rPr>
                <w:sz w:val="16"/>
              </w:rPr>
              <w:t>24–26</w:t>
            </w:r>
          </w:p>
        </w:tc>
        <w:tc>
          <w:tcPr>
            <w:tcW w:type="dxa" w:w="8496"/>
            <w:vAlign w:val="center"/>
          </w:tcPr>
          <w:p>
            <w:pPr>
              <w:spacing w:after="0"/>
            </w:pPr>
            <w:r>
              <w:rPr>
                <w:sz w:val="16"/>
              </w:rPr>
              <w:t>Slide 7 ; slide 8 vide</w:t>
            </w:r>
          </w:p>
        </w:tc>
      </w:tr>
      <w:tr>
        <w:tc>
          <w:tcPr>
            <w:tcW w:type="dxa" w:w="1440"/>
            <w:vAlign w:val="center"/>
            <w:shd w:fill="F1F6F7"/>
          </w:tcPr>
          <w:p>
            <w:pPr>
              <w:spacing w:after="0"/>
            </w:pPr>
            <w:r>
              <w:rPr>
                <w:sz w:val="16"/>
              </w:rPr>
              <w:t>26–29</w:t>
            </w:r>
          </w:p>
        </w:tc>
        <w:tc>
          <w:tcPr>
            <w:tcW w:type="dxa" w:w="8496"/>
            <w:vAlign w:val="center"/>
            <w:shd w:fill="F1F6F7"/>
          </w:tcPr>
          <w:p>
            <w:pPr>
              <w:spacing w:after="0"/>
            </w:pPr>
            <w:r>
              <w:rPr>
                <w:sz w:val="16"/>
              </w:rPr>
              <w:t>Décision sur le dispositif</w:t>
            </w:r>
          </w:p>
        </w:tc>
      </w:tr>
      <w:tr>
        <w:tc>
          <w:tcPr>
            <w:tcW w:type="dxa" w:w="1440"/>
            <w:vAlign w:val="center"/>
          </w:tcPr>
          <w:p>
            <w:pPr>
              <w:spacing w:after="0"/>
            </w:pPr>
            <w:r>
              <w:rPr>
                <w:sz w:val="16"/>
              </w:rPr>
              <w:t>29–30</w:t>
            </w:r>
          </w:p>
        </w:tc>
        <w:tc>
          <w:tcPr>
            <w:tcW w:type="dxa" w:w="8496"/>
            <w:vAlign w:val="center"/>
          </w:tcPr>
          <w:p>
            <w:pPr>
              <w:spacing w:after="0"/>
            </w:pPr>
            <w:r>
              <w:rPr>
                <w:sz w:val="16"/>
              </w:rPr>
              <w:t>Récapitulatif</w:t>
            </w:r>
          </w:p>
        </w:tc>
      </w:tr>
    </w:tbl>
    <w:p>
      <w:pPr>
        <w:pStyle w:val="Heading1"/>
      </w:pPr>
      <w:r>
        <w:t>Avant de commencer</w:t>
      </w:r>
    </w:p>
    <w:p>
      <w:pPr>
        <w:spacing w:after="60"/>
      </w:pPr>
      <w:r>
        <w:t>Ouvre la présentation, le dispositif ou formulaire LAN existant et les lignes LAN du classeur CIO. Invite le counterpart CIO et les personnes qui connaissent les rapports des sites. Le classeur indique LAN Team comme source pour tous les indicateurs LAN, mais ne nomme pas de responsable individuel.</w:t>
      </w:r>
    </w:p>
    <w:p>
      <w:pPr>
        <w:spacing w:after="80"/>
      </w:pPr>
      <w:r>
        <w:rPr>
          <w:b/>
          <w:color w:val="17324D"/>
        </w:rPr>
        <w:t xml:space="preserve">À NOTER  </w:t>
      </w:r>
      <w:r>
        <w:t>Date, participants, fonctions et sites représentés __________________________________________</w:t>
      </w:r>
    </w:p>
    <w:p>
      <w:pPr>
        <w:pStyle w:val="Heading1"/>
      </w:pPr>
      <w:r>
        <w:t>0–3 min  |  Accueil et rappel de la réunion d’hier</w:t>
      </w:r>
    </w:p>
    <w:p>
      <w:pPr>
        <w:spacing w:after="80"/>
        <w:ind w:left="173" w:right="115"/>
      </w:pPr>
      <w:r>
        <w:rPr>
          <w:b/>
          <w:color w:val="087E83"/>
        </w:rPr>
        <w:t xml:space="preserve">À DIRE  </w:t>
      </w:r>
      <w:r>
        <w:rPr>
          <w:i/>
        </w:rPr>
        <w:t>« Bonjour, merci d’être revenus et merci aux Venue Managers de nous rejoindre aujourd’hui. Nous avons commencé cette discussion hier; aujourd’hui, nous voulons vérifier avec les personnes qui travaillent sur les sites ce qu’elles peuvent concrètement recueillir et transmettre. »</w:t>
      </w:r>
    </w:p>
    <w:p>
      <w:pPr>
        <w:spacing w:after="80"/>
        <w:ind w:left="173" w:right="115"/>
      </w:pPr>
      <w:r>
        <w:rPr>
          <w:b/>
          <w:color w:val="087E83"/>
        </w:rPr>
        <w:t xml:space="preserve">À DIRE  </w:t>
      </w:r>
      <w:r>
        <w:rPr>
          <w:i/>
        </w:rPr>
        <w:t>« Mon rôle est de faciliter la discussion et de noter les décisions. Les choix sur les indicateurs et les solutions se feront ensemble entre LAN, les Venue Managers, le FCC et le counterpart CIO. Nous allons distinguer les informations utiles au suivi quotidien des données à conserver pour le rapport final. »</w:t>
      </w:r>
    </w:p>
    <w:p>
      <w:pPr>
        <w:pStyle w:val="Heading1"/>
      </w:pPr>
      <w:r>
        <w:t>3–4 min  |  Slide 1  Titre</w:t>
      </w:r>
    </w:p>
    <w:p>
      <w:pPr>
        <w:spacing w:after="80"/>
        <w:ind w:left="173" w:right="115"/>
      </w:pPr>
      <w:r>
        <w:rPr>
          <w:b/>
          <w:color w:val="087E83"/>
        </w:rPr>
        <w:t xml:space="preserve">À DIRE  </w:t>
      </w:r>
      <w:r>
        <w:rPr>
          <w:i/>
        </w:rPr>
        <w:t>« Cette présentation porte sur le système de reporting des FA Venue Managers. Nous allons regarder comment il s’applique à LAN et à vos différents sites. »</w:t>
      </w:r>
    </w:p>
    <w:p>
      <w:pPr>
        <w:pStyle w:val="Heading1"/>
      </w:pPr>
      <w:r>
        <w:t>4–5 min  |  Slide 2  Objectifs</w:t>
      </w:r>
    </w:p>
    <w:p>
      <w:pPr>
        <w:spacing w:after="80"/>
        <w:ind w:left="173" w:right="115"/>
      </w:pPr>
      <w:r>
        <w:rPr>
          <w:b/>
          <w:color w:val="087E83"/>
        </w:rPr>
        <w:t xml:space="preserve">À DIRE  </w:t>
      </w:r>
      <w:r>
        <w:rPr>
          <w:i/>
        </w:rPr>
        <w:t>« Les objectifs sont de définir les besoins de reporting quotidien du FCC, de vérifier que les indicateurs CIO requis seront collectés et de convenir du support. Nous allons d’abord examiner ce que vous faites déjà. »</w:t>
      </w:r>
    </w:p>
    <w:p>
      <w:pPr>
        <w:pStyle w:val="Heading1"/>
      </w:pPr>
      <w:r>
        <w:t>5–7 min  |  Slide 3  Flux de reporting</w:t>
      </w:r>
    </w:p>
    <w:p>
      <w:pPr>
        <w:spacing w:after="80"/>
        <w:ind w:left="173" w:right="115"/>
      </w:pPr>
      <w:r>
        <w:rPr>
          <w:b/>
          <w:color w:val="087E83"/>
        </w:rPr>
        <w:t xml:space="preserve">À DIRE  </w:t>
      </w:r>
      <w:r>
        <w:rPr>
          <w:i/>
        </w:rPr>
        <w:t>« Le schéma montre les informations qui remontent des Venue Managers au FCC, puis du FCC au MOC, ainsi que les échanges opérationnels avec l’EGM. Concentrons-nous d’abord sur le trajet des informations des sites LAN vers votre FCC. »</w:t>
      </w:r>
    </w:p>
    <w:p>
      <w:pPr>
        <w:spacing w:after="80"/>
      </w:pPr>
      <w:r>
        <w:rPr>
          <w:b/>
          <w:color w:val="17324D"/>
        </w:rPr>
        <w:t xml:space="preserve">À NOTER  </w:t>
      </w:r>
      <w:r>
        <w:t>Qui collecte, consolide et transmet actuellement ? __________________________________________</w:t>
      </w:r>
    </w:p>
    <w:p>
      <w:r>
        <w:br w:type="page"/>
      </w:r>
    </w:p>
    <w:p>
      <w:pPr>
        <w:pStyle w:val="Heading1"/>
      </w:pPr>
      <w:r>
        <w:t>7–12 min  |  Slide 4  Venue vers FCC</w:t>
      </w:r>
    </w:p>
    <w:p>
      <w:pPr>
        <w:spacing w:after="80"/>
        <w:ind w:left="173" w:right="115"/>
      </w:pPr>
      <w:r>
        <w:rPr>
          <w:b/>
          <w:color w:val="087E83"/>
        </w:rPr>
        <w:t xml:space="preserve">À DIRE  </w:t>
      </w:r>
      <w:r>
        <w:rPr>
          <w:i/>
        </w:rPr>
        <w:t>« Hier, nous avons parlé du dispositif existant. Maintenant que les Venue Managers sont présents, pouvez-vous nous montrer comment l’information est recueillie sur un site et transmise au FCC ? Venue Managers, dites-nous ce qui est faisable dans vos opérations réelles. »</w:t>
      </w:r>
    </w:p>
    <w:p>
      <w:pPr>
        <w:spacing w:after="60"/>
      </w:pPr>
      <w:r>
        <w:t>Écoute leur description. Pose seulement les relances nécessaires :</w:t>
      </w:r>
    </w:p>
    <w:p>
      <w:pPr>
        <w:pStyle w:val="ListBullet"/>
        <w:spacing w:after="20"/>
      </w:pPr>
      <w:r>
        <w:t>Quelle information pouvez-vous réellement relever pendant ou à la fin de la journée sur le site ?</w:t>
      </w:r>
    </w:p>
    <w:p>
      <w:pPr>
        <w:pStyle w:val="ListBullet"/>
        <w:spacing w:after="20"/>
      </w:pPr>
      <w:r>
        <w:t>Qui la relève, sur quel support, et combien de temps cela prend-il ?</w:t>
      </w:r>
    </w:p>
    <w:p>
      <w:pPr>
        <w:pStyle w:val="ListBullet"/>
        <w:spacing w:after="20"/>
      </w:pPr>
      <w:r>
        <w:t>Y a-t-il des données que vous ne pouvez pas obtenir sur le site ? Pourquoi ?</w:t>
      </w:r>
    </w:p>
    <w:p>
      <w:pPr>
        <w:pStyle w:val="ListBullet"/>
        <w:spacing w:after="20"/>
      </w:pPr>
      <w:r>
        <w:t>Est-ce le même fonctionnement sur tous les sites ? Quelles différences faut-il noter ?</w:t>
      </w:r>
    </w:p>
    <w:p>
      <w:pPr>
        <w:spacing w:after="80"/>
      </w:pPr>
      <w:r>
        <w:rPr>
          <w:b/>
          <w:color w:val="17324D"/>
        </w:rPr>
        <w:t xml:space="preserve">À NOTER  </w:t>
      </w:r>
      <w:r>
        <w:t>Dispositif actuel, canal, fréquence et heure __________________________________________</w:t>
      </w:r>
    </w:p>
    <w:p>
      <w:pPr>
        <w:spacing w:after="80"/>
      </w:pPr>
      <w:r>
        <w:rPr>
          <w:b/>
          <w:color w:val="17324D"/>
        </w:rPr>
        <w:t xml:space="preserve">À NOTER  </w:t>
      </w:r>
      <w:r>
        <w:t>Sites avec une exception ou un point de vigilance __________________________________________</w:t>
      </w:r>
    </w:p>
    <w:p>
      <w:pPr>
        <w:pStyle w:val="Heading1"/>
      </w:pPr>
      <w:r>
        <w:t>12–21 min  |  Vérification avec les lignes LAN de l’Excel</w:t>
      </w:r>
    </w:p>
    <w:p>
      <w:pPr>
        <w:spacing w:after="80"/>
        <w:ind w:left="173" w:right="115"/>
      </w:pPr>
      <w:r>
        <w:rPr>
          <w:b/>
          <w:color w:val="087E83"/>
        </w:rPr>
        <w:t xml:space="preserve">À DIRE  </w:t>
      </w:r>
      <w:r>
        <w:rPr>
          <w:i/>
        </w:rPr>
        <w:t>« Le fichier CIO donne la pertinence et la période de début de collecte. Nous allons prendre les indicateurs un par un, en commençant par ceux marqués opérations journalières. Venue Managers, indiquez si vous pouvez les relever sur le site et avec quelle méthode. »</w:t>
      </w:r>
    </w:p>
    <w:p>
      <w:pPr>
        <w:spacing w:after="60"/>
      </w:pPr>
      <w:r>
        <w:t>Le classeur indique LAN Team comme source. Ses colonnes « Relevency » et « From when to begin data collection » ne disent pas, à elles seules, que chaque indicateur doit être transmis quotidiennement au MOC. « Opérations journalières » signale une pertinence opérationnelle quotidienne; cela reste à traduire en besoin concret du FCC.</w:t>
      </w:r>
    </w:p>
    <w:tbl>
      <w:tblPr>
        <w:tblStyle w:val="TableGrid"/>
        <w:tblW w:type="auto" w:w="0"/>
        <w:jc w:val="center"/>
        <w:tblLayout w:type="fixed"/>
        <w:tblLook w:firstColumn="1" w:firstRow="1" w:lastColumn="0" w:lastRow="0" w:noHBand="0" w:noVBand="1" w:val="04A0"/>
      </w:tblPr>
      <w:tblGrid>
        <w:gridCol w:w="3485"/>
        <w:gridCol w:w="3485"/>
        <w:gridCol w:w="3485"/>
      </w:tblGrid>
      <w:tr>
        <w:tc>
          <w:tcPr>
            <w:tcW w:type="dxa" w:w="3528"/>
            <w:shd w:fill="17324D"/>
          </w:tcPr>
          <w:p>
            <w:r>
              <w:rPr>
                <w:b/>
                <w:color w:val="FFFFFF"/>
                <w:sz w:val="13"/>
              </w:rPr>
              <w:t>Indicateur LAN et pertinence inscrite</w:t>
            </w:r>
          </w:p>
        </w:tc>
        <w:tc>
          <w:tcPr>
            <w:tcW w:type="dxa" w:w="1512"/>
            <w:shd w:fill="17324D"/>
          </w:tcPr>
          <w:p>
            <w:r>
              <w:rPr>
                <w:b/>
                <w:color w:val="FFFFFF"/>
                <w:sz w:val="13"/>
              </w:rPr>
              <w:t>Collecte commence</w:t>
            </w:r>
          </w:p>
        </w:tc>
        <w:tc>
          <w:tcPr>
            <w:tcW w:type="dxa" w:w="4248"/>
            <w:shd w:fill="17324D"/>
          </w:tcPr>
          <w:p>
            <w:r>
              <w:rPr>
                <w:b/>
                <w:color w:val="FFFFFF"/>
                <w:sz w:val="13"/>
              </w:rPr>
              <w:t>Question de vérification</w:t>
            </w:r>
          </w:p>
        </w:tc>
      </w:tr>
      <w:tr>
        <w:tc>
          <w:tcPr>
            <w:tcW w:type="dxa" w:w="3528"/>
            <w:vAlign w:val="center"/>
            <w:shd w:fill="F1F6F7"/>
          </w:tcPr>
          <w:p>
            <w:pPr>
              <w:spacing w:after="0"/>
            </w:pPr>
            <w:r>
              <w:rPr>
                <w:sz w:val="13"/>
              </w:rPr>
              <w:t>Langues couvertes par site et au total — Nice to have, Opérations journalières, Rapport final</w:t>
            </w:r>
          </w:p>
        </w:tc>
        <w:tc>
          <w:tcPr>
            <w:tcW w:type="dxa" w:w="1512"/>
            <w:vAlign w:val="center"/>
            <w:shd w:fill="F1F6F7"/>
          </w:tcPr>
          <w:p>
            <w:pPr>
              <w:spacing w:after="0"/>
            </w:pPr>
            <w:r>
              <w:rPr>
                <w:sz w:val="13"/>
              </w:rPr>
              <w:t>Games time</w:t>
            </w:r>
          </w:p>
        </w:tc>
        <w:tc>
          <w:tcPr>
            <w:tcW w:type="dxa" w:w="4248"/>
            <w:vAlign w:val="center"/>
            <w:shd w:fill="F1F6F7"/>
          </w:tcPr>
          <w:p>
            <w:pPr>
              <w:spacing w:after="0"/>
            </w:pPr>
            <w:r>
              <w:rPr>
                <w:sz w:val="13"/>
              </w:rPr>
              <w:t>Le formulaire donne-t-il les langues et les sites couverts ?</w:t>
            </w:r>
          </w:p>
        </w:tc>
      </w:tr>
      <w:tr>
        <w:tc>
          <w:tcPr>
            <w:tcW w:type="dxa" w:w="3528"/>
            <w:vAlign w:val="center"/>
          </w:tcPr>
          <w:p>
            <w:pPr>
              <w:spacing w:after="0"/>
            </w:pPr>
            <w:r>
              <w:rPr>
                <w:sz w:val="13"/>
              </w:rPr>
              <w:t>Langues proposées — Nice to have, Opérations journalières, Rapport final</w:t>
            </w:r>
          </w:p>
        </w:tc>
        <w:tc>
          <w:tcPr>
            <w:tcW w:type="dxa" w:w="1512"/>
            <w:vAlign w:val="center"/>
          </w:tcPr>
          <w:p>
            <w:pPr>
              <w:spacing w:after="0"/>
            </w:pPr>
            <w:r>
              <w:rPr>
                <w:sz w:val="13"/>
              </w:rPr>
              <w:t>Non renseigné</w:t>
            </w:r>
          </w:p>
        </w:tc>
        <w:tc>
          <w:tcPr>
            <w:tcW w:type="dxa" w:w="4248"/>
            <w:vAlign w:val="center"/>
          </w:tcPr>
          <w:p>
            <w:pPr>
              <w:spacing w:after="0"/>
            </w:pPr>
            <w:r>
              <w:rPr>
                <w:sz w:val="13"/>
              </w:rPr>
              <w:t>Où est tenu l’inventaire des langues proposées ?</w:t>
            </w:r>
          </w:p>
        </w:tc>
      </w:tr>
      <w:tr>
        <w:tc>
          <w:tcPr>
            <w:tcW w:type="dxa" w:w="3528"/>
            <w:vAlign w:val="center"/>
            <w:shd w:fill="F1F6F7"/>
          </w:tcPr>
          <w:p>
            <w:pPr>
              <w:spacing w:after="0"/>
            </w:pPr>
            <w:r>
              <w:rPr>
                <w:sz w:val="13"/>
              </w:rPr>
              <w:t>Nombre d’interprètes — Nice to have, Opérations journalières, Rapport final</w:t>
            </w:r>
          </w:p>
        </w:tc>
        <w:tc>
          <w:tcPr>
            <w:tcW w:type="dxa" w:w="1512"/>
            <w:vAlign w:val="center"/>
            <w:shd w:fill="F1F6F7"/>
          </w:tcPr>
          <w:p>
            <w:pPr>
              <w:spacing w:after="0"/>
            </w:pPr>
            <w:r>
              <w:rPr>
                <w:sz w:val="13"/>
              </w:rPr>
              <w:t>Pre-games</w:t>
            </w:r>
          </w:p>
        </w:tc>
        <w:tc>
          <w:tcPr>
            <w:tcW w:type="dxa" w:w="4248"/>
            <w:vAlign w:val="center"/>
            <w:shd w:fill="F1F6F7"/>
          </w:tcPr>
          <w:p>
            <w:pPr>
              <w:spacing w:after="0"/>
            </w:pPr>
            <w:r>
              <w:rPr>
                <w:sz w:val="13"/>
              </w:rPr>
              <w:t>Peut-on voir le nombre mobilisé par site, si le FCC en a besoin ?</w:t>
            </w:r>
          </w:p>
        </w:tc>
      </w:tr>
      <w:tr>
        <w:tc>
          <w:tcPr>
            <w:tcW w:type="dxa" w:w="3528"/>
            <w:vAlign w:val="center"/>
          </w:tcPr>
          <w:p>
            <w:pPr>
              <w:spacing w:after="0"/>
            </w:pPr>
            <w:r>
              <w:rPr>
                <w:sz w:val="13"/>
              </w:rPr>
              <w:t>Pourcentage de chaque langue proposée au YOV — Nice to have, Opérations journalières, Rapport final</w:t>
            </w:r>
          </w:p>
        </w:tc>
        <w:tc>
          <w:tcPr>
            <w:tcW w:type="dxa" w:w="1512"/>
            <w:vAlign w:val="center"/>
          </w:tcPr>
          <w:p>
            <w:pPr>
              <w:spacing w:after="0"/>
            </w:pPr>
            <w:r>
              <w:rPr>
                <w:sz w:val="13"/>
              </w:rPr>
              <w:t>Pre-games, Games time</w:t>
            </w:r>
          </w:p>
        </w:tc>
        <w:tc>
          <w:tcPr>
            <w:tcW w:type="dxa" w:w="4248"/>
            <w:vAlign w:val="center"/>
          </w:tcPr>
          <w:p>
            <w:pPr>
              <w:spacing w:after="0"/>
            </w:pPr>
            <w:r>
              <w:rPr>
                <w:sz w:val="13"/>
              </w:rPr>
              <w:t>Cette donnée est-elle suivie régulièrement et par qui ?</w:t>
            </w:r>
          </w:p>
        </w:tc>
      </w:tr>
      <w:tr>
        <w:tc>
          <w:tcPr>
            <w:tcW w:type="dxa" w:w="3528"/>
            <w:vAlign w:val="center"/>
            <w:shd w:fill="F1F6F7"/>
          </w:tcPr>
          <w:p>
            <w:pPr>
              <w:spacing w:after="0"/>
            </w:pPr>
            <w:r>
              <w:rPr>
                <w:sz w:val="13"/>
              </w:rPr>
              <w:t>Interprétation — Rapport final</w:t>
            </w:r>
          </w:p>
        </w:tc>
        <w:tc>
          <w:tcPr>
            <w:tcW w:type="dxa" w:w="1512"/>
            <w:vAlign w:val="center"/>
            <w:shd w:fill="F1F6F7"/>
          </w:tcPr>
          <w:p>
            <w:pPr>
              <w:spacing w:after="0"/>
            </w:pPr>
            <w:r>
              <w:rPr>
                <w:sz w:val="13"/>
              </w:rPr>
              <w:t>Pre-games, Games time</w:t>
            </w:r>
          </w:p>
        </w:tc>
        <w:tc>
          <w:tcPr>
            <w:tcW w:type="dxa" w:w="4248"/>
            <w:vAlign w:val="center"/>
            <w:shd w:fill="F1F6F7"/>
          </w:tcPr>
          <w:p>
            <w:pPr>
              <w:spacing w:after="0"/>
            </w:pPr>
            <w:r>
              <w:rPr>
                <w:sz w:val="13"/>
              </w:rPr>
              <w:t>Le volume de mots traduits par langue est-il enregistré pour le bilan ?</w:t>
            </w:r>
          </w:p>
        </w:tc>
      </w:tr>
      <w:tr>
        <w:tc>
          <w:tcPr>
            <w:tcW w:type="dxa" w:w="3528"/>
            <w:vAlign w:val="center"/>
          </w:tcPr>
          <w:p>
            <w:pPr>
              <w:spacing w:after="0"/>
            </w:pPr>
            <w:r>
              <w:rPr>
                <w:sz w:val="13"/>
              </w:rPr>
              <w:t>Statistiques quotidiennes du standard multilingue — Rapport final</w:t>
            </w:r>
          </w:p>
        </w:tc>
        <w:tc>
          <w:tcPr>
            <w:tcW w:type="dxa" w:w="1512"/>
            <w:vAlign w:val="center"/>
          </w:tcPr>
          <w:p>
            <w:pPr>
              <w:spacing w:after="0"/>
            </w:pPr>
            <w:r>
              <w:rPr>
                <w:sz w:val="13"/>
              </w:rPr>
              <w:t>Games time</w:t>
            </w:r>
          </w:p>
        </w:tc>
        <w:tc>
          <w:tcPr>
            <w:tcW w:type="dxa" w:w="4248"/>
            <w:vAlign w:val="center"/>
          </w:tcPr>
          <w:p>
            <w:pPr>
              <w:spacing w:after="0"/>
            </w:pPr>
            <w:r>
              <w:rPr>
                <w:sz w:val="13"/>
              </w:rPr>
              <w:t>Les appels par langue et FAQ sont-ils conservés, même sans envoi quotidien au MOC ?</w:t>
            </w:r>
          </w:p>
        </w:tc>
      </w:tr>
      <w:tr>
        <w:tc>
          <w:tcPr>
            <w:tcW w:type="dxa" w:w="3528"/>
            <w:vAlign w:val="center"/>
            <w:shd w:fill="F1F6F7"/>
          </w:tcPr>
          <w:p>
            <w:pPr>
              <w:spacing w:after="0"/>
            </w:pPr>
            <w:r>
              <w:rPr>
                <w:sz w:val="13"/>
              </w:rPr>
              <w:t>Nombre d’événements interprétés — Rapport final</w:t>
            </w:r>
          </w:p>
        </w:tc>
        <w:tc>
          <w:tcPr>
            <w:tcW w:type="dxa" w:w="1512"/>
            <w:vAlign w:val="center"/>
            <w:shd w:fill="F1F6F7"/>
          </w:tcPr>
          <w:p>
            <w:pPr>
              <w:spacing w:after="0"/>
            </w:pPr>
            <w:r>
              <w:rPr>
                <w:sz w:val="13"/>
              </w:rPr>
              <w:t>Pre-games</w:t>
            </w:r>
          </w:p>
        </w:tc>
        <w:tc>
          <w:tcPr>
            <w:tcW w:type="dxa" w:w="4248"/>
            <w:vAlign w:val="center"/>
            <w:shd w:fill="F1F6F7"/>
          </w:tcPr>
          <w:p>
            <w:pPr>
              <w:spacing w:after="0"/>
            </w:pPr>
            <w:r>
              <w:rPr>
                <w:sz w:val="13"/>
              </w:rPr>
              <w:t>Où la liste et le total des événements sont-ils gardés ?</w:t>
            </w:r>
          </w:p>
        </w:tc>
      </w:tr>
      <w:tr>
        <w:tc>
          <w:tcPr>
            <w:tcW w:type="dxa" w:w="3528"/>
            <w:vAlign w:val="center"/>
          </w:tcPr>
          <w:p>
            <w:pPr>
              <w:spacing w:after="0"/>
            </w:pPr>
            <w:r>
              <w:rPr>
                <w:sz w:val="13"/>
              </w:rPr>
              <w:t>Interprètes professionnels et jeunes interprètes — Rapport final</w:t>
            </w:r>
          </w:p>
        </w:tc>
        <w:tc>
          <w:tcPr>
            <w:tcW w:type="dxa" w:w="1512"/>
            <w:vAlign w:val="center"/>
          </w:tcPr>
          <w:p>
            <w:pPr>
              <w:spacing w:after="0"/>
            </w:pPr>
            <w:r>
              <w:rPr>
                <w:sz w:val="13"/>
              </w:rPr>
              <w:t>Games time</w:t>
            </w:r>
          </w:p>
        </w:tc>
        <w:tc>
          <w:tcPr>
            <w:tcW w:type="dxa" w:w="4248"/>
            <w:vAlign w:val="center"/>
          </w:tcPr>
          <w:p>
            <w:pPr>
              <w:spacing w:after="0"/>
            </w:pPr>
            <w:r>
              <w:rPr>
                <w:sz w:val="13"/>
              </w:rPr>
              <w:t>La ventilation et le détail des actions par site/type/langue sont-ils disponibles ?</w:t>
            </w:r>
          </w:p>
        </w:tc>
      </w:tr>
      <w:tr>
        <w:tc>
          <w:tcPr>
            <w:tcW w:type="dxa" w:w="3528"/>
            <w:vAlign w:val="center"/>
            <w:shd w:fill="F1F6F7"/>
          </w:tcPr>
          <w:p>
            <w:pPr>
              <w:spacing w:after="0"/>
            </w:pPr>
            <w:r>
              <w:rPr>
                <w:sz w:val="13"/>
              </w:rPr>
              <w:t>Traductions réalisées — Nice to have, Rapport final</w:t>
            </w:r>
          </w:p>
        </w:tc>
        <w:tc>
          <w:tcPr>
            <w:tcW w:type="dxa" w:w="1512"/>
            <w:vAlign w:val="center"/>
            <w:shd w:fill="F1F6F7"/>
          </w:tcPr>
          <w:p>
            <w:pPr>
              <w:spacing w:after="0"/>
            </w:pPr>
            <w:r>
              <w:rPr>
                <w:sz w:val="13"/>
              </w:rPr>
              <w:t>Pre-games, Games time</w:t>
            </w:r>
          </w:p>
        </w:tc>
        <w:tc>
          <w:tcPr>
            <w:tcW w:type="dxa" w:w="4248"/>
            <w:vAlign w:val="center"/>
            <w:shd w:fill="F1F6F7"/>
          </w:tcPr>
          <w:p>
            <w:pPr>
              <w:spacing w:after="0"/>
            </w:pPr>
            <w:r>
              <w:rPr>
                <w:sz w:val="13"/>
              </w:rPr>
              <w:t>Y a-t-il un registre consolidé pour le rapport final ?</w:t>
            </w:r>
          </w:p>
        </w:tc>
      </w:tr>
      <w:tr>
        <w:tc>
          <w:tcPr>
            <w:tcW w:type="dxa" w:w="3528"/>
            <w:vAlign w:val="center"/>
          </w:tcPr>
          <w:p>
            <w:pPr>
              <w:spacing w:after="0"/>
            </w:pPr>
            <w:r>
              <w:rPr>
                <w:sz w:val="13"/>
              </w:rPr>
              <w:t>Sites et événements bénéficiant d’interprétation — Rapport final</w:t>
            </w:r>
          </w:p>
        </w:tc>
        <w:tc>
          <w:tcPr>
            <w:tcW w:type="dxa" w:w="1512"/>
            <w:vAlign w:val="center"/>
          </w:tcPr>
          <w:p>
            <w:pPr>
              <w:spacing w:after="0"/>
            </w:pPr>
            <w:r>
              <w:rPr>
                <w:sz w:val="13"/>
              </w:rPr>
              <w:t>Pre-games, Games time</w:t>
            </w:r>
          </w:p>
        </w:tc>
        <w:tc>
          <w:tcPr>
            <w:tcW w:type="dxa" w:w="4248"/>
            <w:vAlign w:val="center"/>
          </w:tcPr>
          <w:p>
            <w:pPr>
              <w:spacing w:after="0"/>
            </w:pPr>
            <w:r>
              <w:rPr>
                <w:sz w:val="13"/>
              </w:rPr>
              <w:t>Où sont gardés le nombre et le type de sites/événements ?</w:t>
            </w:r>
          </w:p>
        </w:tc>
      </w:tr>
    </w:tbl>
    <w:p>
      <w:pPr>
        <w:spacing w:after="60"/>
      </w:pPr>
      <w:r>
        <w:t>Pour chaque ligne, demande : est-ce collectable par le VM sur son site ? Si oui, comment et à quelle fréquence ? Si non, pourquoi, et quelle autre source ou mesure de remplacement proposez-vous ? Le counterpart CIO et le FCC doivent valider toute substitution avant qu’elle soit retenue. N’écarte pas l’indicateur sans accord : note la limite, la solution proposée, le responsable de validation et l’échéance. Les indicateurs seulement marqués Rapport final peuvent être conservés par LAN Team sans être automatiquement ajoutés au rapport quotidien des VM.</w:t>
      </w:r>
    </w:p>
    <w:p>
      <w:pPr>
        <w:spacing w:after="60"/>
      </w:pPr>
      <w:r>
        <w:t>« Non renseigné » pour le début de collecte des langues proposées est une case vide dans le classeur : demande à LAN de la préciser.</w:t>
      </w:r>
    </w:p>
    <w:p>
      <w:pPr>
        <w:spacing w:after="80"/>
      </w:pPr>
      <w:r>
        <w:rPr>
          <w:b/>
          <w:color w:val="17324D"/>
        </w:rPr>
        <w:t xml:space="preserve">À NOTER  </w:t>
      </w:r>
      <w:r>
        <w:t>Donnée faisable par VM ? Si non : limite / source alternative ou indicateur proposé / validation CIO-FCC __________________________________________</w:t>
      </w:r>
    </w:p>
    <w:p>
      <w:r>
        <w:br w:type="page"/>
      </w:r>
    </w:p>
    <w:p>
      <w:pPr>
        <w:pStyle w:val="Heading1"/>
      </w:pPr>
      <w:r>
        <w:t>21–24 min  |  Slides 5 et 6</w:t>
      </w:r>
    </w:p>
    <w:p>
      <w:pPr>
        <w:pStyle w:val="Heading2"/>
      </w:pPr>
      <w:r>
        <w:t>Slide 5  Sections du rapport quotidien</w:t>
      </w:r>
    </w:p>
    <w:p>
      <w:pPr>
        <w:spacing w:after="80"/>
        <w:ind w:left="173" w:right="115"/>
      </w:pPr>
      <w:r>
        <w:rPr>
          <w:b/>
          <w:color w:val="087E83"/>
        </w:rPr>
        <w:t xml:space="preserve">À DIRE  </w:t>
      </w:r>
      <w:r>
        <w:rPr>
          <w:i/>
        </w:rPr>
        <w:t>« Le modèle prévoit les opérations principales du jour, les incidents ou changements d’aujourd’hui et les anticipations pour demain. Votre dispositif permet-il au FCC de repérer facilement ces informations opérationnelles ? »</w:t>
      </w:r>
    </w:p>
    <w:p>
      <w:pPr>
        <w:spacing w:after="80"/>
      </w:pPr>
      <w:r>
        <w:rPr>
          <w:b/>
          <w:color w:val="17324D"/>
        </w:rPr>
        <w:t xml:space="preserve">À NOTER  </w:t>
      </w:r>
      <w:r>
        <w:t>Résumé quotidien / incidents / anticipation : où cela figure-t-il ? __________________________________________</w:t>
      </w:r>
    </w:p>
    <w:p>
      <w:pPr>
        <w:pStyle w:val="Heading2"/>
      </w:pPr>
      <w:r>
        <w:t>Slide 6  FCC vers MOC CT</w:t>
      </w:r>
    </w:p>
    <w:p>
      <w:pPr>
        <w:spacing w:after="80"/>
        <w:ind w:left="173" w:right="115"/>
      </w:pPr>
      <w:r>
        <w:rPr>
          <w:b/>
          <w:color w:val="087E83"/>
        </w:rPr>
        <w:t xml:space="preserve">À DIRE  </w:t>
      </w:r>
      <w:r>
        <w:rPr>
          <w:i/>
        </w:rPr>
        <w:t>« Le FCC consolide ensuite les informations utiles pour le MOC. Quelles informations LAN le FCC doit-il faire remonter et à quelle heure doit-il les recevoir des sites ? »</w:t>
      </w:r>
    </w:p>
    <w:p>
      <w:pPr>
        <w:spacing w:after="80"/>
      </w:pPr>
      <w:r>
        <w:rPr>
          <w:b/>
          <w:color w:val="17324D"/>
        </w:rPr>
        <w:t xml:space="preserve">À NOTER  </w:t>
      </w:r>
      <w:r>
        <w:t>Contenu, responsable, canal et heure de la remontée FCC → MOC __________________________________________</w:t>
      </w:r>
    </w:p>
    <w:p>
      <w:pPr>
        <w:pStyle w:val="Heading1"/>
      </w:pPr>
      <w:r>
        <w:t>24–26 min  |  Slide 7 et slide 8</w:t>
      </w:r>
    </w:p>
    <w:p>
      <w:pPr>
        <w:pStyle w:val="Heading2"/>
      </w:pPr>
      <w:r>
        <w:t>Slide 7  Rapport quotidien MOC</w:t>
      </w:r>
    </w:p>
    <w:p>
      <w:pPr>
        <w:spacing w:after="80"/>
        <w:ind w:left="173" w:right="115"/>
      </w:pPr>
      <w:r>
        <w:rPr>
          <w:b/>
          <w:color w:val="087E83"/>
        </w:rPr>
        <w:t xml:space="preserve">À DIRE  </w:t>
      </w:r>
      <w:r>
        <w:rPr>
          <w:i/>
        </w:rPr>
        <w:t>« La présentation indique que le reporting quotidien du MOC doit être complété avant 21 h. Quelle heure limite de remontée des sites permet au FCC de consolider les informations LAN à temps ? »</w:t>
      </w:r>
    </w:p>
    <w:p>
      <w:pPr>
        <w:spacing w:after="60"/>
      </w:pPr>
      <w:r>
        <w:t>Rappelle la distinction : la période de démarrage de collecte indiquée dans l’Excel n’est pas l’heure ni la fréquence d’envoi au FCC/MOC.</w:t>
      </w:r>
    </w:p>
    <w:p>
      <w:pPr>
        <w:pStyle w:val="Heading2"/>
      </w:pPr>
      <w:r>
        <w:t>Slide 8  Fin du support</w:t>
      </w:r>
    </w:p>
    <w:p>
      <w:pPr>
        <w:spacing w:after="60"/>
      </w:pPr>
      <w:r>
        <w:t>La slide 8 est vide dans la présentation reçue. Passe directement à la décision; tu peux laisser cette slide affichée.</w:t>
      </w:r>
    </w:p>
    <w:p>
      <w:pPr>
        <w:pStyle w:val="Heading1"/>
      </w:pPr>
      <w:r>
        <w:t>26–29 min  |  Décider du dispositif</w:t>
      </w:r>
    </w:p>
    <w:p>
      <w:pPr>
        <w:spacing w:after="80"/>
        <w:ind w:left="173" w:right="115"/>
      </w:pPr>
      <w:r>
        <w:rPr>
          <w:b/>
          <w:color w:val="087E83"/>
        </w:rPr>
        <w:t xml:space="preserve">À DIRE  </w:t>
      </w:r>
      <w:r>
        <w:rPr>
          <w:i/>
        </w:rPr>
        <w:t>« Pour les informations quotidiennes, votre dispositif couvre [besoins]. Pour chaque donnée requise que les Venue Managers ne peuvent pas collecter, quelle autre source fiable ou quel indicateur de remplacement proposez-vous ? Est-ce que le FCC et le counterpart CIO valident cette solution ? »</w:t>
      </w:r>
    </w:p>
    <w:p>
      <w:pPr>
        <w:spacing w:after="60"/>
      </w:pPr>
      <w:r>
        <w:t>Décision à viser : garder le dispositif LAN s’il fonctionne; le compléter uniquement pour les besoins quotidiens validés. Pour un indicateur requis mais impossible à collecter par les VM, convenir avec le FCC et le counterpart CIO d’une source alternative ou d’un indicateur de remplacement acceptable. Ne pas substituer un indicateur sans validation. Les données de rapport final peuvent être suivies par LAN Team dans leur source dédiée. Le formulaire commun peut servir de base ou de résumé si un besoin quotidien reste sans solution.</w:t>
      </w:r>
    </w:p>
    <w:tbl>
      <w:tblPr>
        <w:tblStyle w:val="TableGrid"/>
        <w:tblW w:type="auto" w:w="0"/>
        <w:jc w:val="center"/>
        <w:tblLayout w:type="fixed"/>
        <w:tblLook w:firstColumn="1" w:firstRow="1" w:lastColumn="0" w:lastRow="0" w:noHBand="0" w:noVBand="1" w:val="04A0"/>
      </w:tblPr>
      <w:tblGrid>
        <w:gridCol w:w="5227"/>
        <w:gridCol w:w="5227"/>
      </w:tblGrid>
      <w:tr>
        <w:tc>
          <w:tcPr>
            <w:tcW w:type="dxa" w:w="5328"/>
            <w:shd w:fill="17324D"/>
          </w:tcPr>
          <w:p>
            <w:r>
              <w:rPr>
                <w:b/>
                <w:color w:val="FFFFFF"/>
                <w:sz w:val="15"/>
              </w:rPr>
              <w:t>Décision</w:t>
            </w:r>
          </w:p>
        </w:tc>
        <w:tc>
          <w:tcPr>
            <w:tcW w:type="dxa" w:w="4608"/>
            <w:shd w:fill="17324D"/>
          </w:tcPr>
          <w:p>
            <w:r>
              <w:rPr>
                <w:b/>
                <w:color w:val="FFFFFF"/>
                <w:sz w:val="15"/>
              </w:rPr>
              <w:t>Cocher / noter</w:t>
            </w:r>
          </w:p>
        </w:tc>
      </w:tr>
      <w:tr>
        <w:tc>
          <w:tcPr>
            <w:tcW w:type="dxa" w:w="5328"/>
            <w:vAlign w:val="center"/>
            <w:shd w:fill="F1F6F7"/>
          </w:tcPr>
          <w:p>
            <w:pPr>
              <w:spacing w:after="0"/>
            </w:pPr>
            <w:r>
              <w:rPr>
                <w:sz w:val="15"/>
              </w:rPr>
              <w:t>Garder le dispositif LAN existant</w:t>
            </w:r>
          </w:p>
        </w:tc>
        <w:tc>
          <w:tcPr>
            <w:tcW w:type="dxa" w:w="4608"/>
            <w:vAlign w:val="center"/>
            <w:shd w:fill="F1F6F7"/>
          </w:tcPr>
          <w:p>
            <w:pPr>
              <w:spacing w:after="0"/>
            </w:pPr>
            <w:r>
              <w:rPr>
                <w:sz w:val="15"/>
              </w:rPr>
              <w:t>☐</w:t>
            </w:r>
          </w:p>
        </w:tc>
      </w:tr>
      <w:tr>
        <w:tc>
          <w:tcPr>
            <w:tcW w:type="dxa" w:w="5328"/>
            <w:vAlign w:val="center"/>
          </w:tcPr>
          <w:p>
            <w:pPr>
              <w:spacing w:after="0"/>
            </w:pPr>
            <w:r>
              <w:rPr>
                <w:sz w:val="15"/>
              </w:rPr>
              <w:t>Le compléter pour les remontées quotidiennes</w:t>
            </w:r>
          </w:p>
        </w:tc>
        <w:tc>
          <w:tcPr>
            <w:tcW w:type="dxa" w:w="4608"/>
            <w:vAlign w:val="center"/>
          </w:tcPr>
          <w:p>
            <w:pPr>
              <w:spacing w:after="0"/>
            </w:pPr>
            <w:r>
              <w:rPr>
                <w:sz w:val="15"/>
              </w:rPr>
              <w:t>☐ Champs : __________________________</w:t>
            </w:r>
          </w:p>
        </w:tc>
      </w:tr>
      <w:tr>
        <w:tc>
          <w:tcPr>
            <w:tcW w:type="dxa" w:w="5328"/>
            <w:vAlign w:val="center"/>
            <w:shd w:fill="F1F6F7"/>
          </w:tcPr>
          <w:p>
            <w:pPr>
              <w:spacing w:after="0"/>
            </w:pPr>
            <w:r>
              <w:rPr>
                <w:sz w:val="15"/>
              </w:rPr>
              <w:t>Source alternative / remplacement à valider CIO-FCC</w:t>
            </w:r>
          </w:p>
        </w:tc>
        <w:tc>
          <w:tcPr>
            <w:tcW w:type="dxa" w:w="4608"/>
            <w:vAlign w:val="center"/>
            <w:shd w:fill="F1F6F7"/>
          </w:tcPr>
          <w:p>
            <w:pPr>
              <w:spacing w:after="0"/>
            </w:pPr>
            <w:r>
              <w:rPr>
                <w:sz w:val="15"/>
              </w:rPr>
              <w:t>☐ Indicateur/source : __________________</w:t>
            </w:r>
          </w:p>
        </w:tc>
      </w:tr>
      <w:tr>
        <w:tc>
          <w:tcPr>
            <w:tcW w:type="dxa" w:w="5328"/>
            <w:vAlign w:val="center"/>
          </w:tcPr>
          <w:p>
            <w:pPr>
              <w:spacing w:after="0"/>
            </w:pPr>
            <w:r>
              <w:rPr>
                <w:sz w:val="15"/>
              </w:rPr>
              <w:t>Données CIO finales suivies ailleurs par LAN Team</w:t>
            </w:r>
          </w:p>
        </w:tc>
        <w:tc>
          <w:tcPr>
            <w:tcW w:type="dxa" w:w="4608"/>
            <w:vAlign w:val="center"/>
          </w:tcPr>
          <w:p>
            <w:pPr>
              <w:spacing w:after="0"/>
            </w:pPr>
            <w:r>
              <w:rPr>
                <w:sz w:val="15"/>
              </w:rPr>
              <w:t>☐ Source / responsable : ______________</w:t>
            </w:r>
          </w:p>
        </w:tc>
      </w:tr>
    </w:tbl>
    <w:p>
      <w:pPr>
        <w:pStyle w:val="Heading1"/>
      </w:pPr>
      <w:r>
        <w:t>29–30 min  |  Récapitulatif et clôture</w:t>
      </w:r>
    </w:p>
    <w:p>
      <w:pPr>
        <w:spacing w:after="80"/>
        <w:ind w:left="173" w:right="115"/>
      </w:pPr>
      <w:r>
        <w:rPr>
          <w:b/>
          <w:color w:val="087E83"/>
        </w:rPr>
        <w:t xml:space="preserve">À DIRE  </w:t>
      </w:r>
      <w:r>
        <w:rPr>
          <w:i/>
        </w:rPr>
        <w:t>« Je récapitule : les sites transmettent [informations] au FCC par [canal/fréquence/heure]. Les données du rapport final sont conservées par [source/responsable]. Les indicateurs impossibles à recueillir sur les sites et les solutions proposées sont [à confirmer par qui et quand]. Avons-nous bien tout compris ? Merci à tous. »</w:t>
      </w:r>
    </w:p>
    <w:tbl>
      <w:tblPr>
        <w:tblStyle w:val="TableGrid"/>
        <w:tblW w:type="auto" w:w="0"/>
        <w:jc w:val="center"/>
        <w:tblLayout w:type="fixed"/>
        <w:tblLook w:firstColumn="1" w:firstRow="1" w:lastColumn="0" w:lastRow="0" w:noHBand="0" w:noVBand="1" w:val="04A0"/>
      </w:tblPr>
      <w:tblGrid>
        <w:gridCol w:w="3485"/>
        <w:gridCol w:w="3485"/>
        <w:gridCol w:w="3485"/>
      </w:tblGrid>
      <w:tr>
        <w:tc>
          <w:tcPr>
            <w:tcW w:type="dxa" w:w="5472"/>
            <w:shd w:fill="17324D"/>
          </w:tcPr>
          <w:p>
            <w:r>
              <w:rPr>
                <w:b/>
                <w:color w:val="FFFFFF"/>
                <w:sz w:val="15"/>
              </w:rPr>
              <w:t>Action / point à confirmer</w:t>
            </w:r>
          </w:p>
        </w:tc>
        <w:tc>
          <w:tcPr>
            <w:tcW w:type="dxa" w:w="2160"/>
            <w:shd w:fill="17324D"/>
          </w:tcPr>
          <w:p>
            <w:r>
              <w:rPr>
                <w:b/>
                <w:color w:val="FFFFFF"/>
                <w:sz w:val="15"/>
              </w:rPr>
              <w:t>Responsable</w:t>
            </w:r>
          </w:p>
        </w:tc>
        <w:tc>
          <w:tcPr>
            <w:tcW w:type="dxa" w:w="2160"/>
            <w:shd w:fill="17324D"/>
          </w:tcPr>
          <w:p>
            <w:r>
              <w:rPr>
                <w:b/>
                <w:color w:val="FFFFFF"/>
                <w:sz w:val="15"/>
              </w:rPr>
              <w:t>Échéance</w:t>
            </w:r>
          </w:p>
        </w:tc>
      </w:tr>
      <w:tr>
        <w:tc>
          <w:tcPr>
            <w:tcW w:type="dxa" w:w="5472"/>
            <w:vAlign w:val="center"/>
            <w:shd w:fill="F1F6F7"/>
          </w:tcPr>
          <w:p>
            <w:pPr>
              <w:spacing w:after="0"/>
            </w:pPr>
            <w:r>
              <w:rPr>
                <w:sz w:val="15"/>
              </w:rPr>
            </w:r>
          </w:p>
        </w:tc>
        <w:tc>
          <w:tcPr>
            <w:tcW w:type="dxa" w:w="2160"/>
            <w:vAlign w:val="center"/>
            <w:shd w:fill="F1F6F7"/>
          </w:tcPr>
          <w:p>
            <w:pPr>
              <w:spacing w:after="0"/>
            </w:pPr>
            <w:r>
              <w:rPr>
                <w:sz w:val="15"/>
              </w:rPr>
            </w:r>
          </w:p>
        </w:tc>
        <w:tc>
          <w:tcPr>
            <w:tcW w:type="dxa" w:w="2160"/>
            <w:vAlign w:val="center"/>
            <w:shd w:fill="F1F6F7"/>
          </w:tcPr>
          <w:p>
            <w:pPr>
              <w:spacing w:after="0"/>
            </w:pPr>
            <w:r>
              <w:rPr>
                <w:sz w:val="15"/>
              </w:rPr>
            </w:r>
          </w:p>
        </w:tc>
      </w:tr>
      <w:tr>
        <w:tc>
          <w:tcPr>
            <w:tcW w:type="dxa" w:w="5472"/>
            <w:vAlign w:val="center"/>
          </w:tcPr>
          <w:p>
            <w:pPr>
              <w:spacing w:after="0"/>
            </w:pPr>
            <w:r>
              <w:rPr>
                <w:sz w:val="15"/>
              </w:rPr>
            </w:r>
          </w:p>
        </w:tc>
        <w:tc>
          <w:tcPr>
            <w:tcW w:type="dxa" w:w="2160"/>
            <w:vAlign w:val="center"/>
          </w:tcPr>
          <w:p>
            <w:pPr>
              <w:spacing w:after="0"/>
            </w:pPr>
            <w:r>
              <w:rPr>
                <w:sz w:val="15"/>
              </w:rPr>
            </w:r>
          </w:p>
        </w:tc>
        <w:tc>
          <w:tcPr>
            <w:tcW w:type="dxa" w:w="2160"/>
            <w:vAlign w:val="center"/>
          </w:tcPr>
          <w:p>
            <w:pPr>
              <w:spacing w:after="0"/>
            </w:pPr>
            <w:r>
              <w:rPr>
                <w:sz w:val="15"/>
              </w:rPr>
            </w:r>
          </w:p>
        </w:tc>
      </w:tr>
    </w:tbl>
    <w:sectPr w:rsidR="00FC693F" w:rsidRPr="0006063C" w:rsidSect="00034616">
      <w:footerReference w:type="default" r:id="rId9"/>
      <w:pgSz w:w="12240" w:h="15840"/>
      <w:pgMar w:top="720" w:right="893" w:bottom="720" w:left="89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87985"/>
        <w:sz w:val="16"/>
      </w:rPr>
      <w:t xml:space="preserve">Workshop LAN  |  30 min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A353F"/>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20" w:after="60"/>
      <w:outlineLvl w:val="0"/>
    </w:pPr>
    <w:rPr>
      <w:rFonts w:asciiTheme="majorHAnsi" w:eastAsiaTheme="majorEastAsia" w:hAnsiTheme="majorHAnsi" w:cstheme="majorBidi" w:ascii="Aptos Display" w:hAnsi="Aptos Display"/>
      <w:b/>
      <w:bCs/>
      <w:color w:val="17324D"/>
      <w:sz w:val="28"/>
      <w:szCs w:val="28"/>
    </w:rPr>
  </w:style>
  <w:style w:type="paragraph" w:styleId="Heading2">
    <w:name w:val="heading 2"/>
    <w:basedOn w:val="Normal"/>
    <w:next w:val="Normal"/>
    <w:link w:val="Heading2Char"/>
    <w:uiPriority w:val="9"/>
    <w:unhideWhenUsed/>
    <w:qFormat/>
    <w:rsid w:val="00FC693F"/>
    <w:pPr>
      <w:keepNext/>
      <w:keepLines/>
      <w:spacing w:before="120" w:after="60"/>
      <w:outlineLvl w:val="1"/>
    </w:pPr>
    <w:rPr>
      <w:rFonts w:asciiTheme="majorHAnsi" w:eastAsiaTheme="majorEastAsia" w:hAnsiTheme="majorHAnsi" w:cstheme="majorBidi" w:ascii="Aptos Display" w:hAnsi="Aptos Display"/>
      <w:b/>
      <w:bCs/>
      <w:color w:val="087E83"/>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60" w:line="240" w:lineRule="auto" w:before="120"/>
      <w:contextualSpacing/>
    </w:pPr>
    <w:rPr>
      <w:rFonts w:asciiTheme="majorHAnsi" w:eastAsiaTheme="majorEastAsia" w:hAnsiTheme="majorHAnsi" w:cstheme="majorBidi" w:ascii="Aptos Display" w:hAnsi="Aptos Display"/>
      <w:b/>
      <w:color w:val="17324D"/>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Workshop LAN en 30 minutes</dc:title>
  <dc:subject>Script modifiable de facilitation du workshop LAN</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