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043DE" w14:textId="77777777" w:rsidR="008C004C" w:rsidRPr="004C1020" w:rsidRDefault="008C004C" w:rsidP="004C1020">
      <w:pPr>
        <w:spacing w:line="360" w:lineRule="auto"/>
        <w:rPr>
          <w:rFonts w:ascii="Sylfaen" w:hAnsi="Sylfaen"/>
          <w:b/>
          <w:bCs/>
        </w:rPr>
      </w:pPr>
      <w:r w:rsidRPr="004C1020">
        <w:rPr>
          <w:rFonts w:ascii="Sylfaen" w:hAnsi="Sylfaen"/>
          <w:b/>
          <w:bCs/>
        </w:rPr>
        <w:t>Introduction</w:t>
      </w:r>
    </w:p>
    <w:p w14:paraId="59E87FFA" w14:textId="77777777" w:rsidR="008C004C" w:rsidRPr="004C1020" w:rsidRDefault="008C004C" w:rsidP="004C1020">
      <w:pPr>
        <w:spacing w:line="360" w:lineRule="auto"/>
        <w:rPr>
          <w:rFonts w:ascii="Sylfaen" w:hAnsi="Sylfaen"/>
        </w:rPr>
      </w:pPr>
      <w:r w:rsidRPr="004C1020">
        <w:rPr>
          <w:rFonts w:ascii="Sylfaen" w:hAnsi="Sylfaen"/>
        </w:rPr>
        <w:t>The demand for efficient, scalable production of therapeutic and diagnostic monoclonal antibodies (mAbs) has intensified the need for high-performing mammalian expression systems, particularly Chinese hamster ovary (CHO) cells. CHO cells remain the most widely used platform in biopharmaceutical manufacturing due to their capability to perform complex post-translational modifications, their robust performance in large-scale bioreactors, and their established regulatory acceptance.</w:t>
      </w:r>
    </w:p>
    <w:p w14:paraId="47827BFA" w14:textId="77777777" w:rsidR="008C004C" w:rsidRPr="004C1020" w:rsidRDefault="008C004C" w:rsidP="004C1020">
      <w:pPr>
        <w:spacing w:line="360" w:lineRule="auto"/>
        <w:rPr>
          <w:rFonts w:ascii="Sylfaen" w:hAnsi="Sylfaen"/>
        </w:rPr>
      </w:pPr>
      <w:r w:rsidRPr="004C1020">
        <w:rPr>
          <w:rFonts w:ascii="Sylfaen" w:hAnsi="Sylfaen"/>
        </w:rPr>
        <w:t>Among genetic enhancements aimed at improving CHO cell lines, knockout of the glutamine synthetase (GS/GLUL) gene has emerged as a valuable strategy. GS-knockout (GS-KO) enables metabolic selection under glutamine-deprived conditions, enriching cells that have stably integrated expression vectors containing a functional GS gene. This method significantly reduces dependency on antibiotic-based selection and enhances clone stability. When combined with a transposon-based integration system, such as PiggyBac—which provides stable, efficient, and predictable genomic insertion—GS-KO represents a powerful genetic-engineering approach for next-generation antibody expression systems.</w:t>
      </w:r>
    </w:p>
    <w:p w14:paraId="73DAFDB5" w14:textId="77777777" w:rsidR="008C004C" w:rsidRPr="004C1020" w:rsidRDefault="008C004C" w:rsidP="004C1020">
      <w:pPr>
        <w:spacing w:line="360" w:lineRule="auto"/>
        <w:rPr>
          <w:rFonts w:ascii="Sylfaen" w:hAnsi="Sylfaen"/>
        </w:rPr>
      </w:pPr>
      <w:r w:rsidRPr="004C1020">
        <w:rPr>
          <w:rFonts w:ascii="Sylfaen" w:hAnsi="Sylfaen"/>
        </w:rPr>
        <w:t xml:space="preserve">This thesis proposes a fully </w:t>
      </w:r>
      <w:r w:rsidRPr="004C1020">
        <w:rPr>
          <w:rFonts w:ascii="Sylfaen" w:hAnsi="Sylfaen"/>
          <w:i/>
          <w:iCs/>
        </w:rPr>
        <w:t>in silico</w:t>
      </w:r>
      <w:r w:rsidRPr="004C1020">
        <w:rPr>
          <w:rFonts w:ascii="Sylfaen" w:hAnsi="Sylfaen"/>
        </w:rPr>
        <w:t xml:space="preserve"> pipeline designed to facilitate the creation and evaluation of a GS-knockout CHO cell line integrated with a PiggyBac vector system for the expression of a diagnostic anti-PSA monoclonal antibody. The antibody, derived from clone 5D5A5, specifically targets prostate-specific antigen (PSA), an established biomarker used extensively in prostate cancer diagnostics. By performing comprehensive computational analyses and optimization, this project aims to rigorously assess each genetic design aspect before any costly laboratory implementation occurs.</w:t>
      </w:r>
    </w:p>
    <w:p w14:paraId="33440B6E" w14:textId="6A2E979F" w:rsidR="008C004C" w:rsidRPr="004C1020" w:rsidRDefault="008C004C" w:rsidP="004C1020">
      <w:pPr>
        <w:spacing w:line="360" w:lineRule="auto"/>
        <w:rPr>
          <w:rFonts w:ascii="Sylfaen" w:hAnsi="Sylfaen"/>
        </w:rPr>
      </w:pPr>
      <w:r w:rsidRPr="004C1020">
        <w:rPr>
          <w:rFonts w:ascii="Sylfaen" w:hAnsi="Sylfaen"/>
        </w:rPr>
        <w:t>Adopting a design-build-test-learn (DBTL) framework, the thesis initially focuses on identifying high-efficiency and high-specificity CRISPR guides for the GS knockout using CHO genomic databases and CRISPOR-based scoring algorithms</w:t>
      </w:r>
      <w:r w:rsidR="007E1C90" w:rsidRPr="004C1020">
        <w:rPr>
          <w:rFonts w:ascii="Sylfaen" w:hAnsi="Sylfaen"/>
        </w:rPr>
        <w:t xml:space="preserve"> </w:t>
      </w:r>
      <w:r w:rsidR="007E1C90" w:rsidRPr="004C1020">
        <w:rPr>
          <w:rFonts w:ascii="Sylfaen" w:hAnsi="Sylfaen"/>
        </w:rPr>
        <w:fldChar w:fldCharType="begin"/>
      </w:r>
      <w:r w:rsidR="007E1C90" w:rsidRPr="004C1020">
        <w:rPr>
          <w:rFonts w:ascii="Sylfaen" w:hAnsi="Sylfaen"/>
        </w:rPr>
        <w:instrText xml:space="preserve"> ADDIN ZOTERO_ITEM CSL_CITATION {"citationID":"fdVryI04","properties":{"formattedCitation":"(Haeussler et al., 2016)","plainCitation":"(Haeussler et al., 2016)","noteIndex":0},"citationItems":[{"id":47,"uris":["http://zotero.org/users/14492464/items/ZPMGI6PD"],"itemData":{"id":47,"type":"article-journal","abstract":"Abstract\n            \n              Background\n              The success of the CRISPR/Cas9 genome editing technique depends on the choice of the guide RNA sequence, which is facilitated by various websites. Despite the importance and popularity of these algorithms, it is unclear to which extent their predictions are in agreement with actual measurements.\n            \n            \n              Results\n              We conduct the first independent evaluation of CRISPR/Cas9 predictions. To this end, we collect data from eight SpCas9 off-target studies and compare them with the sites predicted by popular algorithms. We identify problems in one implementation but found that sequence-based off-target predictions are very reliable, identifying most off-targets with mutation rates superior to 0.1 %, while the number of false positives can be largely reduced with a cutoff on the off-target score. We also evaluate on-target efficiency prediction algorithms against available datasets. The correlation between the predictions and the guide activity varied considerably, especially for zebrafish. Together with novel data from our labs, we find that the optimal on-target efficiency prediction model strongly depends on whether the guide RNA is expressed from a U6 promoter or transcribed in vitro. We further demonstrate that the best predictions can significantly reduce the time spent on guide screening.\n            \n            \n              Conclusions\n              \n                To make these guidelines easily accessible to anyone planning a CRISPR genome editing experiment, we built a new website (\n                http://crispor.org\n                ) that predicts off-targets and helps select and clone efficient guide sequences for more than 120 genomes using different Cas9 proteins and the eight efficiency scoring systems evaluated here.","container-title":"Genome Biology","DOI":"10.1186/s13059-016-1012-2","ISSN":"1474-760X","issue":"1","journalAbbreviation":"Genome Biol","language":"en","page":"148","source":"DOI.org (Crossref)","title":"Evaluation of off-target and on-target scoring algorithms and integration into the guide RNA selection tool CRISPOR","volume":"17","author":[{"family":"Haeussler","given":"Maximilian"},{"family":"Schönig","given":"Kai"},{"family":"Eckert","given":"Hélène"},{"family":"Eschstruth","given":"Alexis"},{"family":"Mianné","given":"Joffrey"},{"family":"Renaud","given":"Jean-Baptiste"},{"family":"Schneider-Maunoury","given":"Sylvie"},{"family":"Shkumatava","given":"Alena"},{"family":"Teboul","given":"Lydia"},{"family":"Kent","given":"Jim"},{"family":"Joly","given":"Jean-Stephane"},{"family":"Concordet","given":"Jean-Paul"}],"issued":{"date-parts":[["2016",12]]}}}],"schema":"https://github.com/citation-style-language/schema/raw/master/csl-citation.json"} </w:instrText>
      </w:r>
      <w:r w:rsidR="007E1C90" w:rsidRPr="004C1020">
        <w:rPr>
          <w:rFonts w:ascii="Sylfaen" w:hAnsi="Sylfaen"/>
        </w:rPr>
        <w:fldChar w:fldCharType="separate"/>
      </w:r>
      <w:r w:rsidR="007E1C90" w:rsidRPr="004C1020">
        <w:rPr>
          <w:rFonts w:ascii="Sylfaen" w:hAnsi="Sylfaen" w:cs="Calibri"/>
        </w:rPr>
        <w:t>(Haeussler et al., 2016)</w:t>
      </w:r>
      <w:r w:rsidR="007E1C90" w:rsidRPr="004C1020">
        <w:rPr>
          <w:rFonts w:ascii="Sylfaen" w:hAnsi="Sylfaen"/>
        </w:rPr>
        <w:fldChar w:fldCharType="end"/>
      </w:r>
      <w:r w:rsidRPr="004C1020">
        <w:rPr>
          <w:rFonts w:ascii="Sylfaen" w:hAnsi="Sylfaen"/>
        </w:rPr>
        <w:t xml:space="preserve">. Subsequently, the project explores guide safety profiling, indel spectrum predictions, vector </w:t>
      </w:r>
      <w:r w:rsidRPr="004C1020">
        <w:rPr>
          <w:rFonts w:ascii="Sylfaen" w:hAnsi="Sylfaen"/>
        </w:rPr>
        <w:lastRenderedPageBreak/>
        <w:t xml:space="preserve">architecture design, antibody sequence codon optimization, and an </w:t>
      </w:r>
      <w:r w:rsidRPr="004C1020">
        <w:rPr>
          <w:rFonts w:ascii="Sylfaen" w:hAnsi="Sylfaen"/>
          <w:i/>
          <w:iCs/>
        </w:rPr>
        <w:t>in silico</w:t>
      </w:r>
      <w:r w:rsidRPr="004C1020">
        <w:rPr>
          <w:rFonts w:ascii="Sylfaen" w:hAnsi="Sylfaen"/>
        </w:rPr>
        <w:t xml:space="preserve"> scoring method for evaluating expression cassette performance. The pipeline then incorporates genome-scale metabolic modeling using the iCHO1766 metabolic network, providing predictive insights into the effects of GS knockout on CHO cell metabolism, growth rates, and monoclonal antibody production. Finally, the project includes a techno-economic assessment to quantify the expected improvements in productivity and reductions in manufacturing costs resulting from the engineered cell line.</w:t>
      </w:r>
    </w:p>
    <w:p w14:paraId="54774C68" w14:textId="77777777" w:rsidR="008C004C" w:rsidRPr="004C1020" w:rsidRDefault="008C004C" w:rsidP="004C1020">
      <w:pPr>
        <w:spacing w:line="360" w:lineRule="auto"/>
        <w:rPr>
          <w:rFonts w:ascii="Sylfaen" w:hAnsi="Sylfaen"/>
        </w:rPr>
      </w:pPr>
      <w:r w:rsidRPr="004C1020">
        <w:rPr>
          <w:rFonts w:ascii="Sylfaen" w:hAnsi="Sylfaen"/>
        </w:rPr>
        <w:t>This research addresses a practical biotechnology challenge: engineering a more productive, economically viable CHO platform through computational predictions and optimizations before substantial investment in laboratory validation. Furthermore, the resulting computational workflow offers a modular, reproducible pipeline adaptable for engineering other therapeutic proteins and antibodies.</w:t>
      </w:r>
    </w:p>
    <w:p w14:paraId="6F098900" w14:textId="77777777" w:rsidR="00644115" w:rsidRPr="004C1020" w:rsidRDefault="00644115" w:rsidP="004C1020">
      <w:pPr>
        <w:spacing w:line="360" w:lineRule="auto"/>
        <w:rPr>
          <w:rFonts w:ascii="Sylfaen" w:hAnsi="Sylfaen"/>
        </w:rPr>
      </w:pPr>
    </w:p>
    <w:sectPr w:rsidR="00644115" w:rsidRPr="004C1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AB"/>
    <w:rsid w:val="002D19B3"/>
    <w:rsid w:val="004C1020"/>
    <w:rsid w:val="00644115"/>
    <w:rsid w:val="00684FC7"/>
    <w:rsid w:val="007E1C90"/>
    <w:rsid w:val="00836859"/>
    <w:rsid w:val="008C004C"/>
    <w:rsid w:val="009C4C19"/>
    <w:rsid w:val="009E3985"/>
    <w:rsid w:val="00A22767"/>
    <w:rsid w:val="00D24D6F"/>
    <w:rsid w:val="00D849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172A"/>
  <w15:chartTrackingRefBased/>
  <w15:docId w15:val="{98E31608-7811-4ABC-A6AF-314B3E4D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9AB"/>
    <w:rPr>
      <w:rFonts w:eastAsiaTheme="majorEastAsia" w:cstheme="majorBidi"/>
      <w:color w:val="272727" w:themeColor="text1" w:themeTint="D8"/>
    </w:rPr>
  </w:style>
  <w:style w:type="paragraph" w:styleId="Title">
    <w:name w:val="Title"/>
    <w:basedOn w:val="Normal"/>
    <w:next w:val="Normal"/>
    <w:link w:val="TitleChar"/>
    <w:uiPriority w:val="10"/>
    <w:qFormat/>
    <w:rsid w:val="00D84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9AB"/>
    <w:pPr>
      <w:spacing w:before="160"/>
      <w:jc w:val="center"/>
    </w:pPr>
    <w:rPr>
      <w:i/>
      <w:iCs/>
      <w:color w:val="404040" w:themeColor="text1" w:themeTint="BF"/>
    </w:rPr>
  </w:style>
  <w:style w:type="character" w:customStyle="1" w:styleId="QuoteChar">
    <w:name w:val="Quote Char"/>
    <w:basedOn w:val="DefaultParagraphFont"/>
    <w:link w:val="Quote"/>
    <w:uiPriority w:val="29"/>
    <w:rsid w:val="00D849AB"/>
    <w:rPr>
      <w:i/>
      <w:iCs/>
      <w:color w:val="404040" w:themeColor="text1" w:themeTint="BF"/>
    </w:rPr>
  </w:style>
  <w:style w:type="paragraph" w:styleId="ListParagraph">
    <w:name w:val="List Paragraph"/>
    <w:basedOn w:val="Normal"/>
    <w:uiPriority w:val="34"/>
    <w:qFormat/>
    <w:rsid w:val="00D849AB"/>
    <w:pPr>
      <w:ind w:left="720"/>
      <w:contextualSpacing/>
    </w:pPr>
  </w:style>
  <w:style w:type="character" w:styleId="IntenseEmphasis">
    <w:name w:val="Intense Emphasis"/>
    <w:basedOn w:val="DefaultParagraphFont"/>
    <w:uiPriority w:val="21"/>
    <w:qFormat/>
    <w:rsid w:val="00D849AB"/>
    <w:rPr>
      <w:i/>
      <w:iCs/>
      <w:color w:val="2F5496" w:themeColor="accent1" w:themeShade="BF"/>
    </w:rPr>
  </w:style>
  <w:style w:type="paragraph" w:styleId="IntenseQuote">
    <w:name w:val="Intense Quote"/>
    <w:basedOn w:val="Normal"/>
    <w:next w:val="Normal"/>
    <w:link w:val="IntenseQuoteChar"/>
    <w:uiPriority w:val="30"/>
    <w:qFormat/>
    <w:rsid w:val="00D84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9AB"/>
    <w:rPr>
      <w:i/>
      <w:iCs/>
      <w:color w:val="2F5496" w:themeColor="accent1" w:themeShade="BF"/>
    </w:rPr>
  </w:style>
  <w:style w:type="character" w:styleId="IntenseReference">
    <w:name w:val="Intense Reference"/>
    <w:basedOn w:val="DefaultParagraphFont"/>
    <w:uiPriority w:val="32"/>
    <w:qFormat/>
    <w:rsid w:val="00D849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631720">
      <w:bodyDiv w:val="1"/>
      <w:marLeft w:val="0"/>
      <w:marRight w:val="0"/>
      <w:marTop w:val="0"/>
      <w:marBottom w:val="0"/>
      <w:divBdr>
        <w:top w:val="none" w:sz="0" w:space="0" w:color="auto"/>
        <w:left w:val="none" w:sz="0" w:space="0" w:color="auto"/>
        <w:bottom w:val="none" w:sz="0" w:space="0" w:color="auto"/>
        <w:right w:val="none" w:sz="0" w:space="0" w:color="auto"/>
      </w:divBdr>
    </w:div>
    <w:div w:id="144757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haghi</dc:creator>
  <cp:keywords/>
  <dc:description/>
  <cp:lastModifiedBy>sajjad haghi</cp:lastModifiedBy>
  <cp:revision>5</cp:revision>
  <dcterms:created xsi:type="dcterms:W3CDTF">2025-05-02T11:30:00Z</dcterms:created>
  <dcterms:modified xsi:type="dcterms:W3CDTF">2025-05-02T13:29:00Z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id="yA80ZCYl"/&gt;&lt;style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