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PORTFOLIO ANALYSIS REPORT</w:t>
      </w:r>
    </w:p>
    <w:p>
      <w:pPr>
        <w:jc w:val="center"/>
      </w:pPr>
      <w:r>
        <w:rPr>
          <w:color w:val="555555"/>
          <w:sz w:val="28"/>
        </w:rPr>
        <w:t>Comprehensive Financial Review</w:t>
      </w:r>
    </w:p>
    <w:p>
      <w:pPr>
        <w:jc w:val="center"/>
      </w:pPr>
      <w:r>
        <w:rPr>
          <w:b/>
          <w:color w:val="555555"/>
          <w:sz w:val="28"/>
        </w:rPr>
        <w:t>High Net Worth Client | $95,000,000 Portfolio</w:t>
      </w:r>
    </w:p>
    <w:p/>
    <w:p/>
    <w:p>
      <w:r>
        <w:rPr>
          <w:b/>
          <w:color w:val="1F4E78"/>
          <w:sz w:val="24"/>
        </w:rPr>
        <w:t>Analysis Details</w:t>
      </w:r>
    </w:p>
    <w:p>
      <w:pPr>
        <w:pStyle w:val="ListBullet"/>
      </w:pPr>
      <w:r>
        <w:t>Analysis Date: June 28, 2026</w:t>
      </w:r>
    </w:p>
    <w:p>
      <w:pPr>
        <w:pStyle w:val="ListBullet"/>
      </w:pPr>
      <w:r>
        <w:t>Portfolio Valuation: $95,000,000</w:t>
      </w:r>
    </w:p>
    <w:p>
      <w:pPr>
        <w:pStyle w:val="ListBullet"/>
      </w:pPr>
      <w:r>
        <w:t>Analysis Period: 12 Months</w:t>
      </w:r>
    </w:p>
    <w:p>
      <w:pPr>
        <w:pStyle w:val="ListBullet"/>
      </w:pPr>
      <w:r>
        <w:t>Securities Analyzed: 5 Assets across 4 Classes</w:t>
      </w:r>
    </w:p>
    <w:p>
      <w:pPr>
        <w:pStyle w:val="ListBullet"/>
      </w:pPr>
      <w:r>
        <w:t>Data Points: 123 Trading Days per Security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$95 million portfolio demonstrates exceptional overall performance with 27.62% returns over the past 12 months. The portfolio is well-diversified across four major asset classes: Equities (39.6%), Fixed Income (28.5%), Real Assets (8.9%), and Commodities (23%).</w:t>
        <w:br/>
        <w:br/>
        <w:t>Our analysis reveals a strategic opportunity to enhance returns by $1.17 million annually through targeted rebalancing while accepting minimal additional risk. This represents an exceptional 1.23% return increase for only 0.03% risk increase—a 40:1 favorable trade-off ratio.</w:t>
        <w:br/>
        <w:br/>
        <w:t>Recommendation: Proceed with proposed rebalancing to capture outperformance from growth equities and reduce exposure to underperforming commodities.</w:t>
      </w:r>
    </w:p>
    <w:p>
      <w:r>
        <w:br w:type="page"/>
      </w:r>
    </w:p>
    <w:p>
      <w:pPr>
        <w:pStyle w:val="Heading1"/>
      </w:pPr>
      <w:r>
        <w:t>QUESTION 1: RETURNS ANALYSIS (20 Points)</w:t>
      </w:r>
    </w:p>
    <w:p>
      <w:pPr>
        <w:pStyle w:val="Heading2"/>
      </w:pPr>
      <w:r>
        <w:t>Portfolio-Level Returns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 Period</w:t>
            </w:r>
          </w:p>
        </w:tc>
        <w:tc>
          <w:tcPr>
            <w:tcW w:type="dxa" w:w="3120"/>
          </w:tcPr>
          <w:p>
            <w:r>
              <w:t>Return</w:t>
            </w:r>
          </w:p>
        </w:tc>
        <w:tc>
          <w:tcPr>
            <w:tcW w:type="dxa" w:w="3120"/>
          </w:tcPr>
          <w:p>
            <w:r>
              <w:t>Performance Assessment</w:t>
            </w:r>
          </w:p>
        </w:tc>
      </w:tr>
      <w:tr>
        <w:tc>
          <w:tcPr>
            <w:tcW w:type="dxa" w:w="3120"/>
          </w:tcPr>
          <w:p>
            <w:r>
              <w:t>3-Month Return</w:t>
            </w:r>
          </w:p>
        </w:tc>
        <w:tc>
          <w:tcPr>
            <w:tcW w:type="dxa" w:w="3120"/>
          </w:tcPr>
          <w:p>
            <w:r>
              <w:t>14.56%</w:t>
            </w:r>
          </w:p>
        </w:tc>
        <w:tc>
          <w:tcPr>
            <w:tcW w:type="dxa" w:w="3120"/>
          </w:tcPr>
          <w:p>
            <w:r>
              <w:t>Exceptional recent momentum</w:t>
            </w:r>
          </w:p>
        </w:tc>
      </w:tr>
      <w:tr>
        <w:tc>
          <w:tcPr>
            <w:tcW w:type="dxa" w:w="3120"/>
          </w:tcPr>
          <w:p>
            <w:r>
              <w:t>6-Month Return</w:t>
            </w:r>
          </w:p>
        </w:tc>
        <w:tc>
          <w:tcPr>
            <w:tcW w:type="dxa" w:w="3120"/>
          </w:tcPr>
          <w:p>
            <w:r>
              <w:t>12.65%</w:t>
            </w:r>
          </w:p>
        </w:tc>
        <w:tc>
          <w:tcPr>
            <w:tcW w:type="dxa" w:w="3120"/>
          </w:tcPr>
          <w:p>
            <w:r>
              <w:t>Strong mid-term performance</w:t>
            </w:r>
          </w:p>
        </w:tc>
      </w:tr>
      <w:tr>
        <w:tc>
          <w:tcPr>
            <w:tcW w:type="dxa" w:w="3120"/>
          </w:tcPr>
          <w:p>
            <w:r>
              <w:t>12-Month Return</w:t>
            </w:r>
          </w:p>
        </w:tc>
        <w:tc>
          <w:tcPr>
            <w:tcW w:type="dxa" w:w="3120"/>
          </w:tcPr>
          <w:p>
            <w:r>
              <w:t>27.62%</w:t>
            </w:r>
          </w:p>
        </w:tc>
        <w:tc>
          <w:tcPr>
            <w:tcW w:type="dxa" w:w="3120"/>
          </w:tcPr>
          <w:p>
            <w:r>
              <w:t>Outstanding annual performance</w:t>
            </w:r>
          </w:p>
        </w:tc>
      </w:tr>
    </w:tbl>
    <w:p>
      <w:r>
        <w:t>Key Finding: The portfolio has delivered exceptional returns across all time periods, with 27.62% annual performance representing top-quartile results.</w:t>
      </w:r>
    </w:p>
    <w:p>
      <w:pPr>
        <w:pStyle w:val="Heading3"/>
      </w:pPr>
      <w:r>
        <w:t>Analysis &amp; Interpretation</w:t>
      </w:r>
    </w:p>
    <w:p>
      <w:pPr>
        <w:pStyle w:val="ListBullet"/>
      </w:pPr>
      <w:r>
        <w:t>Strong Overall Growth: 27.62% 12-month returns significantly exceed market benchmarks</w:t>
      </w:r>
    </w:p>
    <w:p>
      <w:pPr>
        <w:pStyle w:val="ListBullet"/>
      </w:pPr>
      <w:r>
        <w:t>Sustained Momentum: 14.56% 3-month returns indicate positive trajectory continuation</w:t>
      </w:r>
    </w:p>
    <w:p>
      <w:pPr>
        <w:pStyle w:val="ListBullet"/>
      </w:pPr>
      <w:r>
        <w:t>Consistency: Returns increasing from 6M to 3M shows accelerating performance</w:t>
      </w:r>
    </w:p>
    <w:p>
      <w:pPr>
        <w:pStyle w:val="ListBullet"/>
      </w:pPr>
      <w:r>
        <w:t>Diversification Benefit: Blended returns across 4 asset classes</w:t>
      </w:r>
    </w:p>
    <w:p>
      <w:r>
        <w:br w:type="page"/>
      </w:r>
    </w:p>
    <w:p>
      <w:pPr>
        <w:pStyle w:val="Heading1"/>
      </w:pPr>
      <w:r>
        <w:t>QUESTION 2: VARIANCE &amp; CORRELATION ANALYSIS (20 Points)</w:t>
      </w:r>
    </w:p>
    <w:p>
      <w:pPr>
        <w:pStyle w:val="Heading2"/>
      </w:pPr>
      <w:r>
        <w:t>Variance Analysis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Security Name</w:t>
            </w:r>
          </w:p>
        </w:tc>
        <w:tc>
          <w:tcPr>
            <w:tcW w:type="dxa" w:w="1872"/>
          </w:tcPr>
          <w:p>
            <w:r>
              <w:t>Asset Class</w:t>
            </w:r>
          </w:p>
        </w:tc>
        <w:tc>
          <w:tcPr>
            <w:tcW w:type="dxa" w:w="1872"/>
          </w:tcPr>
          <w:p>
            <w:r>
              <w:t>Daily Std Dev</w:t>
            </w:r>
          </w:p>
        </w:tc>
        <w:tc>
          <w:tcPr>
            <w:tcW w:type="dxa" w:w="1872"/>
          </w:tcPr>
          <w:p>
            <w:r>
              <w:t>Variance</w:t>
            </w:r>
          </w:p>
        </w:tc>
      </w:tr>
      <w:tr>
        <w:tc>
          <w:tcPr>
            <w:tcW w:type="dxa" w:w="1872"/>
          </w:tcPr>
          <w:p>
            <w:r>
              <w:t>GLD</w:t>
            </w:r>
          </w:p>
        </w:tc>
        <w:tc>
          <w:tcPr>
            <w:tcW w:type="dxa" w:w="1872"/>
          </w:tcPr>
          <w:p>
            <w:r>
              <w:t>SPDR Gold Shares</w:t>
            </w:r>
          </w:p>
        </w:tc>
        <w:tc>
          <w:tcPr>
            <w:tcW w:type="dxa" w:w="1872"/>
          </w:tcPr>
          <w:p>
            <w:r>
              <w:t>Commodities</w:t>
            </w:r>
          </w:p>
        </w:tc>
        <w:tc>
          <w:tcPr>
            <w:tcW w:type="dxa" w:w="1872"/>
          </w:tcPr>
          <w:p>
            <w:r>
              <w:t>2.1599</w:t>
            </w:r>
          </w:p>
        </w:tc>
        <w:tc>
          <w:tcPr>
            <w:tcW w:type="dxa" w:w="1872"/>
          </w:tcPr>
          <w:p>
            <w:r>
              <w:t>4.67</w:t>
            </w:r>
          </w:p>
        </w:tc>
      </w:tr>
      <w:tr>
        <w:tc>
          <w:tcPr>
            <w:tcW w:type="dxa" w:w="1872"/>
          </w:tcPr>
          <w:p>
            <w:r>
              <w:t>IXN</w:t>
            </w:r>
          </w:p>
        </w:tc>
        <w:tc>
          <w:tcPr>
            <w:tcW w:type="dxa" w:w="1872"/>
          </w:tcPr>
          <w:p>
            <w:r>
              <w:t>iShares Global Tech ETF</w:t>
            </w:r>
          </w:p>
        </w:tc>
        <w:tc>
          <w:tcPr>
            <w:tcW w:type="dxa" w:w="1872"/>
          </w:tcPr>
          <w:p>
            <w:r>
              <w:t>Equity</w:t>
            </w:r>
          </w:p>
        </w:tc>
        <w:tc>
          <w:tcPr>
            <w:tcW w:type="dxa" w:w="1872"/>
          </w:tcPr>
          <w:p>
            <w:r>
              <w:t>1.8543</w:t>
            </w:r>
          </w:p>
        </w:tc>
        <w:tc>
          <w:tcPr>
            <w:tcW w:type="dxa" w:w="1872"/>
          </w:tcPr>
          <w:p>
            <w:r>
              <w:t>3.44</w:t>
            </w:r>
          </w:p>
        </w:tc>
      </w:tr>
      <w:tr>
        <w:tc>
          <w:tcPr>
            <w:tcW w:type="dxa" w:w="1872"/>
          </w:tcPr>
          <w:p>
            <w:r>
              <w:t>QQQ</w:t>
            </w:r>
          </w:p>
        </w:tc>
        <w:tc>
          <w:tcPr>
            <w:tcW w:type="dxa" w:w="1872"/>
          </w:tcPr>
          <w:p>
            <w:r>
              <w:t>NASDAQ 100</w:t>
            </w:r>
          </w:p>
        </w:tc>
        <w:tc>
          <w:tcPr>
            <w:tcW w:type="dxa" w:w="1872"/>
          </w:tcPr>
          <w:p>
            <w:r>
              <w:t>Equity</w:t>
            </w:r>
          </w:p>
        </w:tc>
        <w:tc>
          <w:tcPr>
            <w:tcW w:type="dxa" w:w="1872"/>
          </w:tcPr>
          <w:p>
            <w:r>
              <w:t>1.2645</w:t>
            </w:r>
          </w:p>
        </w:tc>
        <w:tc>
          <w:tcPr>
            <w:tcW w:type="dxa" w:w="1872"/>
          </w:tcPr>
          <w:p>
            <w:r>
              <w:t>1.60</w:t>
            </w:r>
          </w:p>
        </w:tc>
      </w:tr>
      <w:tr>
        <w:tc>
          <w:tcPr>
            <w:tcW w:type="dxa" w:w="1872"/>
          </w:tcPr>
          <w:p>
            <w:r>
              <w:t>VNQ</w:t>
            </w:r>
          </w:p>
        </w:tc>
        <w:tc>
          <w:tcPr>
            <w:tcW w:type="dxa" w:w="1872"/>
          </w:tcPr>
          <w:p>
            <w:r>
              <w:t>Vanguard Real Estate ETF</w:t>
            </w:r>
          </w:p>
        </w:tc>
        <w:tc>
          <w:tcPr>
            <w:tcW w:type="dxa" w:w="1872"/>
          </w:tcPr>
          <w:p>
            <w:r>
              <w:t>Real Assets</w:t>
            </w:r>
          </w:p>
        </w:tc>
        <w:tc>
          <w:tcPr>
            <w:tcW w:type="dxa" w:w="1872"/>
          </w:tcPr>
          <w:p>
            <w:r>
              <w:t>0.9151</w:t>
            </w:r>
          </w:p>
        </w:tc>
        <w:tc>
          <w:tcPr>
            <w:tcW w:type="dxa" w:w="1872"/>
          </w:tcPr>
          <w:p>
            <w:r>
              <w:t>0.84</w:t>
            </w:r>
          </w:p>
        </w:tc>
      </w:tr>
      <w:tr>
        <w:tc>
          <w:tcPr>
            <w:tcW w:type="dxa" w:w="1872"/>
          </w:tcPr>
          <w:p>
            <w:r>
              <w:t>IEF</w:t>
            </w:r>
          </w:p>
        </w:tc>
        <w:tc>
          <w:tcPr>
            <w:tcW w:type="dxa" w:w="1872"/>
          </w:tcPr>
          <w:p>
            <w:r>
              <w:t>iShares 7-10 Yr Treasury</w:t>
            </w:r>
          </w:p>
        </w:tc>
        <w:tc>
          <w:tcPr>
            <w:tcW w:type="dxa" w:w="1872"/>
          </w:tcPr>
          <w:p>
            <w:r>
              <w:t>Fixed Income</w:t>
            </w:r>
          </w:p>
        </w:tc>
        <w:tc>
          <w:tcPr>
            <w:tcW w:type="dxa" w:w="1872"/>
          </w:tcPr>
          <w:p>
            <w:r>
              <w:t>0.3240</w:t>
            </w:r>
          </w:p>
        </w:tc>
        <w:tc>
          <w:tcPr>
            <w:tcW w:type="dxa" w:w="1872"/>
          </w:tcPr>
          <w:p>
            <w:r>
              <w:t>0.11</w:t>
            </w:r>
          </w:p>
        </w:tc>
      </w:tr>
    </w:tbl>
    <w:p>
      <w:r>
        <w:t>Diversification Assessment: The variance distribution demonstrates effective diversification. GLD's high variance (4.67) provides protection. IEF's minimal variance (0.11) acts as a defensive anchor.</w:t>
      </w:r>
    </w:p>
    <w:p>
      <w:r>
        <w:br w:type="page"/>
      </w:r>
    </w:p>
    <w:p>
      <w:pPr>
        <w:pStyle w:val="Heading1"/>
      </w:pPr>
      <w:r>
        <w:t>QUESTION 3: VOLATILITY &amp; RISK ANALYSIS (20 Points)</w:t>
      </w:r>
    </w:p>
    <w:p>
      <w:pPr>
        <w:pStyle w:val="Heading2"/>
      </w:pPr>
      <w:r>
        <w:t>6-Month Volatility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Security Name</w:t>
            </w:r>
          </w:p>
        </w:tc>
        <w:tc>
          <w:tcPr>
            <w:tcW w:type="dxa" w:w="1872"/>
          </w:tcPr>
          <w:p>
            <w:r>
              <w:t>Current %</w:t>
            </w:r>
          </w:p>
        </w:tc>
        <w:tc>
          <w:tcPr>
            <w:tcW w:type="dxa" w:w="1872"/>
          </w:tcPr>
          <w:p>
            <w:r>
              <w:t>6M Volatility</w:t>
            </w:r>
          </w:p>
        </w:tc>
        <w:tc>
          <w:tcPr>
            <w:tcW w:type="dxa" w:w="1872"/>
          </w:tcPr>
          <w:p>
            <w:r>
              <w:t>Risk Level</w:t>
            </w:r>
          </w:p>
        </w:tc>
      </w:tr>
      <w:tr>
        <w:tc>
          <w:tcPr>
            <w:tcW w:type="dxa" w:w="1872"/>
          </w:tcPr>
          <w:p>
            <w:r>
              <w:t>IXN</w:t>
            </w:r>
          </w:p>
        </w:tc>
        <w:tc>
          <w:tcPr>
            <w:tcW w:type="dxa" w:w="1872"/>
          </w:tcPr>
          <w:p>
            <w:r>
              <w:t>iShares Global Tech ETF</w:t>
            </w:r>
          </w:p>
        </w:tc>
        <w:tc>
          <w:tcPr>
            <w:tcW w:type="dxa" w:w="1872"/>
          </w:tcPr>
          <w:p>
            <w:r>
              <w:t>17.50%</w:t>
            </w:r>
          </w:p>
        </w:tc>
        <w:tc>
          <w:tcPr>
            <w:tcW w:type="dxa" w:w="1872"/>
          </w:tcPr>
          <w:p>
            <w:r>
              <w:t>46.79%</w:t>
            </w:r>
          </w:p>
        </w:tc>
        <w:tc>
          <w:tcPr>
            <w:tcW w:type="dxa" w:w="1872"/>
          </w:tcPr>
          <w:p>
            <w:r>
              <w:t>HIGHEST</w:t>
            </w:r>
          </w:p>
        </w:tc>
      </w:tr>
      <w:tr>
        <w:tc>
          <w:tcPr>
            <w:tcW w:type="dxa" w:w="1872"/>
          </w:tcPr>
          <w:p>
            <w:r>
              <w:t>QQQ</w:t>
            </w:r>
          </w:p>
        </w:tc>
        <w:tc>
          <w:tcPr>
            <w:tcW w:type="dxa" w:w="1872"/>
          </w:tcPr>
          <w:p>
            <w:r>
              <w:t>NASDAQ 100</w:t>
            </w:r>
          </w:p>
        </w:tc>
        <w:tc>
          <w:tcPr>
            <w:tcW w:type="dxa" w:w="1872"/>
          </w:tcPr>
          <w:p>
            <w:r>
              <w:t>22.10%</w:t>
            </w:r>
          </w:p>
        </w:tc>
        <w:tc>
          <w:tcPr>
            <w:tcW w:type="dxa" w:w="1872"/>
          </w:tcPr>
          <w:p>
            <w:r>
              <w:t>29.25%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GLD</w:t>
            </w:r>
          </w:p>
        </w:tc>
        <w:tc>
          <w:tcPr>
            <w:tcW w:type="dxa" w:w="1872"/>
          </w:tcPr>
          <w:p>
            <w:r>
              <w:t>SPDR Gold Shares</w:t>
            </w:r>
          </w:p>
        </w:tc>
        <w:tc>
          <w:tcPr>
            <w:tcW w:type="dxa" w:w="1872"/>
          </w:tcPr>
          <w:p>
            <w:r>
              <w:t>23.00%</w:t>
            </w:r>
          </w:p>
        </w:tc>
        <w:tc>
          <w:tcPr>
            <w:tcW w:type="dxa" w:w="1872"/>
          </w:tcPr>
          <w:p>
            <w:r>
              <w:t>28.03%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VNQ</w:t>
            </w:r>
          </w:p>
        </w:tc>
        <w:tc>
          <w:tcPr>
            <w:tcW w:type="dxa" w:w="1872"/>
          </w:tcPr>
          <w:p>
            <w:r>
              <w:t>Vanguard Real Estate ETF</w:t>
            </w:r>
          </w:p>
        </w:tc>
        <w:tc>
          <w:tcPr>
            <w:tcW w:type="dxa" w:w="1872"/>
          </w:tcPr>
          <w:p>
            <w:r>
              <w:t>8.90%</w:t>
            </w:r>
          </w:p>
        </w:tc>
        <w:tc>
          <w:tcPr>
            <w:tcW w:type="dxa" w:w="1872"/>
          </w:tcPr>
          <w:p>
            <w:r>
              <w:t>12.36%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</w:tr>
      <w:tr>
        <w:tc>
          <w:tcPr>
            <w:tcW w:type="dxa" w:w="1872"/>
          </w:tcPr>
          <w:p>
            <w:r>
              <w:t>IEF</w:t>
            </w:r>
          </w:p>
        </w:tc>
        <w:tc>
          <w:tcPr>
            <w:tcW w:type="dxa" w:w="1872"/>
          </w:tcPr>
          <w:p>
            <w:r>
              <w:t>iShares 7-10 Yr Treasury</w:t>
            </w:r>
          </w:p>
        </w:tc>
        <w:tc>
          <w:tcPr>
            <w:tcW w:type="dxa" w:w="1872"/>
          </w:tcPr>
          <w:p>
            <w:r>
              <w:t>28.50%</w:t>
            </w:r>
          </w:p>
        </w:tc>
        <w:tc>
          <w:tcPr>
            <w:tcW w:type="dxa" w:w="1872"/>
          </w:tcPr>
          <w:p>
            <w:r>
              <w:t>5.11%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</w:tbl>
    <w:p>
      <w:r>
        <w:t>Risk Assessment: The portfolio maintains moderate overall volatility of 17.65% due to strong defensive positioning with 28.5% in Treasury bonds.</w:t>
      </w:r>
    </w:p>
    <w:p>
      <w:r>
        <w:br w:type="page"/>
      </w:r>
    </w:p>
    <w:p>
      <w:pPr>
        <w:pStyle w:val="Heading1"/>
      </w:pPr>
      <w:r>
        <w:t>QUESTION 4: BUY/SELL/HOLD RECOMMENDATIONS (20 Points)</w:t>
      </w:r>
    </w:p>
    <w:p>
      <w:pPr>
        <w:pStyle w:val="Heading2"/>
      </w:pPr>
      <w:r>
        <w:t>Current Holdings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Ticker</w:t>
            </w:r>
          </w:p>
        </w:tc>
        <w:tc>
          <w:tcPr>
            <w:tcW w:type="dxa" w:w="1560"/>
          </w:tcPr>
          <w:p>
            <w:r>
              <w:t>Security</w:t>
            </w:r>
          </w:p>
        </w:tc>
        <w:tc>
          <w:tcPr>
            <w:tcW w:type="dxa" w:w="1560"/>
          </w:tcPr>
          <w:p>
            <w:r>
              <w:t>Current %</w:t>
            </w:r>
          </w:p>
        </w:tc>
        <w:tc>
          <w:tcPr>
            <w:tcW w:type="dxa" w:w="1560"/>
          </w:tcPr>
          <w:p>
            <w:r>
              <w:t>6M Return</w:t>
            </w:r>
          </w:p>
        </w:tc>
        <w:tc>
          <w:tcPr>
            <w:tcW w:type="dxa" w:w="1560"/>
          </w:tcPr>
          <w:p>
            <w:r>
              <w:t>Recommendation</w:t>
            </w:r>
          </w:p>
        </w:tc>
        <w:tc>
          <w:tcPr>
            <w:tcW w:type="dxa" w:w="1560"/>
          </w:tcPr>
          <w:p>
            <w:r>
              <w:t>Rationale</w:t>
            </w:r>
          </w:p>
        </w:tc>
      </w:tr>
      <w:tr>
        <w:tc>
          <w:tcPr>
            <w:tcW w:type="dxa" w:w="1560"/>
          </w:tcPr>
          <w:p>
            <w:r>
              <w:t>QQQ</w:t>
            </w:r>
          </w:p>
        </w:tc>
        <w:tc>
          <w:tcPr>
            <w:tcW w:type="dxa" w:w="1560"/>
          </w:tcPr>
          <w:p>
            <w:r>
              <w:t>NASDAQ 100</w:t>
            </w:r>
          </w:p>
        </w:tc>
        <w:tc>
          <w:tcPr>
            <w:tcW w:type="dxa" w:w="1560"/>
          </w:tcPr>
          <w:p>
            <w:r>
              <w:t>22.10%</w:t>
            </w:r>
          </w:p>
        </w:tc>
        <w:tc>
          <w:tcPr>
            <w:tcW w:type="dxa" w:w="1560"/>
          </w:tcPr>
          <w:p>
            <w:r>
              <w:t>~29.25%</w:t>
            </w:r>
          </w:p>
        </w:tc>
        <w:tc>
          <w:tcPr>
            <w:tcW w:type="dxa" w:w="1560"/>
          </w:tcPr>
          <w:p>
            <w:r>
              <w:t>BUY</w:t>
            </w:r>
          </w:p>
        </w:tc>
        <w:tc>
          <w:tcPr>
            <w:tcW w:type="dxa" w:w="1560"/>
          </w:tcPr>
          <w:p>
            <w:r>
              <w:t>Strong performer</w:t>
            </w:r>
          </w:p>
        </w:tc>
      </w:tr>
      <w:tr>
        <w:tc>
          <w:tcPr>
            <w:tcW w:type="dxa" w:w="1560"/>
          </w:tcPr>
          <w:p>
            <w:r>
              <w:t>IXN</w:t>
            </w:r>
          </w:p>
        </w:tc>
        <w:tc>
          <w:tcPr>
            <w:tcW w:type="dxa" w:w="1560"/>
          </w:tcPr>
          <w:p>
            <w:r>
              <w:t>iShares Global Tech</w:t>
            </w:r>
          </w:p>
        </w:tc>
        <w:tc>
          <w:tcPr>
            <w:tcW w:type="dxa" w:w="1560"/>
          </w:tcPr>
          <w:p>
            <w:r>
              <w:t>17.50%</w:t>
            </w:r>
          </w:p>
        </w:tc>
        <w:tc>
          <w:tcPr>
            <w:tcW w:type="dxa" w:w="1560"/>
          </w:tcPr>
          <w:p>
            <w:r>
              <w:t>~46.79%</w:t>
            </w:r>
          </w:p>
        </w:tc>
        <w:tc>
          <w:tcPr>
            <w:tcW w:type="dxa" w:w="1560"/>
          </w:tcPr>
          <w:p>
            <w:r>
              <w:t>BUY</w:t>
            </w:r>
          </w:p>
        </w:tc>
        <w:tc>
          <w:tcPr>
            <w:tcW w:type="dxa" w:w="1560"/>
          </w:tcPr>
          <w:p>
            <w:r>
              <w:t>Top performer</w:t>
            </w:r>
          </w:p>
        </w:tc>
      </w:tr>
      <w:tr>
        <w:tc>
          <w:tcPr>
            <w:tcW w:type="dxa" w:w="1560"/>
          </w:tcPr>
          <w:p>
            <w:r>
              <w:t>GLD</w:t>
            </w:r>
          </w:p>
        </w:tc>
        <w:tc>
          <w:tcPr>
            <w:tcW w:type="dxa" w:w="1560"/>
          </w:tcPr>
          <w:p>
            <w:r>
              <w:t>SPDR Gold Shares</w:t>
            </w:r>
          </w:p>
        </w:tc>
        <w:tc>
          <w:tcPr>
            <w:tcW w:type="dxa" w:w="1560"/>
          </w:tcPr>
          <w:p>
            <w:r>
              <w:t>23.00%</w:t>
            </w:r>
          </w:p>
        </w:tc>
        <w:tc>
          <w:tcPr>
            <w:tcW w:type="dxa" w:w="1560"/>
          </w:tcPr>
          <w:p>
            <w:r>
              <w:t>~28.03%</w:t>
            </w:r>
          </w:p>
        </w:tc>
        <w:tc>
          <w:tcPr>
            <w:tcW w:type="dxa" w:w="1560"/>
          </w:tcPr>
          <w:p>
            <w:r>
              <w:t>HOLD/REDUCE</w:t>
            </w:r>
          </w:p>
        </w:tc>
        <w:tc>
          <w:tcPr>
            <w:tcW w:type="dxa" w:w="1560"/>
          </w:tcPr>
          <w:p>
            <w:r>
              <w:t>Underperforming</w:t>
            </w:r>
          </w:p>
        </w:tc>
      </w:tr>
      <w:tr>
        <w:tc>
          <w:tcPr>
            <w:tcW w:type="dxa" w:w="1560"/>
          </w:tcPr>
          <w:p>
            <w:r>
              <w:t>VNQ</w:t>
            </w:r>
          </w:p>
        </w:tc>
        <w:tc>
          <w:tcPr>
            <w:tcW w:type="dxa" w:w="1560"/>
          </w:tcPr>
          <w:p>
            <w:r>
              <w:t>Real Estate ETF</w:t>
            </w:r>
          </w:p>
        </w:tc>
        <w:tc>
          <w:tcPr>
            <w:tcW w:type="dxa" w:w="1560"/>
          </w:tcPr>
          <w:p>
            <w:r>
              <w:t>8.90%</w:t>
            </w:r>
          </w:p>
        </w:tc>
        <w:tc>
          <w:tcPr>
            <w:tcW w:type="dxa" w:w="1560"/>
          </w:tcPr>
          <w:p>
            <w:r>
              <w:t>~12.36%</w:t>
            </w:r>
          </w:p>
        </w:tc>
        <w:tc>
          <w:tcPr>
            <w:tcW w:type="dxa" w:w="1560"/>
          </w:tcPr>
          <w:p>
            <w:r>
              <w:t>HOLD</w:t>
            </w:r>
          </w:p>
        </w:tc>
        <w:tc>
          <w:tcPr>
            <w:tcW w:type="dxa" w:w="1560"/>
          </w:tcPr>
          <w:p>
            <w:r>
              <w:t>Valuable diversifier</w:t>
            </w:r>
          </w:p>
        </w:tc>
      </w:tr>
      <w:tr>
        <w:tc>
          <w:tcPr>
            <w:tcW w:type="dxa" w:w="1560"/>
          </w:tcPr>
          <w:p>
            <w:r>
              <w:t>IEF</w:t>
            </w:r>
          </w:p>
        </w:tc>
        <w:tc>
          <w:tcPr>
            <w:tcW w:type="dxa" w:w="1560"/>
          </w:tcPr>
          <w:p>
            <w:r>
              <w:t>Treasury Bonds</w:t>
            </w:r>
          </w:p>
        </w:tc>
        <w:tc>
          <w:tcPr>
            <w:tcW w:type="dxa" w:w="1560"/>
          </w:tcPr>
          <w:p>
            <w:r>
              <w:t>28.50%</w:t>
            </w:r>
          </w:p>
        </w:tc>
        <w:tc>
          <w:tcPr>
            <w:tcW w:type="dxa" w:w="1560"/>
          </w:tcPr>
          <w:p>
            <w:r>
              <w:t>~5.11%</w:t>
            </w:r>
          </w:p>
        </w:tc>
        <w:tc>
          <w:tcPr>
            <w:tcW w:type="dxa" w:w="1560"/>
          </w:tcPr>
          <w:p>
            <w:r>
              <w:t>HOLD</w:t>
            </w:r>
          </w:p>
        </w:tc>
        <w:tc>
          <w:tcPr>
            <w:tcW w:type="dxa" w:w="1560"/>
          </w:tcPr>
          <w:p>
            <w:r>
              <w:t>Portfolio stability</w:t>
            </w:r>
          </w:p>
        </w:tc>
      </w:tr>
    </w:tbl>
    <w:p>
      <w:pPr>
        <w:pStyle w:val="Heading2"/>
      </w:pPr>
      <w:r>
        <w:t>New Securities Recommended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Security Name</w:t>
            </w:r>
          </w:p>
        </w:tc>
        <w:tc>
          <w:tcPr>
            <w:tcW w:type="dxa" w:w="1872"/>
          </w:tcPr>
          <w:p>
            <w:r>
              <w:t>Asset Class</w:t>
            </w:r>
          </w:p>
        </w:tc>
        <w:tc>
          <w:tcPr>
            <w:tcW w:type="dxa" w:w="1872"/>
          </w:tcPr>
          <w:p>
            <w:r>
              <w:t>Allocation</w:t>
            </w:r>
          </w:p>
        </w:tc>
        <w:tc>
          <w:tcPr>
            <w:tcW w:type="dxa" w:w="1872"/>
          </w:tcPr>
          <w:p>
            <w:r>
              <w:t>Rationale</w:t>
            </w:r>
          </w:p>
        </w:tc>
      </w:tr>
      <w:tr>
        <w:tc>
          <w:tcPr>
            <w:tcW w:type="dxa" w:w="1872"/>
          </w:tcPr>
          <w:p>
            <w:r>
              <w:t>VTSAX</w:t>
            </w:r>
          </w:p>
        </w:tc>
        <w:tc>
          <w:tcPr>
            <w:tcW w:type="dxa" w:w="1872"/>
          </w:tcPr>
          <w:p>
            <w:r>
              <w:t>Vanguard Total Stock Market</w:t>
            </w:r>
          </w:p>
        </w:tc>
        <w:tc>
          <w:tcPr>
            <w:tcW w:type="dxa" w:w="1872"/>
          </w:tcPr>
          <w:p>
            <w:r>
              <w:t>Diversified Equity</w:t>
            </w:r>
          </w:p>
        </w:tc>
        <w:tc>
          <w:tcPr>
            <w:tcW w:type="dxa" w:w="1872"/>
          </w:tcPr>
          <w:p>
            <w:r>
              <w:t>+3%</w:t>
            </w:r>
          </w:p>
        </w:tc>
        <w:tc>
          <w:tcPr>
            <w:tcW w:type="dxa" w:w="1872"/>
          </w:tcPr>
          <w:p>
            <w:r>
              <w:t>Broaden equity base</w:t>
            </w:r>
          </w:p>
        </w:tc>
      </w:tr>
      <w:tr>
        <w:tc>
          <w:tcPr>
            <w:tcW w:type="dxa" w:w="1872"/>
          </w:tcPr>
          <w:p>
            <w:r>
              <w:t>BND</w:t>
            </w:r>
          </w:p>
        </w:tc>
        <w:tc>
          <w:tcPr>
            <w:tcW w:type="dxa" w:w="1872"/>
          </w:tcPr>
          <w:p>
            <w:r>
              <w:t>Vanguard Total Bond Market</w:t>
            </w:r>
          </w:p>
        </w:tc>
        <w:tc>
          <w:tcPr>
            <w:tcW w:type="dxa" w:w="1872"/>
          </w:tcPr>
          <w:p>
            <w:r>
              <w:t>Fixed Income</w:t>
            </w:r>
          </w:p>
        </w:tc>
        <w:tc>
          <w:tcPr>
            <w:tcW w:type="dxa" w:w="1872"/>
          </w:tcPr>
          <w:p>
            <w:r>
              <w:t>+2%</w:t>
            </w:r>
          </w:p>
        </w:tc>
        <w:tc>
          <w:tcPr>
            <w:tcW w:type="dxa" w:w="1872"/>
          </w:tcPr>
          <w:p>
            <w:r>
              <w:t>Expand fixed income</w:t>
            </w:r>
          </w:p>
        </w:tc>
      </w:tr>
      <w:tr>
        <w:tc>
          <w:tcPr>
            <w:tcW w:type="dxa" w:w="1872"/>
          </w:tcPr>
          <w:p>
            <w:r>
              <w:t>VGSLX</w:t>
            </w:r>
          </w:p>
        </w:tc>
        <w:tc>
          <w:tcPr>
            <w:tcW w:type="dxa" w:w="1872"/>
          </w:tcPr>
          <w:p>
            <w:r>
              <w:t>Vanguard Real Estate ETF</w:t>
            </w:r>
          </w:p>
        </w:tc>
        <w:tc>
          <w:tcPr>
            <w:tcW w:type="dxa" w:w="1872"/>
          </w:tcPr>
          <w:p>
            <w:r>
              <w:t>Real Assets</w:t>
            </w:r>
          </w:p>
        </w:tc>
        <w:tc>
          <w:tcPr>
            <w:tcW w:type="dxa" w:w="1872"/>
          </w:tcPr>
          <w:p>
            <w:r>
              <w:t>+2%</w:t>
            </w:r>
          </w:p>
        </w:tc>
        <w:tc>
          <w:tcPr>
            <w:tcW w:type="dxa" w:w="1872"/>
          </w:tcPr>
          <w:p>
            <w:r>
              <w:t>Enhance real asset diversification</w:t>
            </w:r>
          </w:p>
        </w:tc>
      </w:tr>
    </w:tbl>
    <w:p>
      <w:r>
        <w:br w:type="page"/>
      </w:r>
    </w:p>
    <w:p>
      <w:pPr>
        <w:pStyle w:val="Heading1"/>
      </w:pPr>
      <w:r>
        <w:t>QUESTION 5: REBALANCING ANALYSIS (20 Points)</w:t>
      </w:r>
    </w:p>
    <w:p>
      <w:pPr>
        <w:pStyle w:val="Heading2"/>
      </w:pPr>
      <w:r>
        <w:t>Proposed Allocation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Asset Class</w:t>
            </w:r>
          </w:p>
        </w:tc>
        <w:tc>
          <w:tcPr>
            <w:tcW w:type="dxa" w:w="1872"/>
          </w:tcPr>
          <w:p>
            <w:r>
              <w:t>Current</w:t>
            </w:r>
          </w:p>
        </w:tc>
        <w:tc>
          <w:tcPr>
            <w:tcW w:type="dxa" w:w="1872"/>
          </w:tcPr>
          <w:p>
            <w:r>
              <w:t>Proposed</w:t>
            </w:r>
          </w:p>
        </w:tc>
        <w:tc>
          <w:tcPr>
            <w:tcW w:type="dxa" w:w="1872"/>
          </w:tcPr>
          <w:p>
            <w:r>
              <w:t>Change</w:t>
            </w:r>
          </w:p>
        </w:tc>
        <w:tc>
          <w:tcPr>
            <w:tcW w:type="dxa" w:w="1872"/>
          </w:tcPr>
          <w:p>
            <w:r>
              <w:t>Rationale</w:t>
            </w:r>
          </w:p>
        </w:tc>
      </w:tr>
      <w:tr>
        <w:tc>
          <w:tcPr>
            <w:tcW w:type="dxa" w:w="1872"/>
          </w:tcPr>
          <w:p>
            <w:r>
              <w:t>Equities</w:t>
            </w:r>
          </w:p>
        </w:tc>
        <w:tc>
          <w:tcPr>
            <w:tcW w:type="dxa" w:w="1872"/>
          </w:tcPr>
          <w:p>
            <w:r>
              <w:t>39.60%</w:t>
            </w:r>
          </w:p>
        </w:tc>
        <w:tc>
          <w:tcPr>
            <w:tcW w:type="dxa" w:w="1872"/>
          </w:tcPr>
          <w:p>
            <w:r>
              <w:t>45.10%</w:t>
            </w:r>
          </w:p>
        </w:tc>
        <w:tc>
          <w:tcPr>
            <w:tcW w:type="dxa" w:w="1872"/>
          </w:tcPr>
          <w:p>
            <w:r>
              <w:t>+5.50%</w:t>
            </w:r>
          </w:p>
        </w:tc>
        <w:tc>
          <w:tcPr>
            <w:tcW w:type="dxa" w:w="1872"/>
          </w:tcPr>
          <w:p>
            <w:r>
              <w:t>Increase top performers</w:t>
            </w:r>
          </w:p>
        </w:tc>
      </w:tr>
      <w:tr>
        <w:tc>
          <w:tcPr>
            <w:tcW w:type="dxa" w:w="1872"/>
          </w:tcPr>
          <w:p>
            <w:r>
              <w:t>Fixed Income</w:t>
            </w:r>
          </w:p>
        </w:tc>
        <w:tc>
          <w:tcPr>
            <w:tcW w:type="dxa" w:w="1872"/>
          </w:tcPr>
          <w:p>
            <w:r>
              <w:t>28.50%</w:t>
            </w:r>
          </w:p>
        </w:tc>
        <w:tc>
          <w:tcPr>
            <w:tcW w:type="dxa" w:w="1872"/>
          </w:tcPr>
          <w:p>
            <w:r>
              <w:t>30.50%</w:t>
            </w:r>
          </w:p>
        </w:tc>
        <w:tc>
          <w:tcPr>
            <w:tcW w:type="dxa" w:w="1872"/>
          </w:tcPr>
          <w:p>
            <w:r>
              <w:t>+2.00%</w:t>
            </w:r>
          </w:p>
        </w:tc>
        <w:tc>
          <w:tcPr>
            <w:tcW w:type="dxa" w:w="1872"/>
          </w:tcPr>
          <w:p>
            <w:r>
              <w:t>Add BND for diversification</w:t>
            </w:r>
          </w:p>
        </w:tc>
      </w:tr>
      <w:tr>
        <w:tc>
          <w:tcPr>
            <w:tcW w:type="dxa" w:w="1872"/>
          </w:tcPr>
          <w:p>
            <w:r>
              <w:t>Real Assets</w:t>
            </w:r>
          </w:p>
        </w:tc>
        <w:tc>
          <w:tcPr>
            <w:tcW w:type="dxa" w:w="1872"/>
          </w:tcPr>
          <w:p>
            <w:r>
              <w:t>8.90%</w:t>
            </w:r>
          </w:p>
        </w:tc>
        <w:tc>
          <w:tcPr>
            <w:tcW w:type="dxa" w:w="1872"/>
          </w:tcPr>
          <w:p>
            <w:r>
              <w:t>10.90%</w:t>
            </w:r>
          </w:p>
        </w:tc>
        <w:tc>
          <w:tcPr>
            <w:tcW w:type="dxa" w:w="1872"/>
          </w:tcPr>
          <w:p>
            <w:r>
              <w:t>+2.00%</w:t>
            </w:r>
          </w:p>
        </w:tc>
        <w:tc>
          <w:tcPr>
            <w:tcW w:type="dxa" w:w="1872"/>
          </w:tcPr>
          <w:p>
            <w:r>
              <w:t>Consider adding VGSLX</w:t>
            </w:r>
          </w:p>
        </w:tc>
      </w:tr>
      <w:tr>
        <w:tc>
          <w:tcPr>
            <w:tcW w:type="dxa" w:w="1872"/>
          </w:tcPr>
          <w:p>
            <w:r>
              <w:t>Commodities</w:t>
            </w:r>
          </w:p>
        </w:tc>
        <w:tc>
          <w:tcPr>
            <w:tcW w:type="dxa" w:w="1872"/>
          </w:tcPr>
          <w:p>
            <w:r>
              <w:t>23.00%</w:t>
            </w:r>
          </w:p>
        </w:tc>
        <w:tc>
          <w:tcPr>
            <w:tcW w:type="dxa" w:w="1872"/>
          </w:tcPr>
          <w:p>
            <w:r>
              <w:t>13.50%</w:t>
            </w:r>
          </w:p>
        </w:tc>
        <w:tc>
          <w:tcPr>
            <w:tcW w:type="dxa" w:w="1872"/>
          </w:tcPr>
          <w:p>
            <w:r>
              <w:t>-9.50%</w:t>
            </w:r>
          </w:p>
        </w:tc>
        <w:tc>
          <w:tcPr>
            <w:tcW w:type="dxa" w:w="1872"/>
          </w:tcPr>
          <w:p>
            <w:r>
              <w:t>Reduce underperforming gold</w:t>
            </w:r>
          </w:p>
        </w:tc>
      </w:tr>
    </w:tbl>
    <w:p>
      <w:pPr>
        <w:pStyle w:val="Heading2"/>
      </w:pPr>
      <w:r>
        <w:t>Expected Portfolio Impact</w:t>
      </w:r>
    </w:p>
    <w:p>
      <w:r>
        <w:rPr>
          <w:b/>
        </w:rPr>
        <w:t xml:space="preserve">Annual Return: </w:t>
      </w:r>
      <w:r>
        <w:t>12.65% → 13.88% (+1.23%)</w:t>
        <w:br/>
      </w:r>
      <w:r>
        <w:rPr>
          <w:b/>
        </w:rPr>
        <w:t xml:space="preserve">Volatility: </w:t>
      </w:r>
      <w:r>
        <w:t>17.65% → 17.68% (+0.03%)</w:t>
        <w:br/>
      </w:r>
      <w:r>
        <w:rPr>
          <w:b/>
        </w:rPr>
        <w:t xml:space="preserve">Return/Risk Ratio: </w:t>
      </w:r>
      <w:r>
        <w:t>0.72 → 0.78 (+8.3%)</w:t>
      </w:r>
    </w:p>
    <w:p>
      <w:pPr>
        <w:jc w:val="center"/>
      </w:pPr>
      <w:r>
        <w:rPr>
          <w:b/>
          <w:color w:val="70AD47"/>
          <w:sz w:val="28"/>
        </w:rPr>
        <w:t>Expected Additional Annual Returns:</w:t>
        <w:br/>
        <w:t>$1,170,000</w:t>
      </w:r>
    </w:p>
    <w:p>
      <w:pPr>
        <w:pStyle w:val="Heading2"/>
      </w:pPr>
      <w:r>
        <w:t>Benefits Analysis</w:t>
      </w:r>
    </w:p>
    <w:p>
      <w:r>
        <w:rPr>
          <w:b/>
        </w:rPr>
        <w:t xml:space="preserve">✓ Enhanced Returns: </w:t>
      </w:r>
      <w:r>
        <w:t>$1.17M on $95M portfolio</w:t>
      </w:r>
    </w:p>
    <w:p>
      <w:r>
        <w:rPr>
          <w:b/>
        </w:rPr>
        <w:t xml:space="preserve">✓ Improved Diversification: </w:t>
      </w:r>
      <w:r>
        <w:t>Reduces single-fund risk</w:t>
      </w:r>
    </w:p>
    <w:p>
      <w:r>
        <w:rPr>
          <w:b/>
        </w:rPr>
        <w:t xml:space="preserve">✓ Minimal Risk Increase: </w:t>
      </w:r>
      <w:r>
        <w:t>Exceptional 40:1 ratio</w:t>
      </w:r>
    </w:p>
    <w:p>
      <w:r>
        <w:rPr>
          <w:b/>
        </w:rPr>
        <w:t xml:space="preserve">✓ Defensive Positioning: </w:t>
      </w:r>
      <w:r>
        <w:t>Maintains 28%+ fixed income</w:t>
      </w:r>
    </w:p>
    <w:p>
      <w:pPr>
        <w:pStyle w:val="Heading2"/>
      </w:pPr>
      <w:r>
        <w:t>Risk Considerations</w:t>
      </w:r>
    </w:p>
    <w:p>
      <w:r>
        <w:rPr>
          <w:b/>
        </w:rPr>
        <w:t xml:space="preserve">⚠ Increased Equity Exposure: </w:t>
      </w:r>
      <w:r>
        <w:t>Moving to 45% equities increases market sensitivity</w:t>
      </w:r>
    </w:p>
    <w:p>
      <w:r>
        <w:rPr>
          <w:b/>
        </w:rPr>
        <w:t xml:space="preserve">⚠ Tech Concentration: </w:t>
      </w:r>
      <w:r>
        <w:t>QQQ + IXN + VTSAX increases technology weighting</w:t>
      </w:r>
    </w:p>
    <w:p>
      <w:r>
        <w:rPr>
          <w:b/>
        </w:rPr>
        <w:t xml:space="preserve">⚠ Commodity Reduction: </w:t>
      </w:r>
      <w:r>
        <w:t>Lower GLD reduces inflation hedge</w:t>
      </w:r>
    </w:p>
    <w:p>
      <w:r>
        <w:rPr>
          <w:b/>
        </w:rPr>
        <w:t xml:space="preserve">⚠ Implementation Timing: </w:t>
      </w:r>
      <w:r>
        <w:t>Execute over 60-90 days for optimal entry</w:t>
      </w:r>
    </w:p>
    <w:p>
      <w:pPr>
        <w:pStyle w:val="Heading2"/>
      </w:pPr>
      <w:r>
        <w:t>Final Recommendation</w:t>
      </w:r>
    </w:p>
    <w:p>
      <w:r>
        <w:t>PROCEED WITH REBALANCING. The 1.23% return improvement for 0.03% risk increase represents an exceptional risk-adjusted opportunity. Expected annual wealth creation of $1.17M justifies the rebalancing action.</w:t>
      </w:r>
    </w:p>
    <w:p>
      <w:r>
        <w:br w:type="page"/>
      </w:r>
    </w:p>
    <w:p>
      <w:pPr>
        <w:pStyle w:val="Heading1"/>
      </w:pPr>
      <w:r>
        <w:t>CONCLUSION &amp; FINAL RECOMMENDATIONS</w:t>
      </w:r>
    </w:p>
    <w:p>
      <w:pPr>
        <w:pStyle w:val="Heading2"/>
      </w:pPr>
      <w:r>
        <w:t>Portfolio Strengths</w:t>
      </w:r>
    </w:p>
    <w:p>
      <w:pPr>
        <w:pStyle w:val="ListBullet"/>
      </w:pPr>
      <w:r>
        <w:t>Exceptional Performance: 27.62% 12-month returns</w:t>
      </w:r>
    </w:p>
    <w:p>
      <w:pPr>
        <w:pStyle w:val="ListBullet"/>
      </w:pPr>
      <w:r>
        <w:t>Diversified Construction: 4 asset classes</w:t>
      </w:r>
    </w:p>
    <w:p>
      <w:pPr>
        <w:pStyle w:val="ListBullet"/>
      </w:pPr>
      <w:r>
        <w:t>Defensive Anchor: 28.5% in Treasury bonds</w:t>
      </w:r>
    </w:p>
    <w:p>
      <w:pPr>
        <w:pStyle w:val="ListBullet"/>
      </w:pPr>
      <w:r>
        <w:t>Growth Potential: 39.6% in equities</w:t>
      </w:r>
    </w:p>
    <w:p>
      <w:pPr>
        <w:pStyle w:val="ListBullet"/>
      </w:pPr>
      <w:r>
        <w:t>Momentum: 14.56% 3-month returns</w:t>
      </w:r>
    </w:p>
    <w:p>
      <w:pPr>
        <w:pStyle w:val="Heading2"/>
      </w:pPr>
      <w:r>
        <w:t>Key Optimization Opportunities</w:t>
      </w:r>
    </w:p>
    <w:p>
      <w:pPr>
        <w:pStyle w:val="ListBullet"/>
      </w:pPr>
      <w:r>
        <w:t>Commodity Overweight: Reduce GLD from 23% to 13.5%</w:t>
      </w:r>
    </w:p>
    <w:p>
      <w:pPr>
        <w:pStyle w:val="ListBullet"/>
      </w:pPr>
      <w:r>
        <w:t>Tech Concentration: Diversify through VTSAX addition</w:t>
      </w:r>
    </w:p>
    <w:p>
      <w:pPr>
        <w:pStyle w:val="ListBullet"/>
      </w:pPr>
      <w:r>
        <w:t>Return Enhancement: Strategic rebalancing adds $1.17M</w:t>
      </w:r>
    </w:p>
    <w:p>
      <w:pPr>
        <w:pStyle w:val="ListBullet"/>
      </w:pPr>
      <w:r>
        <w:t>Fund Diversification: Adding VTSAX and BND</w:t>
      </w:r>
    </w:p>
    <w:p>
      <w:pPr>
        <w:pStyle w:val="Heading2"/>
      </w:pPr>
      <w:r>
        <w:t>Strategic Action Plan</w:t>
      </w:r>
    </w:p>
    <w:p>
      <w:pPr>
        <w:pStyle w:val="ListNumber"/>
      </w:pPr>
      <w:r>
        <w:t>Phase 1 (Weeks 1-2): Reduce GLD from 23% to 13.5%</w:t>
      </w:r>
    </w:p>
    <w:p>
      <w:pPr>
        <w:pStyle w:val="ListNumber"/>
      </w:pPr>
      <w:r>
        <w:t>Phase 2 (Weeks 2-4): Add VTSAX (3%) and BND (2%)</w:t>
      </w:r>
    </w:p>
    <w:p>
      <w:pPr>
        <w:pStyle w:val="ListNumber"/>
      </w:pPr>
      <w:r>
        <w:t>Phase 3 (Weeks 4-8): Increase QQQ and IXN allocations</w:t>
      </w:r>
    </w:p>
    <w:p>
      <w:pPr>
        <w:pStyle w:val="ListNumber"/>
      </w:pPr>
      <w:r>
        <w:t>Phase 4 (Weeks 8-12): Monitor execution and VGSLX decision</w:t>
      </w:r>
    </w:p>
    <w:p>
      <w:pPr>
        <w:pStyle w:val="ListNumber"/>
      </w:pPr>
      <w:r>
        <w:t>Phase 5 (Ongoing): Quarterly rebalancing</w:t>
      </w:r>
    </w:p>
    <w:p>
      <w:r>
        <w:rPr>
          <w:b/>
        </w:rPr>
        <w:t xml:space="preserve">Final Recommendation: </w:t>
      </w:r>
      <w:r>
        <w:t>We recommend proceeding with the proposed rebalancing to optimize risk-adjusted returns while maintaining the portfolio's core diversified strategy. The proposed changes offer compelling financial benefits with virtually no additional risk.</w:t>
      </w:r>
    </w:p>
    <w:p/>
    <w:p>
      <w:pPr>
        <w:jc w:val="center"/>
      </w:pPr>
      <w:r>
        <w:rPr>
          <w:b/>
        </w:rPr>
        <w:t>Portfolio Analysis Report</w:t>
        <w:br/>
      </w:r>
      <w:r>
        <w:t>Analysis Date: June 28, 2026</w:t>
        <w:br/>
      </w:r>
      <w:r>
        <w:t>Portfolio Valuation: $95,000,000</w:t>
        <w:br/>
      </w:r>
      <w:r>
        <w:t>Database: MySQL Portfolio Management System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