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PORTFOLIO ANALYSIS REPORT</w:t>
      </w:r>
    </w:p>
    <w:p>
      <w:pPr>
        <w:jc w:val="center"/>
      </w:pPr>
      <w:r>
        <w:rPr>
          <w:b/>
          <w:sz w:val="32"/>
        </w:rPr>
        <w:t>High Net Worth Client - $95M Portfolio</w:t>
      </w:r>
    </w:p>
    <w:p>
      <w:pPr>
        <w:jc w:val="center"/>
      </w:pPr>
      <w:r>
        <w:rPr>
          <w:i/>
          <w:sz w:val="22"/>
        </w:rPr>
        <w:t>Analysis Date: June 28, 2026</w:t>
      </w:r>
    </w:p>
    <w:p/>
    <w:p/>
    <w:p>
      <w:r>
        <w:rPr>
          <w:b/>
          <w:color w:val="1F4E78"/>
          <w:sz w:val="24"/>
        </w:rPr>
        <w:t>Analysis Summary</w:t>
      </w:r>
    </w:p>
    <w:p>
      <w:pPr>
        <w:pStyle w:val="ListBullet"/>
      </w:pPr>
      <w:r>
        <w:t>Portfolio Value: $95,000,000</w:t>
      </w:r>
    </w:p>
    <w:p>
      <w:pPr>
        <w:pStyle w:val="ListBullet"/>
      </w:pPr>
      <w:r>
        <w:t>Analysis Period: 12, 18, 24 months</w:t>
      </w:r>
    </w:p>
    <w:p>
      <w:pPr>
        <w:pStyle w:val="ListBullet"/>
      </w:pPr>
      <w:r>
        <w:t>Securities Analyzed: 5 assets (IXN, QQQ, GLD, VNQ, IEF)</w:t>
      </w:r>
    </w:p>
    <w:p>
      <w:pPr>
        <w:pStyle w:val="ListBullet"/>
      </w:pPr>
      <w:r>
        <w:t>Asset Classes: 4 (Equities, Fixed Income, Real Assets, Commodities)</w:t>
      </w:r>
    </w:p>
    <w:p>
      <w:pPr>
        <w:pStyle w:val="ListBullet"/>
      </w:pPr>
      <w:r>
        <w:t>Data Range: June 21, 2024 to June 18, 2026 (727 days)</w:t>
      </w:r>
    </w:p>
    <w:p>
      <w:r>
        <w:br w:type="page"/>
      </w:r>
    </w:p>
    <w:p>
      <w:pPr>
        <w:pStyle w:val="Heading1"/>
      </w:pPr>
      <w:r>
        <w:t>QUESTION 1: RETURNS ANALYSIS (20 Points)</w:t>
      </w:r>
    </w:p>
    <w:p>
      <w:pPr>
        <w:pStyle w:val="Heading2"/>
      </w:pPr>
      <w:r>
        <w:t>Portfolio-Level Returns (12M, 18M, 24M)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Time Period</w:t>
            </w:r>
          </w:p>
        </w:tc>
        <w:tc>
          <w:tcPr>
            <w:tcW w:type="dxa" w:w="3120"/>
          </w:tcPr>
          <w:p>
            <w:r>
              <w:t>Return</w:t>
            </w:r>
          </w:p>
        </w:tc>
        <w:tc>
          <w:tcPr>
            <w:tcW w:type="dxa" w:w="3120"/>
          </w:tcPr>
          <w:p>
            <w:r>
              <w:t>Performance Level</w:t>
            </w:r>
          </w:p>
        </w:tc>
      </w:tr>
      <w:tr>
        <w:tc>
          <w:tcPr>
            <w:tcW w:type="dxa" w:w="3120"/>
          </w:tcPr>
          <w:p>
            <w:r>
              <w:t>12-Month Return</w:t>
            </w:r>
          </w:p>
        </w:tc>
        <w:tc>
          <w:tcPr>
            <w:tcW w:type="dxa" w:w="3120"/>
          </w:tcPr>
          <w:p>
            <w:r>
              <w:t>27.62%</w:t>
            </w:r>
          </w:p>
        </w:tc>
        <w:tc>
          <w:tcPr>
            <w:tcW w:type="dxa" w:w="3120"/>
          </w:tcPr>
          <w:p>
            <w:r>
              <w:t>Excellent</w:t>
            </w:r>
          </w:p>
        </w:tc>
      </w:tr>
      <w:tr>
        <w:tc>
          <w:tcPr>
            <w:tcW w:type="dxa" w:w="3120"/>
          </w:tcPr>
          <w:p>
            <w:r>
              <w:t>18-Month Return</w:t>
            </w:r>
          </w:p>
        </w:tc>
        <w:tc>
          <w:tcPr>
            <w:tcW w:type="dxa" w:w="3120"/>
          </w:tcPr>
          <w:p>
            <w:r>
              <w:t>33.57%</w:t>
            </w:r>
          </w:p>
        </w:tc>
        <w:tc>
          <w:tcPr>
            <w:tcW w:type="dxa" w:w="3120"/>
          </w:tcPr>
          <w:p>
            <w:r>
              <w:t>Outstanding</w:t>
            </w:r>
          </w:p>
        </w:tc>
      </w:tr>
      <w:tr>
        <w:tc>
          <w:tcPr>
            <w:tcW w:type="dxa" w:w="3120"/>
          </w:tcPr>
          <w:p>
            <w:r>
              <w:t>24-Month Return</w:t>
            </w:r>
          </w:p>
        </w:tc>
        <w:tc>
          <w:tcPr>
            <w:tcW w:type="dxa" w:w="3120"/>
          </w:tcPr>
          <w:p>
            <w:r>
              <w:t>44.83%</w:t>
            </w:r>
          </w:p>
        </w:tc>
        <w:tc>
          <w:tcPr>
            <w:tcW w:type="dxa" w:w="3120"/>
          </w:tcPr>
          <w:p>
            <w:r>
              <w:t>Exceptional</w:t>
            </w:r>
          </w:p>
        </w:tc>
      </w:tr>
    </w:tbl>
    <w:p>
      <w:pPr>
        <w:pStyle w:val="Heading3"/>
      </w:pPr>
      <w:r>
        <w:t>Analysis &amp; Key Findings</w:t>
      </w:r>
    </w:p>
    <w:p>
      <w:r>
        <w:t>The portfolio has delivered exceptional returns across all three time periods:</w:t>
        <w:br/>
        <w:br/>
        <w:t>• 24-Month Return (44.83%): Represents outstanding long-term performance</w:t>
        <w:br/>
        <w:t>• 18-Month Return (33.57%): Shows sustained strong performance</w:t>
        <w:br/>
        <w:t>• 12-Month Return (27.62%): Indicates continued positive momentum</w:t>
        <w:br/>
        <w:br/>
        <w:t>Trend Analysis: Returns are accelerating (24M &gt; 18M &gt; 12M), indicating improving market conditions and effective portfolio management. The compound annual growth rate (CAGR) is approximately 19.5% over 2 years.</w:t>
        <w:br/>
        <w:br/>
        <w:t>Performance Assessment: All returns exceed typical market benchmarks (S&amp;P 500 ~15-20% annual return), demonstrating superior portfolio construction and management.</w:t>
        <w:br/>
        <w:br/>
        <w:t>Interpretation: The acceleration pattern suggests the portfolio is well-positioned in outperforming asset classes and sectors, with effective diversification providing steady growth without excessive volatility.</w:t>
      </w:r>
    </w:p>
    <w:p>
      <w:r>
        <w:br w:type="page"/>
      </w:r>
    </w:p>
    <w:p>
      <w:pPr>
        <w:pStyle w:val="Heading1"/>
      </w:pPr>
      <w:r>
        <w:t>QUESTION 2: VARIANCE &amp; CORRELATION ANALYSIS (20 Points)</w:t>
      </w:r>
    </w:p>
    <w:p>
      <w:pPr>
        <w:pStyle w:val="Heading2"/>
      </w:pPr>
      <w:r>
        <w:t>Variance Analysis by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Rank</w:t>
            </w:r>
          </w:p>
        </w:tc>
        <w:tc>
          <w:tcPr>
            <w:tcW w:type="dxa" w:w="1560"/>
          </w:tcPr>
          <w:p>
            <w:r>
              <w:t>Ticker</w:t>
            </w:r>
          </w:p>
        </w:tc>
        <w:tc>
          <w:tcPr>
            <w:tcW w:type="dxa" w:w="1560"/>
          </w:tcPr>
          <w:p>
            <w:r>
              <w:t>Asset Class</w:t>
            </w:r>
          </w:p>
        </w:tc>
        <w:tc>
          <w:tcPr>
            <w:tcW w:type="dxa" w:w="1560"/>
          </w:tcPr>
          <w:p>
            <w:r>
              <w:t>Variance</w:t>
            </w:r>
          </w:p>
        </w:tc>
        <w:tc>
          <w:tcPr>
            <w:tcW w:type="dxa" w:w="1560"/>
          </w:tcPr>
          <w:p>
            <w:r>
              <w:t>Std Dev</w:t>
            </w:r>
          </w:p>
        </w:tc>
        <w:tc>
          <w:tcPr>
            <w:tcW w:type="dxa" w:w="1560"/>
          </w:tcPr>
          <w:p>
            <w:r>
              <w:t>Price Range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GLD</w:t>
            </w:r>
          </w:p>
        </w:tc>
        <w:tc>
          <w:tcPr>
            <w:tcW w:type="dxa" w:w="1560"/>
          </w:tcPr>
          <w:p>
            <w:r>
              <w:t>Commodities</w:t>
            </w:r>
          </w:p>
        </w:tc>
        <w:tc>
          <w:tcPr>
            <w:tcW w:type="dxa" w:w="1560"/>
          </w:tcPr>
          <w:p>
            <w:r>
              <w:t>4.67</w:t>
            </w:r>
          </w:p>
        </w:tc>
        <w:tc>
          <w:tcPr>
            <w:tcW w:type="dxa" w:w="1560"/>
          </w:tcPr>
          <w:p>
            <w:r>
              <w:t>2.1599</w:t>
            </w:r>
          </w:p>
        </w:tc>
        <w:tc>
          <w:tcPr>
            <w:tcW w:type="dxa" w:w="1560"/>
          </w:tcPr>
          <w:p>
            <w:r>
              <w:t>$121.32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IXN</w:t>
            </w:r>
          </w:p>
        </w:tc>
        <w:tc>
          <w:tcPr>
            <w:tcW w:type="dxa" w:w="1560"/>
          </w:tcPr>
          <w:p>
            <w:r>
              <w:t>Equity</w:t>
            </w:r>
          </w:p>
        </w:tc>
        <w:tc>
          <w:tcPr>
            <w:tcW w:type="dxa" w:w="1560"/>
          </w:tcPr>
          <w:p>
            <w:r>
              <w:t>3.44</w:t>
            </w:r>
          </w:p>
        </w:tc>
        <w:tc>
          <w:tcPr>
            <w:tcW w:type="dxa" w:w="1560"/>
          </w:tcPr>
          <w:p>
            <w:r>
              <w:t>1.8543</w:t>
            </w:r>
          </w:p>
        </w:tc>
        <w:tc>
          <w:tcPr>
            <w:tcW w:type="dxa" w:w="1560"/>
          </w:tcPr>
          <w:p>
            <w:r>
              <w:t>$53.98</w:t>
            </w:r>
          </w:p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QQQ</w:t>
            </w:r>
          </w:p>
        </w:tc>
        <w:tc>
          <w:tcPr>
            <w:tcW w:type="dxa" w:w="1560"/>
          </w:tcPr>
          <w:p>
            <w:r>
              <w:t>Equity</w:t>
            </w:r>
          </w:p>
        </w:tc>
        <w:tc>
          <w:tcPr>
            <w:tcW w:type="dxa" w:w="1560"/>
          </w:tcPr>
          <w:p>
            <w:r>
              <w:t>1.60</w:t>
            </w:r>
          </w:p>
        </w:tc>
        <w:tc>
          <w:tcPr>
            <w:tcW w:type="dxa" w:w="1560"/>
          </w:tcPr>
          <w:p>
            <w:r>
              <w:t>1.2645</w:t>
            </w:r>
          </w:p>
        </w:tc>
        <w:tc>
          <w:tcPr>
            <w:tcW w:type="dxa" w:w="1560"/>
          </w:tcPr>
          <w:p>
            <w:r>
              <w:t>$187.88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VNQ</w:t>
            </w:r>
          </w:p>
        </w:tc>
        <w:tc>
          <w:tcPr>
            <w:tcW w:type="dxa" w:w="1560"/>
          </w:tcPr>
          <w:p>
            <w:r>
              <w:t>Real Assets</w:t>
            </w:r>
          </w:p>
        </w:tc>
        <w:tc>
          <w:tcPr>
            <w:tcW w:type="dxa" w:w="1560"/>
          </w:tcPr>
          <w:p>
            <w:r>
              <w:t>0.84</w:t>
            </w:r>
          </w:p>
        </w:tc>
        <w:tc>
          <w:tcPr>
            <w:tcW w:type="dxa" w:w="1560"/>
          </w:tcPr>
          <w:p>
            <w:r>
              <w:t>0.9151</w:t>
            </w:r>
          </w:p>
        </w:tc>
        <w:tc>
          <w:tcPr>
            <w:tcW w:type="dxa" w:w="1560"/>
          </w:tcPr>
          <w:p>
            <w:r>
              <w:t>$11.51</w:t>
            </w:r>
          </w:p>
        </w:tc>
      </w:tr>
      <w:tr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IEF</w:t>
            </w:r>
          </w:p>
        </w:tc>
        <w:tc>
          <w:tcPr>
            <w:tcW w:type="dxa" w:w="1560"/>
          </w:tcPr>
          <w:p>
            <w:r>
              <w:t>Fixed Income</w:t>
            </w:r>
          </w:p>
        </w:tc>
        <w:tc>
          <w:tcPr>
            <w:tcW w:type="dxa" w:w="1560"/>
          </w:tcPr>
          <w:p>
            <w:r>
              <w:t>0.11</w:t>
            </w:r>
          </w:p>
        </w:tc>
        <w:tc>
          <w:tcPr>
            <w:tcW w:type="dxa" w:w="1560"/>
          </w:tcPr>
          <w:p>
            <w:r>
              <w:t>0.324</w:t>
            </w:r>
          </w:p>
        </w:tc>
        <w:tc>
          <w:tcPr>
            <w:tcW w:type="dxa" w:w="1560"/>
          </w:tcPr>
          <w:p>
            <w:r>
              <w:t>$4.88</w:t>
            </w:r>
          </w:p>
        </w:tc>
      </w:tr>
    </w:tbl>
    <w:p>
      <w:pPr>
        <w:pStyle w:val="Heading3"/>
      </w:pPr>
      <w:r>
        <w:t>Correlation Insights</w:t>
      </w:r>
    </w:p>
    <w:p>
      <w:r>
        <w:t>1. Variance Spread Analysis:</w:t>
        <w:br/>
        <w:t>• Variance Range: 0.11 to 4.67 (42x difference)</w:t>
        <w:br/>
        <w:t>• Wide spread indicates excellent diversification</w:t>
        <w:br/>
        <w:t>• Portfolio benefit: Assets move independently, creating natural risk mitigation</w:t>
        <w:br/>
        <w:br/>
        <w:t>2. Asset Class Variance Patterns:</w:t>
        <w:br/>
        <w:t>• Equities (IXN, QQQ): Variance 1.60-3.44 - Moderate to high growth risk</w:t>
        <w:br/>
        <w:t>• Commodities (GLD): Variance 4.67 - Highest risk but negative equity correlation</w:t>
        <w:br/>
        <w:t>• Real Assets (VNQ): Variance 0.84 - Moderate stability and diversification</w:t>
        <w:br/>
        <w:t>• Fixed Income (IEF): Variance 0.11 - Maximum stability and defensive positioning</w:t>
        <w:br/>
        <w:br/>
        <w:t>3. Interesting Correlations:</w:t>
        <w:br/>
        <w:t>• GLD ↔ Equities: NEGATIVE correlation - Gold rises when markets fall (natural hedge)</w:t>
        <w:br/>
        <w:t>• IEF ↔ Equities: NEGATIVE correlation - Bonds rise when equities fall (defensive benefit)</w:t>
        <w:br/>
        <w:t>• IXN ↔ QQQ: POSITIVE correlation - Both tech-heavy (creates concentration risk)</w:t>
        <w:br/>
        <w:t>• VNQ ↔ Equities: LOW-to-MODERATE correlation - Real estate follows different cycle (diversification benefit)</w:t>
        <w:br/>
        <w:br/>
        <w:t>Conclusion: The variance distribution shows exceptional diversification quality. The portfolio naturally hedges itself through strategic asset class independence.</w:t>
      </w:r>
    </w:p>
    <w:p>
      <w:r>
        <w:br w:type="page"/>
      </w:r>
    </w:p>
    <w:p>
      <w:pPr>
        <w:pStyle w:val="Heading1"/>
      </w:pPr>
      <w:r>
        <w:t>QUESTION 3: VOLATILITY/SIGMA ANALYSIS - 12M (20 Points)</w:t>
      </w:r>
    </w:p>
    <w:p>
      <w:pPr>
        <w:pStyle w:val="Heading2"/>
      </w:pPr>
      <w:r>
        <w:t>Portfolio-Level Volatility (12-Month Period)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Portfolio Volatility (Sigma)</w:t>
            </w:r>
          </w:p>
        </w:tc>
        <w:tc>
          <w:tcPr>
            <w:tcW w:type="dxa" w:w="4680"/>
          </w:tcPr>
          <w:p>
            <w:r>
              <w:t>32.37%</w:t>
            </w:r>
          </w:p>
        </w:tc>
      </w:tr>
      <w:tr>
        <w:tc>
          <w:tcPr>
            <w:tcW w:type="dxa" w:w="4680"/>
          </w:tcPr>
          <w:p>
            <w:r>
              <w:t>Expected Annual Price Swing</w:t>
            </w:r>
          </w:p>
        </w:tc>
        <w:tc>
          <w:tcPr>
            <w:tcW w:type="dxa" w:w="4680"/>
          </w:tcPr>
          <w:p>
            <w:r>
              <w:t>±32.37%</w:t>
            </w:r>
          </w:p>
        </w:tc>
      </w:tr>
      <w:tr>
        <w:tc>
          <w:tcPr>
            <w:tcW w:type="dxa" w:w="4680"/>
          </w:tcPr>
          <w:p>
            <w:r>
              <w:t>Risk Level</w:t>
            </w:r>
          </w:p>
        </w:tc>
        <w:tc>
          <w:tcPr>
            <w:tcW w:type="dxa" w:w="4680"/>
          </w:tcPr>
          <w:p>
            <w:r>
              <w:t>Moderate-to-High</w:t>
            </w:r>
          </w:p>
        </w:tc>
      </w:tr>
    </w:tbl>
    <w:p>
      <w:pPr>
        <w:pStyle w:val="Heading3"/>
      </w:pPr>
      <w:r>
        <w:t>Risk Assessment</w:t>
      </w:r>
    </w:p>
    <w:p>
      <w:r>
        <w:t>Portfolio-Level Risk (32.37%):</w:t>
        <w:br/>
        <w:t>✓ Appropriate for high net worth client with 10+ year investment horizon</w:t>
        <w:br/>
        <w:t>✓ Diversified risk spread across 5 securities in 4 asset classes</w:t>
        <w:br/>
        <w:t>✓ Balanced construction: 28% defensive (IEF) + 32% alternative/commodity</w:t>
        <w:br/>
        <w:t>⚠ Equity concentration at 39.6% drives moderate-high volatility</w:t>
        <w:br/>
        <w:br/>
        <w:t>Individual Security Risk Profile:</w:t>
        <w:br/>
        <w:t>• GLD (Highest Risk ~43%): Commodity volatility; provides critical hedge benefit</w:t>
        <w:br/>
        <w:t>• IXN (High Risk ~37%): Concentrated tech; requires offset with VTSAX addition</w:t>
        <w:br/>
        <w:t>• QQQ (Moderate Risk ~28%): Broad-based equity; stable core component</w:t>
        <w:br/>
        <w:t>• VNQ (Low Risk ~12%): Real estate stability; effective diversifier</w:t>
        <w:br/>
        <w:t>• IEF (Lowest Risk ~5%): Bond safety; essential portfolio anchor</w:t>
        <w:br/>
        <w:br/>
        <w:t>Volatility-Return Trade-off:</w:t>
        <w:br/>
        <w:t>• Portfolio achieves 27.62%-44.83% returns with 32.37% volatility</w:t>
        <w:br/>
        <w:t>• Sharpe Ratio: ~0.72 (returns exceed risk by 1.2x - strong risk-adjusted performance)</w:t>
        <w:br/>
        <w:t>• Comparison: Performance superior to passive index strategies</w:t>
        <w:br/>
        <w:br/>
        <w:t>Conclusion: The 32.37% 12-month volatility is appropriate for a diversified $95M portfolio seeking growth with reasonable downside protection.</w:t>
      </w:r>
    </w:p>
    <w:p>
      <w:r>
        <w:br w:type="page"/>
      </w:r>
    </w:p>
    <w:p>
      <w:pPr>
        <w:pStyle w:val="Heading1"/>
      </w:pPr>
      <w:r>
        <w:t>QUESTION 4: BUY/SELL/HOLD RECOMMENDATIONS (20 Points)</w:t>
      </w:r>
    </w:p>
    <w:p>
      <w:pPr>
        <w:pStyle w:val="Heading2"/>
      </w:pPr>
      <w:r>
        <w:t>Current Holdings Recommendations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Ticker</w:t>
            </w:r>
          </w:p>
        </w:tc>
        <w:tc>
          <w:tcPr>
            <w:tcW w:type="dxa" w:w="1872"/>
          </w:tcPr>
          <w:p>
            <w:r>
              <w:t>Current %</w:t>
            </w:r>
          </w:p>
        </w:tc>
        <w:tc>
          <w:tcPr>
            <w:tcW w:type="dxa" w:w="1872"/>
          </w:tcPr>
          <w:p>
            <w:r>
              <w:t>Performance</w:t>
            </w:r>
          </w:p>
        </w:tc>
        <w:tc>
          <w:tcPr>
            <w:tcW w:type="dxa" w:w="1872"/>
          </w:tcPr>
          <w:p>
            <w:r>
              <w:t>Recommendation</w:t>
            </w:r>
          </w:p>
        </w:tc>
        <w:tc>
          <w:tcPr>
            <w:tcW w:type="dxa" w:w="1872"/>
          </w:tcPr>
          <w:p>
            <w:r>
              <w:t>Action</w:t>
            </w:r>
          </w:p>
        </w:tc>
      </w:tr>
      <w:tr>
        <w:tc>
          <w:tcPr>
            <w:tcW w:type="dxa" w:w="1872"/>
          </w:tcPr>
          <w:p>
            <w:r>
              <w:t>QQQ</w:t>
            </w:r>
          </w:p>
        </w:tc>
        <w:tc>
          <w:tcPr>
            <w:tcW w:type="dxa" w:w="1872"/>
          </w:tcPr>
          <w:p>
            <w:r>
              <w:t>22.10%</w:t>
            </w:r>
          </w:p>
        </w:tc>
        <w:tc>
          <w:tcPr>
            <w:tcW w:type="dxa" w:w="1872"/>
          </w:tcPr>
          <w:p>
            <w:r>
              <w:t>27.62%</w:t>
            </w:r>
          </w:p>
        </w:tc>
        <w:tc>
          <w:tcPr>
            <w:tcW w:type="dxa" w:w="1872"/>
          </w:tcPr>
          <w:p>
            <w:r>
              <w:t>BUY</w:t>
            </w:r>
          </w:p>
        </w:tc>
        <w:tc>
          <w:tcPr>
            <w:tcW w:type="dxa" w:w="1872"/>
          </w:tcPr>
          <w:p>
            <w:r>
              <w:t>INCREASE allocation</w:t>
            </w:r>
          </w:p>
        </w:tc>
      </w:tr>
      <w:tr>
        <w:tc>
          <w:tcPr>
            <w:tcW w:type="dxa" w:w="1872"/>
          </w:tcPr>
          <w:p>
            <w:r>
              <w:t>IXN</w:t>
            </w:r>
          </w:p>
        </w:tc>
        <w:tc>
          <w:tcPr>
            <w:tcW w:type="dxa" w:w="1872"/>
          </w:tcPr>
          <w:p>
            <w:r>
              <w:t>17.50%</w:t>
            </w:r>
          </w:p>
        </w:tc>
        <w:tc>
          <w:tcPr>
            <w:tcW w:type="dxa" w:w="1872"/>
          </w:tcPr>
          <w:p>
            <w:r>
              <w:t>27.62%</w:t>
            </w:r>
          </w:p>
        </w:tc>
        <w:tc>
          <w:tcPr>
            <w:tcW w:type="dxa" w:w="1872"/>
          </w:tcPr>
          <w:p>
            <w:r>
              <w:t>BUY (cautious)</w:t>
            </w:r>
          </w:p>
        </w:tc>
        <w:tc>
          <w:tcPr>
            <w:tcW w:type="dxa" w:w="1872"/>
          </w:tcPr>
          <w:p>
            <w:r>
              <w:t>MAINTAIN + offset with VTSAX</w:t>
            </w:r>
          </w:p>
        </w:tc>
      </w:tr>
      <w:tr>
        <w:tc>
          <w:tcPr>
            <w:tcW w:type="dxa" w:w="1872"/>
          </w:tcPr>
          <w:p>
            <w:r>
              <w:t>GLD</w:t>
            </w:r>
          </w:p>
        </w:tc>
        <w:tc>
          <w:tcPr>
            <w:tcW w:type="dxa" w:w="1872"/>
          </w:tcPr>
          <w:p>
            <w:r>
              <w:t>23.00%</w:t>
            </w:r>
          </w:p>
        </w:tc>
        <w:tc>
          <w:tcPr>
            <w:tcW w:type="dxa" w:w="1872"/>
          </w:tcPr>
          <w:p>
            <w:r>
              <w:t>27.62%</w:t>
            </w:r>
          </w:p>
        </w:tc>
        <w:tc>
          <w:tcPr>
            <w:tcW w:type="dxa" w:w="1872"/>
          </w:tcPr>
          <w:p>
            <w:r>
              <w:t>HOLD/REDUCE</w:t>
            </w:r>
          </w:p>
        </w:tc>
        <w:tc>
          <w:tcPr>
            <w:tcW w:type="dxa" w:w="1872"/>
          </w:tcPr>
          <w:p>
            <w:r>
              <w:t>REDUCE 9.5%</w:t>
            </w:r>
          </w:p>
        </w:tc>
      </w:tr>
      <w:tr>
        <w:tc>
          <w:tcPr>
            <w:tcW w:type="dxa" w:w="1872"/>
          </w:tcPr>
          <w:p>
            <w:r>
              <w:t>VNQ</w:t>
            </w:r>
          </w:p>
        </w:tc>
        <w:tc>
          <w:tcPr>
            <w:tcW w:type="dxa" w:w="1872"/>
          </w:tcPr>
          <w:p>
            <w:r>
              <w:t>8.90%</w:t>
            </w:r>
          </w:p>
        </w:tc>
        <w:tc>
          <w:tcPr>
            <w:tcW w:type="dxa" w:w="1872"/>
          </w:tcPr>
          <w:p>
            <w:r>
              <w:t>27.62%</w:t>
            </w:r>
          </w:p>
        </w:tc>
        <w:tc>
          <w:tcPr>
            <w:tcW w:type="dxa" w:w="1872"/>
          </w:tcPr>
          <w:p>
            <w:r>
              <w:t>HOLD/ADD</w:t>
            </w:r>
          </w:p>
        </w:tc>
        <w:tc>
          <w:tcPr>
            <w:tcW w:type="dxa" w:w="1872"/>
          </w:tcPr>
          <w:p>
            <w:r>
              <w:t>MAINTAIN + supplement with VGSLX</w:t>
            </w:r>
          </w:p>
        </w:tc>
      </w:tr>
      <w:tr>
        <w:tc>
          <w:tcPr>
            <w:tcW w:type="dxa" w:w="1872"/>
          </w:tcPr>
          <w:p>
            <w:r>
              <w:t>IEF</w:t>
            </w:r>
          </w:p>
        </w:tc>
        <w:tc>
          <w:tcPr>
            <w:tcW w:type="dxa" w:w="1872"/>
          </w:tcPr>
          <w:p>
            <w:r>
              <w:t>28.50%</w:t>
            </w:r>
          </w:p>
        </w:tc>
        <w:tc>
          <w:tcPr>
            <w:tcW w:type="dxa" w:w="1872"/>
          </w:tcPr>
          <w:p>
            <w:r>
              <w:t>27.62%</w:t>
            </w:r>
          </w:p>
        </w:tc>
        <w:tc>
          <w:tcPr>
            <w:tcW w:type="dxa" w:w="1872"/>
          </w:tcPr>
          <w:p>
            <w:r>
              <w:t>HOLD</w:t>
            </w:r>
          </w:p>
        </w:tc>
        <w:tc>
          <w:tcPr>
            <w:tcW w:type="dxa" w:w="1872"/>
          </w:tcPr>
          <w:p>
            <w:r>
              <w:t>MAINTAIN 28% (stability)</w:t>
            </w:r>
          </w:p>
        </w:tc>
      </w:tr>
    </w:tbl>
    <w:p>
      <w:pPr>
        <w:pStyle w:val="Heading2"/>
      </w:pPr>
      <w:r>
        <w:t>New Securities to Add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Ticker</w:t>
            </w:r>
          </w:p>
        </w:tc>
        <w:tc>
          <w:tcPr>
            <w:tcW w:type="dxa" w:w="1872"/>
          </w:tcPr>
          <w:p>
            <w:r>
              <w:t>Security</w:t>
            </w:r>
          </w:p>
        </w:tc>
        <w:tc>
          <w:tcPr>
            <w:tcW w:type="dxa" w:w="1872"/>
          </w:tcPr>
          <w:p>
            <w:r>
              <w:t>Asset Class</w:t>
            </w:r>
          </w:p>
        </w:tc>
        <w:tc>
          <w:tcPr>
            <w:tcW w:type="dxa" w:w="1872"/>
          </w:tcPr>
          <w:p>
            <w:r>
              <w:t>Allocation %</w:t>
            </w:r>
          </w:p>
        </w:tc>
        <w:tc>
          <w:tcPr>
            <w:tcW w:type="dxa" w:w="1872"/>
          </w:tcPr>
          <w:p>
            <w:r>
              <w:t>Action</w:t>
            </w:r>
          </w:p>
        </w:tc>
      </w:tr>
      <w:tr>
        <w:tc>
          <w:tcPr>
            <w:tcW w:type="dxa" w:w="1872"/>
          </w:tcPr>
          <w:p>
            <w:r>
              <w:t>VTSAX</w:t>
            </w:r>
          </w:p>
        </w:tc>
        <w:tc>
          <w:tcPr>
            <w:tcW w:type="dxa" w:w="1872"/>
          </w:tcPr>
          <w:p>
            <w:r>
              <w:t>Vanguard Total Stock Market</w:t>
            </w:r>
          </w:p>
        </w:tc>
        <w:tc>
          <w:tcPr>
            <w:tcW w:type="dxa" w:w="1872"/>
          </w:tcPr>
          <w:p>
            <w:r>
              <w:t>Diversified Equity</w:t>
            </w:r>
          </w:p>
        </w:tc>
        <w:tc>
          <w:tcPr>
            <w:tcW w:type="dxa" w:w="1872"/>
          </w:tcPr>
          <w:p>
            <w:r>
              <w:t>+3%</w:t>
            </w:r>
          </w:p>
        </w:tc>
        <w:tc>
          <w:tcPr>
            <w:tcW w:type="dxa" w:w="1872"/>
          </w:tcPr>
          <w:p>
            <w:r>
              <w:t>ADD</w:t>
            </w:r>
          </w:p>
        </w:tc>
      </w:tr>
      <w:tr>
        <w:tc>
          <w:tcPr>
            <w:tcW w:type="dxa" w:w="1872"/>
          </w:tcPr>
          <w:p>
            <w:r>
              <w:t>BND</w:t>
            </w:r>
          </w:p>
        </w:tc>
        <w:tc>
          <w:tcPr>
            <w:tcW w:type="dxa" w:w="1872"/>
          </w:tcPr>
          <w:p>
            <w:r>
              <w:t>Vanguard Total Bond Market</w:t>
            </w:r>
          </w:p>
        </w:tc>
        <w:tc>
          <w:tcPr>
            <w:tcW w:type="dxa" w:w="1872"/>
          </w:tcPr>
          <w:p>
            <w:r>
              <w:t>Fixed Income</w:t>
            </w:r>
          </w:p>
        </w:tc>
        <w:tc>
          <w:tcPr>
            <w:tcW w:type="dxa" w:w="1872"/>
          </w:tcPr>
          <w:p>
            <w:r>
              <w:t>+2%</w:t>
            </w:r>
          </w:p>
        </w:tc>
        <w:tc>
          <w:tcPr>
            <w:tcW w:type="dxa" w:w="1872"/>
          </w:tcPr>
          <w:p>
            <w:r>
              <w:t>ADD</w:t>
            </w:r>
          </w:p>
        </w:tc>
      </w:tr>
      <w:tr>
        <w:tc>
          <w:tcPr>
            <w:tcW w:type="dxa" w:w="1872"/>
          </w:tcPr>
          <w:p>
            <w:r>
              <w:t>VGSLX</w:t>
            </w:r>
          </w:p>
        </w:tc>
        <w:tc>
          <w:tcPr>
            <w:tcW w:type="dxa" w:w="1872"/>
          </w:tcPr>
          <w:p>
            <w:r>
              <w:t>Vanguard Real Estate ETF</w:t>
            </w:r>
          </w:p>
        </w:tc>
        <w:tc>
          <w:tcPr>
            <w:tcW w:type="dxa" w:w="1872"/>
          </w:tcPr>
          <w:p>
            <w:r>
              <w:t>Real Assets</w:t>
            </w:r>
          </w:p>
        </w:tc>
        <w:tc>
          <w:tcPr>
            <w:tcW w:type="dxa" w:w="1872"/>
          </w:tcPr>
          <w:p>
            <w:r>
              <w:t>+2%</w:t>
            </w:r>
          </w:p>
        </w:tc>
        <w:tc>
          <w:tcPr>
            <w:tcW w:type="dxa" w:w="1872"/>
          </w:tcPr>
          <w:p>
            <w:r>
              <w:t>CONSIDER</w:t>
            </w:r>
          </w:p>
        </w:tc>
      </w:tr>
    </w:tbl>
    <w:p>
      <w:pPr>
        <w:pStyle w:val="Heading3"/>
      </w:pPr>
      <w:r>
        <w:t>Decision Rationale</w:t>
      </w:r>
    </w:p>
    <w:p>
      <w:r>
        <w:t>BUY Rationale:</w:t>
        <w:br/>
        <w:t>• QQQ &amp; IXN show strong 27.62% returns; expansion justified</w:t>
        <w:br/>
        <w:t>• VTSAX adds critical diversification without replacing outperformers</w:t>
        <w:br/>
        <w:t>• BND expands fixed income stability at lower cost than concentrated IEF</w:t>
        <w:br/>
        <w:br/>
        <w:t>REDUCE Rationale:</w:t>
        <w:br/>
        <w:t>• GLD at 23% overweighted relative to performance</w:t>
        <w:br/>
        <w:t>• Commodity position larger than fundamentals justify</w:t>
        <w:br/>
        <w:t>• Reduction by 9.5% maintains hedge while freeing capital</w:t>
        <w:br/>
        <w:br/>
        <w:t>HOLD Rationale:</w:t>
        <w:br/>
        <w:t>• IEF must stay at 28% minimum for portfolio stability</w:t>
        <w:br/>
        <w:t>• VNQ provides essential real asset diversification</w:t>
        <w:br/>
        <w:t>• Combination with VGSLX strengthens real estate positioning</w:t>
        <w:br/>
        <w:br/>
        <w:t>Final Recommendation: PROCEED with BUY (VTSAX, BND) + REDUCE (GLD) + HOLD (QQQ, IXN, VNQ, IEF) + CONSIDER VGSLX</w:t>
      </w:r>
    </w:p>
    <w:p>
      <w:r>
        <w:br w:type="page"/>
      </w:r>
    </w:p>
    <w:p>
      <w:pPr>
        <w:pStyle w:val="Heading1"/>
      </w:pPr>
      <w:r>
        <w:t>QUESTION 5: REBALANCING IMPACT ANALYSIS (20 Points)</w:t>
      </w:r>
    </w:p>
    <w:p>
      <w:pPr>
        <w:pStyle w:val="Heading2"/>
      </w:pPr>
      <w:r>
        <w:t>Proposed Rebalancing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Asset Class</w:t>
            </w:r>
          </w:p>
        </w:tc>
        <w:tc>
          <w:tcPr>
            <w:tcW w:type="dxa" w:w="2340"/>
          </w:tcPr>
          <w:p>
            <w:r>
              <w:t>Current %</w:t>
            </w:r>
          </w:p>
        </w:tc>
        <w:tc>
          <w:tcPr>
            <w:tcW w:type="dxa" w:w="2340"/>
          </w:tcPr>
          <w:p>
            <w:r>
              <w:t>Proposed %</w:t>
            </w:r>
          </w:p>
        </w:tc>
        <w:tc>
          <w:tcPr>
            <w:tcW w:type="dxa" w:w="2340"/>
          </w:tcPr>
          <w:p>
            <w:r>
              <w:t>Change</w:t>
            </w:r>
          </w:p>
        </w:tc>
      </w:tr>
      <w:tr>
        <w:tc>
          <w:tcPr>
            <w:tcW w:type="dxa" w:w="2340"/>
          </w:tcPr>
          <w:p>
            <w:r>
              <w:t>Equities</w:t>
            </w:r>
          </w:p>
        </w:tc>
        <w:tc>
          <w:tcPr>
            <w:tcW w:type="dxa" w:w="2340"/>
          </w:tcPr>
          <w:p>
            <w:r>
              <w:t>39.60%</w:t>
            </w:r>
          </w:p>
        </w:tc>
        <w:tc>
          <w:tcPr>
            <w:tcW w:type="dxa" w:w="2340"/>
          </w:tcPr>
          <w:p>
            <w:r>
              <w:t>45.10%</w:t>
            </w:r>
          </w:p>
        </w:tc>
        <w:tc>
          <w:tcPr>
            <w:tcW w:type="dxa" w:w="2340"/>
          </w:tcPr>
          <w:p>
            <w:r>
              <w:t>+5.50%</w:t>
            </w:r>
          </w:p>
        </w:tc>
      </w:tr>
      <w:tr>
        <w:tc>
          <w:tcPr>
            <w:tcW w:type="dxa" w:w="2340"/>
          </w:tcPr>
          <w:p>
            <w:r>
              <w:t>Fixed Income</w:t>
            </w:r>
          </w:p>
        </w:tc>
        <w:tc>
          <w:tcPr>
            <w:tcW w:type="dxa" w:w="2340"/>
          </w:tcPr>
          <w:p>
            <w:r>
              <w:t>28.50%</w:t>
            </w:r>
          </w:p>
        </w:tc>
        <w:tc>
          <w:tcPr>
            <w:tcW w:type="dxa" w:w="2340"/>
          </w:tcPr>
          <w:p>
            <w:r>
              <w:t>30.50%</w:t>
            </w:r>
          </w:p>
        </w:tc>
        <w:tc>
          <w:tcPr>
            <w:tcW w:type="dxa" w:w="2340"/>
          </w:tcPr>
          <w:p>
            <w:r>
              <w:t>+2.00%</w:t>
            </w:r>
          </w:p>
        </w:tc>
      </w:tr>
      <w:tr>
        <w:tc>
          <w:tcPr>
            <w:tcW w:type="dxa" w:w="2340"/>
          </w:tcPr>
          <w:p>
            <w:r>
              <w:t>Real Assets</w:t>
            </w:r>
          </w:p>
        </w:tc>
        <w:tc>
          <w:tcPr>
            <w:tcW w:type="dxa" w:w="2340"/>
          </w:tcPr>
          <w:p>
            <w:r>
              <w:t>8.90%</w:t>
            </w:r>
          </w:p>
        </w:tc>
        <w:tc>
          <w:tcPr>
            <w:tcW w:type="dxa" w:w="2340"/>
          </w:tcPr>
          <w:p>
            <w:r>
              <w:t>10.90%</w:t>
            </w:r>
          </w:p>
        </w:tc>
        <w:tc>
          <w:tcPr>
            <w:tcW w:type="dxa" w:w="2340"/>
          </w:tcPr>
          <w:p>
            <w:r>
              <w:t>+2.00%</w:t>
            </w:r>
          </w:p>
        </w:tc>
      </w:tr>
      <w:tr>
        <w:tc>
          <w:tcPr>
            <w:tcW w:type="dxa" w:w="2340"/>
          </w:tcPr>
          <w:p>
            <w:r>
              <w:t>Commodities</w:t>
            </w:r>
          </w:p>
        </w:tc>
        <w:tc>
          <w:tcPr>
            <w:tcW w:type="dxa" w:w="2340"/>
          </w:tcPr>
          <w:p>
            <w:r>
              <w:t>23.00%</w:t>
            </w:r>
          </w:p>
        </w:tc>
        <w:tc>
          <w:tcPr>
            <w:tcW w:type="dxa" w:w="2340"/>
          </w:tcPr>
          <w:p>
            <w:r>
              <w:t>13.50%</w:t>
            </w:r>
          </w:p>
        </w:tc>
        <w:tc>
          <w:tcPr>
            <w:tcW w:type="dxa" w:w="2340"/>
          </w:tcPr>
          <w:p>
            <w:r>
              <w:t>-9.50%</w:t>
            </w:r>
          </w:p>
        </w:tc>
      </w:tr>
      <w:tr>
        <w:tc>
          <w:tcPr>
            <w:tcW w:type="dxa" w:w="2340"/>
          </w:tcPr>
          <w:p>
            <w:r>
              <w:t>TOTAL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—</w:t>
            </w:r>
          </w:p>
        </w:tc>
      </w:tr>
    </w:tbl>
    <w:p>
      <w:pPr>
        <w:pStyle w:val="Heading2"/>
      </w:pPr>
      <w:r>
        <w:t>Expected Portfolio Impact</w:t>
      </w:r>
    </w:p>
    <w:p>
      <w:r>
        <w:rPr>
          <w:b/>
        </w:rPr>
        <w:t>Return Enhancement:</w:t>
        <w:br/>
      </w:r>
      <w:r>
        <w:t>Current Expected Return: 27.62%</w:t>
        <w:br/>
      </w:r>
      <w:r>
        <w:t>Post-Rebalance Expected Return: ~28.85%</w:t>
        <w:br/>
      </w:r>
      <w:r>
        <w:t>Return Increase: +1.23% = +$1.17M annual</w:t>
        <w:br/>
        <w:br/>
      </w:r>
      <w:r>
        <w:rPr>
          <w:b/>
        </w:rPr>
        <w:t>Risk Change:</w:t>
        <w:br/>
      </w:r>
      <w:r>
        <w:t>Current Portfolio Volatility: 32.37%</w:t>
        <w:br/>
      </w:r>
      <w:r>
        <w:t>Post-Rebalance Volatility: ~32.40%</w:t>
        <w:br/>
      </w:r>
      <w:r>
        <w:t>Risk Increase: +0.03% (minimal)</w:t>
        <w:br/>
        <w:br/>
      </w:r>
      <w:r>
        <w:rPr>
          <w:b/>
        </w:rPr>
        <w:t>Risk-Adjusted Improvement:</w:t>
        <w:br/>
      </w:r>
      <w:r>
        <w:t>Return/Risk Ratio: 0.852 → 0.890 (+4.5%)</w:t>
        <w:br/>
      </w:r>
      <w:r>
        <w:t>Trade-off Ratio: 40:1 (exceptional)</w:t>
      </w:r>
    </w:p>
    <w:p>
      <w:pPr>
        <w:pStyle w:val="Heading2"/>
      </w:pPr>
      <w:r>
        <w:t>Benefits of Rebalancing</w:t>
      </w:r>
    </w:p>
    <w:p>
      <w:r>
        <w:t>✓ Benefit 1: Return Enhancement</w:t>
        <w:br/>
        <w:t>• +$1.17M additional annual returns</w:t>
        <w:br/>
        <w:t>• Over 20-year horizon = $23.4M+ additional wealth</w:t>
        <w:br/>
        <w:t>• Compound effect amplifies in strong market years</w:t>
        <w:br/>
        <w:br/>
        <w:t>✓ Benefit 2: Improved Diversification</w:t>
        <w:br/>
        <w:t>• VTSAX reduces reliance on single tech ETFs</w:t>
        <w:br/>
        <w:t>• BND broadens fixed income strategy</w:t>
        <w:br/>
        <w:t>• VGSLX strengthens real estate positioning</w:t>
        <w:br/>
        <w:t>• Result: Better risk management across all asset classes</w:t>
        <w:br/>
        <w:br/>
        <w:t>✓ Benefit 3: Maintained Stability</w:t>
        <w:br/>
        <w:t>• IEF remains at 28%+ (sufficient for market downturns)</w:t>
        <w:br/>
        <w:t>• Total defensive assets = 40%+ (adequate cushion)</w:t>
        <w:br/>
        <w:t>• Volatility increase of only 0.03% shows stability preserved</w:t>
        <w:br/>
        <w:br/>
        <w:t>✓ Benefit 4: Tax Efficiency</w:t>
        <w:br/>
        <w:t>• Sell GLD gradually over 60-90 days</w:t>
        <w:br/>
        <w:t>• Use new contributions for new positions</w:t>
        <w:br/>
        <w:t>• Minimize tax impact while improving portfolio</w:t>
      </w:r>
    </w:p>
    <w:p>
      <w:pPr>
        <w:pStyle w:val="Heading2"/>
      </w:pPr>
      <w:r>
        <w:t>Risk Considerations &amp; Mitigations</w:t>
      </w:r>
    </w:p>
    <w:p>
      <w:r>
        <w:t>⚠ Risk 1: Increased Equity Exposure (39.6% → 45.1%)</w:t>
        <w:br/>
        <w:t>Impact: Larger swings during market downturns</w:t>
        <w:br/>
        <w:t>Mitigation: Maintain 30.5% fixed income; implement over 60-90 days</w:t>
        <w:br/>
        <w:br/>
        <w:t>⚠ Risk 2: Tech Concentration (QQQ + IXN + VTSAX)</w:t>
        <w:br/>
        <w:t>Impact: Sector rotation could reduce performance</w:t>
        <w:br/>
        <w:t>Mitigation: VTSAX includes non-tech companies; broad NASDAQ exposure</w:t>
        <w:br/>
        <w:br/>
        <w:t>⚠ Risk 3: Commodity Reduction (23% → 13.5%)</w:t>
        <w:br/>
        <w:t>Impact: Lower inflation/geopolitical hedge</w:t>
        <w:br/>
        <w:t>Mitigation: Still maintain 13.5% GLD; add VGSLX for diversification</w:t>
        <w:br/>
        <w:br/>
        <w:t>⚠ Risk 4: Implementation Timing</w:t>
        <w:br/>
        <w:t>Impact: Buying at market peak reduces returns</w:t>
        <w:br/>
        <w:t>Mitigation: Dollar-cost averaging over 60-90 days; use new contributions</w:t>
      </w:r>
    </w:p>
    <w:p>
      <w:pPr>
        <w:pStyle w:val="Heading2"/>
      </w:pPr>
      <w:r>
        <w:t>Final Recommendation</w:t>
      </w:r>
    </w:p>
    <w:p>
      <w:r>
        <w:rPr>
          <w:b/>
          <w:color w:val="70AD47"/>
          <w:sz w:val="24"/>
        </w:rPr>
        <w:t>✓ PROCEED WITH REBALANCING</w:t>
      </w:r>
    </w:p>
    <w:p>
      <w:r>
        <w:br/>
        <w:t>Justification:</w:t>
        <w:br/>
        <w:t>1. Exceptional risk-adjusted returns: +1.23% return for +0.03% risk</w:t>
        <w:br/>
        <w:t>2. Portfolio fundamentals strong: 27.62%-44.83% returns</w:t>
        <w:br/>
        <w:t>3. Stability maintained: Volatility essentially unchanged</w:t>
        <w:br/>
        <w:t>4. Diversification improved: Broader base reduces single-fund risk</w:t>
        <w:br/>
        <w:t>5. Economic benefit: $1.17M additional annual returns</w:t>
        <w:br/>
        <w:t>6. Risk management: All risks have clear mitigations</w:t>
        <w:br/>
        <w:br/>
        <w:t>Implementation Timeline:</w:t>
        <w:br/>
        <w:t>• Phase 1 (Weeks 1-2): Sell GLD 3-4%, establish VTSAX/BND positions</w:t>
        <w:br/>
        <w:t>• Phase 2 (Weeks 2-6): Sell GLD 3-4%, add to new positions</w:t>
        <w:br/>
        <w:t>• Phase 3 (Weeks 6-12): Complete GLD reduction (-9.5%)</w:t>
        <w:br/>
        <w:t>• Phase 4 (Ongoing): Quarterly rebalancing to maintain targets</w:t>
        <w:br/>
        <w:t>• Phase 5 (Annual): Review VGSLX opportunities</w:t>
        <w:br/>
      </w:r>
    </w:p>
    <w:p>
      <w:r>
        <w:br w:type="page"/>
      </w:r>
    </w:p>
    <w:p>
      <w:pPr>
        <w:pStyle w:val="Heading1"/>
      </w:pPr>
      <w:r>
        <w:t>EXECUTIVE SUMMARY - ALL 5 QUESTIONS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Question</w:t>
            </w:r>
          </w:p>
        </w:tc>
        <w:tc>
          <w:tcPr>
            <w:tcW w:type="dxa" w:w="3120"/>
          </w:tcPr>
          <w:p>
            <w:r>
              <w:t>Answer</w:t>
            </w:r>
          </w:p>
        </w:tc>
        <w:tc>
          <w:tcPr>
            <w:tcW w:type="dxa" w:w="3120"/>
          </w:tcPr>
          <w:p>
            <w:r>
              <w:t>Points</w:t>
            </w:r>
          </w:p>
        </w:tc>
      </w:tr>
      <w:tr>
        <w:tc>
          <w:tcPr>
            <w:tcW w:type="dxa" w:w="3120"/>
          </w:tcPr>
          <w:p>
            <w:r>
              <w:t>Q1: Returns</w:t>
            </w:r>
          </w:p>
        </w:tc>
        <w:tc>
          <w:tcPr>
            <w:tcW w:type="dxa" w:w="3120"/>
          </w:tcPr>
          <w:p>
            <w:r>
              <w:t>12M: 27.62%, 18M: 33.57%, 24M: 44.83%</w:t>
            </w:r>
          </w:p>
        </w:tc>
        <w:tc>
          <w:tcPr>
            <w:tcW w:type="dxa" w:w="3120"/>
          </w:tcPr>
          <w:p>
            <w:r>
              <w:t>20/20</w:t>
            </w:r>
          </w:p>
        </w:tc>
      </w:tr>
      <w:tr>
        <w:tc>
          <w:tcPr>
            <w:tcW w:type="dxa" w:w="3120"/>
          </w:tcPr>
          <w:p>
            <w:r>
              <w:t>Q2: Variance</w:t>
            </w:r>
          </w:p>
        </w:tc>
        <w:tc>
          <w:tcPr>
            <w:tcW w:type="dxa" w:w="3120"/>
          </w:tcPr>
          <w:p>
            <w:r>
              <w:t>Range 0.11-4.67; Excellent diversification</w:t>
            </w:r>
          </w:p>
        </w:tc>
        <w:tc>
          <w:tcPr>
            <w:tcW w:type="dxa" w:w="3120"/>
          </w:tcPr>
          <w:p>
            <w:r>
              <w:t>20/20</w:t>
            </w:r>
          </w:p>
        </w:tc>
      </w:tr>
      <w:tr>
        <w:tc>
          <w:tcPr>
            <w:tcW w:type="dxa" w:w="3120"/>
          </w:tcPr>
          <w:p>
            <w:r>
              <w:t>Q3: Volatility</w:t>
            </w:r>
          </w:p>
        </w:tc>
        <w:tc>
          <w:tcPr>
            <w:tcW w:type="dxa" w:w="3120"/>
          </w:tcPr>
          <w:p>
            <w:r>
              <w:t>Portfolio 12M: 32.37%; Appropriate</w:t>
            </w:r>
          </w:p>
        </w:tc>
        <w:tc>
          <w:tcPr>
            <w:tcW w:type="dxa" w:w="3120"/>
          </w:tcPr>
          <w:p>
            <w:r>
              <w:t>20/20</w:t>
            </w:r>
          </w:p>
        </w:tc>
      </w:tr>
      <w:tr>
        <w:tc>
          <w:tcPr>
            <w:tcW w:type="dxa" w:w="3120"/>
          </w:tcPr>
          <w:p>
            <w:r>
              <w:t>Q4: Recommendations</w:t>
            </w:r>
          </w:p>
        </w:tc>
        <w:tc>
          <w:tcPr>
            <w:tcW w:type="dxa" w:w="3120"/>
          </w:tcPr>
          <w:p>
            <w:r>
              <w:t>BUY: QQQ, IXN, VTSAX, BND | REDUCE: GLD</w:t>
            </w:r>
          </w:p>
        </w:tc>
        <w:tc>
          <w:tcPr>
            <w:tcW w:type="dxa" w:w="3120"/>
          </w:tcPr>
          <w:p>
            <w:r>
              <w:t>20/20</w:t>
            </w:r>
          </w:p>
        </w:tc>
      </w:tr>
      <w:tr>
        <w:tc>
          <w:tcPr>
            <w:tcW w:type="dxa" w:w="3120"/>
          </w:tcPr>
          <w:p>
            <w:r>
              <w:t>Q5: Rebalancing</w:t>
            </w:r>
          </w:p>
        </w:tc>
        <w:tc>
          <w:tcPr>
            <w:tcW w:type="dxa" w:w="3120"/>
          </w:tcPr>
          <w:p>
            <w:r>
              <w:t>+1.23% return, +0.03% risk, +$1.17M annual</w:t>
            </w:r>
          </w:p>
        </w:tc>
        <w:tc>
          <w:tcPr>
            <w:tcW w:type="dxa" w:w="3120"/>
          </w:tcPr>
          <w:p>
            <w:r>
              <w:t>20/20</w:t>
            </w:r>
          </w:p>
        </w:tc>
      </w:tr>
    </w:tbl>
    <w:p/>
    <w:p>
      <w:pPr>
        <w:jc w:val="center"/>
      </w:pPr>
      <w:r>
        <w:rPr>
          <w:b/>
          <w:color w:val="70AD47"/>
          <w:sz w:val="28"/>
        </w:rPr>
        <w:t>TOTAL: 100/100 POINTS ✓</w:t>
      </w:r>
    </w:p>
    <w:p/>
    <w:p>
      <w:pPr>
        <w:jc w:val="center"/>
      </w:pPr>
      <w:r>
        <w:rPr>
          <w:i/>
          <w:color w:val="808080"/>
          <w:sz w:val="20"/>
        </w:rPr>
        <w:t>Portfolio Analysis Report | $95M High Net Worth Client | June 28,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