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PORTFOLIO ANALYSIS REPORT</w:t>
      </w:r>
    </w:p>
    <w:p>
      <w:pPr>
        <w:jc w:val="center"/>
      </w:pPr>
      <w:r>
        <w:rPr>
          <w:b/>
          <w:color w:val="555555"/>
          <w:sz w:val="32"/>
        </w:rPr>
        <w:t>High Net Worth Client - $95M Portfolio</w:t>
      </w:r>
    </w:p>
    <w:p>
      <w:pPr>
        <w:jc w:val="center"/>
      </w:pPr>
      <w:r>
        <w:rPr>
          <w:i/>
          <w:sz w:val="22"/>
        </w:rPr>
        <w:t>Analysis Date: June 28,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$95M portfolio demonstrates strong overall performance with 27.62% 12-month returns and well-diversified asset allocation across four major asset classes. Current portfolio composition emphasizes fixed income (28.5%) and equities (39.6%), providing a balanced risk-return profile. Analysis reveals opportunities to enhance returns by 1.23% while accepting minimal additional risk (0.03%), achieved through strategic rebalancing toward top-performing securities.</w:t>
      </w:r>
    </w:p>
    <w:p>
      <w:r>
        <w:br w:type="page"/>
      </w:r>
    </w:p>
    <w:p>
      <w:pPr>
        <w:pStyle w:val="Heading1"/>
      </w:pPr>
      <w:r>
        <w:t>QUESTION 1: RETURNS ANALYSIS</w:t>
      </w:r>
    </w:p>
    <w:p>
      <w:pPr>
        <w:pStyle w:val="Heading2"/>
      </w:pPr>
      <w:r>
        <w:t>Portfolio-Level Returns (3M, 6M, 12M)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Time Period</w:t>
            </w:r>
          </w:p>
        </w:tc>
        <w:tc>
          <w:tcPr>
            <w:tcW w:type="dxa" w:w="4680"/>
          </w:tcPr>
          <w:p>
            <w:r>
              <w:t>Return</w:t>
            </w:r>
          </w:p>
        </w:tc>
      </w:tr>
      <w:tr>
        <w:tc>
          <w:tcPr>
            <w:tcW w:type="dxa" w:w="4680"/>
          </w:tcPr>
          <w:p>
            <w:r>
              <w:t>3-Month Return</w:t>
            </w:r>
          </w:p>
        </w:tc>
        <w:tc>
          <w:tcPr>
            <w:tcW w:type="dxa" w:w="4680"/>
          </w:tcPr>
          <w:p>
            <w:r>
              <w:t>14.56%</w:t>
            </w:r>
          </w:p>
        </w:tc>
      </w:tr>
      <w:tr>
        <w:tc>
          <w:tcPr>
            <w:tcW w:type="dxa" w:w="4680"/>
          </w:tcPr>
          <w:p>
            <w:r>
              <w:t>6-Month Return</w:t>
            </w:r>
          </w:p>
        </w:tc>
        <w:tc>
          <w:tcPr>
            <w:tcW w:type="dxa" w:w="4680"/>
          </w:tcPr>
          <w:p>
            <w:r>
              <w:t>12.65%</w:t>
            </w:r>
          </w:p>
        </w:tc>
      </w:tr>
      <w:tr>
        <w:tc>
          <w:tcPr>
            <w:tcW w:type="dxa" w:w="4680"/>
          </w:tcPr>
          <w:p>
            <w:r>
              <w:t>12-Month Return</w:t>
            </w:r>
          </w:p>
        </w:tc>
        <w:tc>
          <w:tcPr>
            <w:tcW w:type="dxa" w:w="4680"/>
          </w:tcPr>
          <w:p>
            <w:r>
              <w:t>27.62%</w:t>
            </w:r>
          </w:p>
        </w:tc>
      </w:tr>
    </w:tbl>
    <w:p>
      <w:r>
        <w:t>The portfolio has delivered exceptional returns over the past 12 months at 27.62%, with strong momentum in the near-term (3-month at 14.56%). The slightly lower 6-month return (12.65%) suggests volatility in mid-period performance, likely driven by market cycles and sector rotation. The elevated 3-month return indicates recent positive market sentiment.</w:t>
      </w:r>
    </w:p>
    <w:p>
      <w:r>
        <w:br w:type="page"/>
      </w:r>
    </w:p>
    <w:p>
      <w:pPr>
        <w:pStyle w:val="Heading1"/>
      </w:pPr>
      <w:r>
        <w:t>QUESTION 2: VARIANCE &amp; CORRELATION ANALYSIS</w:t>
      </w:r>
    </w:p>
    <w:p>
      <w:pPr>
        <w:pStyle w:val="Heading2"/>
      </w:pPr>
      <w:r>
        <w:t>Variance Analysis by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Ticker</w:t>
            </w:r>
          </w:p>
        </w:tc>
        <w:tc>
          <w:tcPr>
            <w:tcW w:type="dxa" w:w="1560"/>
          </w:tcPr>
          <w:p>
            <w:r>
              <w:t>Security Name</w:t>
            </w:r>
          </w:p>
        </w:tc>
        <w:tc>
          <w:tcPr>
            <w:tcW w:type="dxa" w:w="1560"/>
          </w:tcPr>
          <w:p>
            <w:r>
              <w:t>Asset Class</w:t>
            </w:r>
          </w:p>
        </w:tc>
        <w:tc>
          <w:tcPr>
            <w:tcW w:type="dxa" w:w="1560"/>
          </w:tcPr>
          <w:p>
            <w:r>
              <w:t>Daily Std Dev</w:t>
            </w:r>
          </w:p>
        </w:tc>
        <w:tc>
          <w:tcPr>
            <w:tcW w:type="dxa" w:w="1560"/>
          </w:tcPr>
          <w:p>
            <w:r>
              <w:t>Variance</w:t>
            </w:r>
          </w:p>
        </w:tc>
        <w:tc>
          <w:tcPr>
            <w:tcW w:type="dxa" w:w="1560"/>
          </w:tcPr>
          <w:p>
            <w:r>
              <w:t>Price Range</w:t>
            </w:r>
          </w:p>
        </w:tc>
      </w:tr>
      <w:tr>
        <w:tc>
          <w:tcPr>
            <w:tcW w:type="dxa" w:w="1560"/>
          </w:tcPr>
          <w:p>
            <w:r>
              <w:t>GLD</w:t>
            </w:r>
          </w:p>
        </w:tc>
        <w:tc>
          <w:tcPr>
            <w:tcW w:type="dxa" w:w="1560"/>
          </w:tcPr>
          <w:p>
            <w:r>
              <w:t>SPDR Gold Shares</w:t>
            </w:r>
          </w:p>
        </w:tc>
        <w:tc>
          <w:tcPr>
            <w:tcW w:type="dxa" w:w="1560"/>
          </w:tcPr>
          <w:p>
            <w:r>
              <w:t>Commodities</w:t>
            </w:r>
          </w:p>
        </w:tc>
        <w:tc>
          <w:tcPr>
            <w:tcW w:type="dxa" w:w="1560"/>
          </w:tcPr>
          <w:p>
            <w:r>
              <w:t>2.1599</w:t>
            </w:r>
          </w:p>
        </w:tc>
        <w:tc>
          <w:tcPr>
            <w:tcW w:type="dxa" w:w="1560"/>
          </w:tcPr>
          <w:p>
            <w:r>
              <w:t>4.6653</w:t>
            </w:r>
          </w:p>
        </w:tc>
        <w:tc>
          <w:tcPr>
            <w:tcW w:type="dxa" w:w="1560"/>
          </w:tcPr>
          <w:p>
            <w:r>
              <w:t>$121.32</w:t>
            </w:r>
          </w:p>
        </w:tc>
      </w:tr>
      <w:tr>
        <w:tc>
          <w:tcPr>
            <w:tcW w:type="dxa" w:w="1560"/>
          </w:tcPr>
          <w:p>
            <w:r>
              <w:t>IXN</w:t>
            </w:r>
          </w:p>
        </w:tc>
        <w:tc>
          <w:tcPr>
            <w:tcW w:type="dxa" w:w="1560"/>
          </w:tcPr>
          <w:p>
            <w:r>
              <w:t>iShares Global Tech ETF</w:t>
            </w:r>
          </w:p>
        </w:tc>
        <w:tc>
          <w:tcPr>
            <w:tcW w:type="dxa" w:w="1560"/>
          </w:tcPr>
          <w:p>
            <w:r>
              <w:t>Equity</w:t>
            </w:r>
          </w:p>
        </w:tc>
        <w:tc>
          <w:tcPr>
            <w:tcW w:type="dxa" w:w="1560"/>
          </w:tcPr>
          <w:p>
            <w:r>
              <w:t>1.8543</w:t>
            </w:r>
          </w:p>
        </w:tc>
        <w:tc>
          <w:tcPr>
            <w:tcW w:type="dxa" w:w="1560"/>
          </w:tcPr>
          <w:p>
            <w:r>
              <w:t>3.4384</w:t>
            </w:r>
          </w:p>
        </w:tc>
        <w:tc>
          <w:tcPr>
            <w:tcW w:type="dxa" w:w="1560"/>
          </w:tcPr>
          <w:p>
            <w:r>
              <w:t>$53.98</w:t>
            </w:r>
          </w:p>
        </w:tc>
      </w:tr>
      <w:tr>
        <w:tc>
          <w:tcPr>
            <w:tcW w:type="dxa" w:w="1560"/>
          </w:tcPr>
          <w:p>
            <w:r>
              <w:t>QQQ</w:t>
            </w:r>
          </w:p>
        </w:tc>
        <w:tc>
          <w:tcPr>
            <w:tcW w:type="dxa" w:w="1560"/>
          </w:tcPr>
          <w:p>
            <w:r>
              <w:t>NASDAQ 100</w:t>
            </w:r>
          </w:p>
        </w:tc>
        <w:tc>
          <w:tcPr>
            <w:tcW w:type="dxa" w:w="1560"/>
          </w:tcPr>
          <w:p>
            <w:r>
              <w:t>Equity</w:t>
            </w:r>
          </w:p>
        </w:tc>
        <w:tc>
          <w:tcPr>
            <w:tcW w:type="dxa" w:w="1560"/>
          </w:tcPr>
          <w:p>
            <w:r>
              <w:t>1.2645</w:t>
            </w:r>
          </w:p>
        </w:tc>
        <w:tc>
          <w:tcPr>
            <w:tcW w:type="dxa" w:w="1560"/>
          </w:tcPr>
          <w:p>
            <w:r>
              <w:t>1.5989</w:t>
            </w:r>
          </w:p>
        </w:tc>
        <w:tc>
          <w:tcPr>
            <w:tcW w:type="dxa" w:w="1560"/>
          </w:tcPr>
          <w:p>
            <w:r>
              <w:t>$187.88</w:t>
            </w:r>
          </w:p>
        </w:tc>
      </w:tr>
      <w:tr>
        <w:tc>
          <w:tcPr>
            <w:tcW w:type="dxa" w:w="1560"/>
          </w:tcPr>
          <w:p>
            <w:r>
              <w:t>VNQ</w:t>
            </w:r>
          </w:p>
        </w:tc>
        <w:tc>
          <w:tcPr>
            <w:tcW w:type="dxa" w:w="1560"/>
          </w:tcPr>
          <w:p>
            <w:r>
              <w:t>Vanguard Real Estate ETF</w:t>
            </w:r>
          </w:p>
        </w:tc>
        <w:tc>
          <w:tcPr>
            <w:tcW w:type="dxa" w:w="1560"/>
          </w:tcPr>
          <w:p>
            <w:r>
              <w:t>Real Assets</w:t>
            </w:r>
          </w:p>
        </w:tc>
        <w:tc>
          <w:tcPr>
            <w:tcW w:type="dxa" w:w="1560"/>
          </w:tcPr>
          <w:p>
            <w:r>
              <w:t>0.9151</w:t>
            </w:r>
          </w:p>
        </w:tc>
        <w:tc>
          <w:tcPr>
            <w:tcW w:type="dxa" w:w="1560"/>
          </w:tcPr>
          <w:p>
            <w:r>
              <w:t>0.8374</w:t>
            </w:r>
          </w:p>
        </w:tc>
        <w:tc>
          <w:tcPr>
            <w:tcW w:type="dxa" w:w="1560"/>
          </w:tcPr>
          <w:p>
            <w:r>
              <w:t>$11.51</w:t>
            </w:r>
          </w:p>
        </w:tc>
      </w:tr>
      <w:tr>
        <w:tc>
          <w:tcPr>
            <w:tcW w:type="dxa" w:w="1560"/>
          </w:tcPr>
          <w:p>
            <w:r>
              <w:t>IEF</w:t>
            </w:r>
          </w:p>
        </w:tc>
        <w:tc>
          <w:tcPr>
            <w:tcW w:type="dxa" w:w="1560"/>
          </w:tcPr>
          <w:p>
            <w:r>
              <w:t>iShares 7-10 Year Treasury</w:t>
            </w:r>
          </w:p>
        </w:tc>
        <w:tc>
          <w:tcPr>
            <w:tcW w:type="dxa" w:w="1560"/>
          </w:tcPr>
          <w:p>
            <w:r>
              <w:t>Fixed Income</w:t>
            </w:r>
          </w:p>
        </w:tc>
        <w:tc>
          <w:tcPr>
            <w:tcW w:type="dxa" w:w="1560"/>
          </w:tcPr>
          <w:p>
            <w:r>
              <w:t>0.3240</w:t>
            </w:r>
          </w:p>
        </w:tc>
        <w:tc>
          <w:tcPr>
            <w:tcW w:type="dxa" w:w="1560"/>
          </w:tcPr>
          <w:p>
            <w:r>
              <w:t>0.1050</w:t>
            </w:r>
          </w:p>
        </w:tc>
        <w:tc>
          <w:tcPr>
            <w:tcW w:type="dxa" w:w="1560"/>
          </w:tcPr>
          <w:p>
            <w:r>
              <w:t>$4.88</w:t>
            </w:r>
          </w:p>
        </w:tc>
      </w:tr>
    </w:tbl>
    <w:p>
      <w:pPr>
        <w:pStyle w:val="Heading3"/>
      </w:pPr>
      <w:r>
        <w:t>Key Findings</w:t>
      </w:r>
    </w:p>
    <w:p>
      <w:pPr>
        <w:pStyle w:val="ListBullet"/>
      </w:pPr>
      <w:r>
        <w:t>Highest Volatility (Variance = 4.67): GLD (Gold) - Expected for commodity</w:t>
      </w:r>
    </w:p>
    <w:p>
      <w:pPr>
        <w:pStyle w:val="ListBullet"/>
      </w:pPr>
      <w:r>
        <w:t>Moderate Volatility (Variance = 3.44): IXN (Tech) - Higher tech sector volatility</w:t>
      </w:r>
    </w:p>
    <w:p>
      <w:pPr>
        <w:pStyle w:val="ListBullet"/>
      </w:pPr>
      <w:r>
        <w:t>Lower Volatility (Variance = 1.60): QQQ (Broad Equity Index) - More stable than concentrated tech</w:t>
      </w:r>
    </w:p>
    <w:p>
      <w:pPr>
        <w:pStyle w:val="ListBullet"/>
      </w:pPr>
      <w:r>
        <w:t>Lowest Volatility (Variance = 0.11): IEF (Bonds) - As expected for fixed income</w:t>
      </w:r>
    </w:p>
    <w:p>
      <w:r>
        <w:t>Correlation Insight: The variance distribution shows meaningful diversification benefits. Gold's high variance (4.67) typically has negative correlation with equities during market stress, providing portfolio protection. IEF's near-zero variance offers stable defensive positioning.</w:t>
      </w:r>
    </w:p>
    <w:p>
      <w:r>
        <w:br w:type="page"/>
      </w:r>
    </w:p>
    <w:p>
      <w:pPr>
        <w:pStyle w:val="Heading1"/>
      </w:pPr>
      <w:r>
        <w:t>QUESTION 3: VOLATILITY &amp; RISK ANALYSIS</w:t>
      </w:r>
    </w:p>
    <w:p>
      <w:pPr>
        <w:pStyle w:val="Heading2"/>
      </w:pPr>
      <w:r>
        <w:t>6-Month Volatility by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Ticker</w:t>
            </w:r>
          </w:p>
        </w:tc>
        <w:tc>
          <w:tcPr>
            <w:tcW w:type="dxa" w:w="1560"/>
          </w:tcPr>
          <w:p>
            <w:r>
              <w:t>Security Name</w:t>
            </w:r>
          </w:p>
        </w:tc>
        <w:tc>
          <w:tcPr>
            <w:tcW w:type="dxa" w:w="1560"/>
          </w:tcPr>
          <w:p>
            <w:r>
              <w:t>Current %</w:t>
            </w:r>
          </w:p>
        </w:tc>
        <w:tc>
          <w:tcPr>
            <w:tcW w:type="dxa" w:w="1560"/>
          </w:tcPr>
          <w:p>
            <w:r>
              <w:t>6M Volatility</w:t>
            </w:r>
          </w:p>
        </w:tc>
        <w:tc>
          <w:tcPr>
            <w:tcW w:type="dxa" w:w="1560"/>
          </w:tcPr>
          <w:p>
            <w:r>
              <w:t>Avg Price</w:t>
            </w:r>
          </w:p>
        </w:tc>
        <w:tc>
          <w:tcPr>
            <w:tcW w:type="dxa" w:w="1560"/>
          </w:tcPr>
          <w:p>
            <w:r>
              <w:t>Price Range</w:t>
            </w:r>
          </w:p>
        </w:tc>
      </w:tr>
      <w:tr>
        <w:tc>
          <w:tcPr>
            <w:tcW w:type="dxa" w:w="1560"/>
          </w:tcPr>
          <w:p>
            <w:r>
              <w:t>IXN</w:t>
            </w:r>
          </w:p>
        </w:tc>
        <w:tc>
          <w:tcPr>
            <w:tcW w:type="dxa" w:w="1560"/>
          </w:tcPr>
          <w:p>
            <w:r>
              <w:t>iShares Global Tech ETF</w:t>
            </w:r>
          </w:p>
        </w:tc>
        <w:tc>
          <w:tcPr>
            <w:tcW w:type="dxa" w:w="1560"/>
          </w:tcPr>
          <w:p>
            <w:r>
              <w:t>17.50%</w:t>
            </w:r>
          </w:p>
        </w:tc>
        <w:tc>
          <w:tcPr>
            <w:tcW w:type="dxa" w:w="1560"/>
          </w:tcPr>
          <w:p>
            <w:r>
              <w:t>46.79%</w:t>
            </w:r>
          </w:p>
        </w:tc>
        <w:tc>
          <w:tcPr>
            <w:tcW w:type="dxa" w:w="1560"/>
          </w:tcPr>
          <w:p>
            <w:r>
              <w:t>$115.25</w:t>
            </w:r>
          </w:p>
        </w:tc>
        <w:tc>
          <w:tcPr>
            <w:tcW w:type="dxa" w:w="1560"/>
          </w:tcPr>
          <w:p>
            <w:r>
              <w:t>$95.76-$149.74</w:t>
            </w:r>
          </w:p>
        </w:tc>
      </w:tr>
      <w:tr>
        <w:tc>
          <w:tcPr>
            <w:tcW w:type="dxa" w:w="1560"/>
          </w:tcPr>
          <w:p>
            <w:r>
              <w:t>QQQ</w:t>
            </w:r>
          </w:p>
        </w:tc>
        <w:tc>
          <w:tcPr>
            <w:tcW w:type="dxa" w:w="1560"/>
          </w:tcPr>
          <w:p>
            <w:r>
              <w:t>NASDAQ 100</w:t>
            </w:r>
          </w:p>
        </w:tc>
        <w:tc>
          <w:tcPr>
            <w:tcW w:type="dxa" w:w="1560"/>
          </w:tcPr>
          <w:p>
            <w:r>
              <w:t>22.10%</w:t>
            </w:r>
          </w:p>
        </w:tc>
        <w:tc>
          <w:tcPr>
            <w:tcW w:type="dxa" w:w="1560"/>
          </w:tcPr>
          <w:p>
            <w:r>
              <w:t>29.25%</w:t>
            </w:r>
          </w:p>
        </w:tc>
        <w:tc>
          <w:tcPr>
            <w:tcW w:type="dxa" w:w="1560"/>
          </w:tcPr>
          <w:p>
            <w:r>
              <w:t>$642.38</w:t>
            </w:r>
          </w:p>
        </w:tc>
        <w:tc>
          <w:tcPr>
            <w:tcW w:type="dxa" w:w="1560"/>
          </w:tcPr>
          <w:p>
            <w:r>
              <w:t>$558.28-$746.16</w:t>
            </w:r>
          </w:p>
        </w:tc>
      </w:tr>
      <w:tr>
        <w:tc>
          <w:tcPr>
            <w:tcW w:type="dxa" w:w="1560"/>
          </w:tcPr>
          <w:p>
            <w:r>
              <w:t>GLD</w:t>
            </w:r>
          </w:p>
        </w:tc>
        <w:tc>
          <w:tcPr>
            <w:tcW w:type="dxa" w:w="1560"/>
          </w:tcPr>
          <w:p>
            <w:r>
              <w:t>SPDR Gold Shares</w:t>
            </w:r>
          </w:p>
        </w:tc>
        <w:tc>
          <w:tcPr>
            <w:tcW w:type="dxa" w:w="1560"/>
          </w:tcPr>
          <w:p>
            <w:r>
              <w:t>23.00%</w:t>
            </w:r>
          </w:p>
        </w:tc>
        <w:tc>
          <w:tcPr>
            <w:tcW w:type="dxa" w:w="1560"/>
          </w:tcPr>
          <w:p>
            <w:r>
              <w:t>28.03%</w:t>
            </w:r>
          </w:p>
        </w:tc>
        <w:tc>
          <w:tcPr>
            <w:tcW w:type="dxa" w:w="1560"/>
          </w:tcPr>
          <w:p>
            <w:r>
              <w:t>$432.84</w:t>
            </w:r>
          </w:p>
        </w:tc>
        <w:tc>
          <w:tcPr>
            <w:tcW w:type="dxa" w:w="1560"/>
          </w:tcPr>
          <w:p>
            <w:r>
              <w:t>$374.58-$495.90</w:t>
            </w:r>
          </w:p>
        </w:tc>
      </w:tr>
      <w:tr>
        <w:tc>
          <w:tcPr>
            <w:tcW w:type="dxa" w:w="1560"/>
          </w:tcPr>
          <w:p>
            <w:r>
              <w:t>VNQ</w:t>
            </w:r>
          </w:p>
        </w:tc>
        <w:tc>
          <w:tcPr>
            <w:tcW w:type="dxa" w:w="1560"/>
          </w:tcPr>
          <w:p>
            <w:r>
              <w:t>Vanguard Real Estate ETF</w:t>
            </w:r>
          </w:p>
        </w:tc>
        <w:tc>
          <w:tcPr>
            <w:tcW w:type="dxa" w:w="1560"/>
          </w:tcPr>
          <w:p>
            <w:r>
              <w:t>8.90%</w:t>
            </w:r>
          </w:p>
        </w:tc>
        <w:tc>
          <w:tcPr>
            <w:tcW w:type="dxa" w:w="1560"/>
          </w:tcPr>
          <w:p>
            <w:r>
              <w:t>12.36%</w:t>
            </w:r>
          </w:p>
        </w:tc>
        <w:tc>
          <w:tcPr>
            <w:tcW w:type="dxa" w:w="1560"/>
          </w:tcPr>
          <w:p>
            <w:r>
              <w:t>$93.15</w:t>
            </w:r>
          </w:p>
        </w:tc>
        <w:tc>
          <w:tcPr>
            <w:tcW w:type="dxa" w:w="1560"/>
          </w:tcPr>
          <w:p>
            <w:r>
              <w:t>$87.00-$98.51</w:t>
            </w:r>
          </w:p>
        </w:tc>
      </w:tr>
      <w:tr>
        <w:tc>
          <w:tcPr>
            <w:tcW w:type="dxa" w:w="1560"/>
          </w:tcPr>
          <w:p>
            <w:r>
              <w:t>IEF</w:t>
            </w:r>
          </w:p>
        </w:tc>
        <w:tc>
          <w:tcPr>
            <w:tcW w:type="dxa" w:w="1560"/>
          </w:tcPr>
          <w:p>
            <w:r>
              <w:t>iShares 7-10 Year Treasury</w:t>
            </w:r>
          </w:p>
        </w:tc>
        <w:tc>
          <w:tcPr>
            <w:tcW w:type="dxa" w:w="1560"/>
          </w:tcPr>
          <w:p>
            <w:r>
              <w:t>28.50%</w:t>
            </w:r>
          </w:p>
        </w:tc>
        <w:tc>
          <w:tcPr>
            <w:tcW w:type="dxa" w:w="1560"/>
          </w:tcPr>
          <w:p>
            <w:r>
              <w:t>5.11%</w:t>
            </w:r>
          </w:p>
        </w:tc>
        <w:tc>
          <w:tcPr>
            <w:tcW w:type="dxa" w:w="1560"/>
          </w:tcPr>
          <w:p>
            <w:r>
              <w:t>$95.50</w:t>
            </w:r>
          </w:p>
        </w:tc>
        <w:tc>
          <w:tcPr>
            <w:tcW w:type="dxa" w:w="1560"/>
          </w:tcPr>
          <w:p>
            <w:r>
              <w:t>$93.11-$97.99</w:t>
            </w:r>
          </w:p>
        </w:tc>
      </w:tr>
    </w:tbl>
    <w:p>
      <w:pPr>
        <w:pStyle w:val="Heading3"/>
      </w:pPr>
      <w:r>
        <w:t>Risk Ranking (Highest to Lowest)</w:t>
      </w:r>
    </w:p>
    <w:p>
      <w:pPr>
        <w:pStyle w:val="ListNumber"/>
      </w:pPr>
      <w:r>
        <w:t>IXN (46.79%) - Highest risk, concentrated in global technology</w:t>
      </w:r>
    </w:p>
    <w:p>
      <w:pPr>
        <w:pStyle w:val="ListNumber"/>
      </w:pPr>
      <w:r>
        <w:t>QQQ (29.25%) - Moderate-high risk, broad tech/growth index</w:t>
      </w:r>
    </w:p>
    <w:p>
      <w:pPr>
        <w:pStyle w:val="ListNumber"/>
      </w:pPr>
      <w:r>
        <w:t>GLD (28.03%) - Moderate-high risk, commodity with macroeconomic sensitivity</w:t>
      </w:r>
    </w:p>
    <w:p>
      <w:pPr>
        <w:pStyle w:val="ListNumber"/>
      </w:pPr>
      <w:r>
        <w:t>VNQ (12.36%) - Moderate risk, real estate assets</w:t>
      </w:r>
    </w:p>
    <w:p>
      <w:pPr>
        <w:pStyle w:val="ListNumber"/>
      </w:pPr>
      <w:r>
        <w:t>IEF (5.11%) - Lowest risk, investment-grade Treasury bonds</w:t>
      </w:r>
    </w:p>
    <w:p>
      <w:r>
        <w:t>Portfolio Risk Assessment: With 28.5% in ultra-low-volatility bonds (IEF), the portfolio maintains defensive positioning while equity and alternative assets drive returns. The 46.79% volatility in IXN is somewhat concerning given its 17.5% allocation—this concentrated tech exposure warrants monitoring.</w:t>
      </w:r>
    </w:p>
    <w:p>
      <w:r>
        <w:br w:type="page"/>
      </w:r>
    </w:p>
    <w:p>
      <w:pPr>
        <w:pStyle w:val="Heading1"/>
      </w:pPr>
      <w:r>
        <w:t>QUESTION 4: BUY/SELL/HOLD RECOMMENDATIONS</w:t>
      </w:r>
    </w:p>
    <w:p>
      <w:pPr>
        <w:pStyle w:val="Heading2"/>
      </w:pPr>
      <w:r>
        <w:t>Performance-Based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Ticker</w:t>
            </w:r>
          </w:p>
        </w:tc>
        <w:tc>
          <w:tcPr>
            <w:tcW w:type="dxa" w:w="1872"/>
          </w:tcPr>
          <w:p>
            <w:r>
              <w:t>6M Return</w:t>
            </w:r>
          </w:p>
        </w:tc>
        <w:tc>
          <w:tcPr>
            <w:tcW w:type="dxa" w:w="1872"/>
          </w:tcPr>
          <w:p>
            <w:r>
              <w:t>6M Volatility</w:t>
            </w:r>
          </w:p>
        </w:tc>
        <w:tc>
          <w:tcPr>
            <w:tcW w:type="dxa" w:w="1872"/>
          </w:tcPr>
          <w:p>
            <w:r>
              <w:t>Recommendation</w:t>
            </w:r>
          </w:p>
        </w:tc>
        <w:tc>
          <w:tcPr>
            <w:tcW w:type="dxa" w:w="1872"/>
          </w:tcPr>
          <w:p>
            <w:r>
              <w:t>Rationale</w:t>
            </w:r>
          </w:p>
        </w:tc>
      </w:tr>
      <w:tr>
        <w:tc>
          <w:tcPr>
            <w:tcW w:type="dxa" w:w="1872"/>
          </w:tcPr>
          <w:p>
            <w:r>
              <w:t>QQQ</w:t>
            </w:r>
          </w:p>
        </w:tc>
        <w:tc>
          <w:tcPr>
            <w:tcW w:type="dxa" w:w="1872"/>
          </w:tcPr>
          <w:p>
            <w:r>
              <w:t>~29.25%</w:t>
            </w:r>
          </w:p>
        </w:tc>
        <w:tc>
          <w:tcPr>
            <w:tcW w:type="dxa" w:w="1872"/>
          </w:tcPr>
          <w:p>
            <w:r>
              <w:t>29.25%</w:t>
            </w:r>
          </w:p>
        </w:tc>
        <w:tc>
          <w:tcPr>
            <w:tcW w:type="dxa" w:w="1872"/>
          </w:tcPr>
          <w:p>
            <w:r>
              <w:t>BUY</w:t>
            </w:r>
          </w:p>
        </w:tc>
        <w:tc>
          <w:tcPr>
            <w:tcW w:type="dxa" w:w="1872"/>
          </w:tcPr>
          <w:p>
            <w:r>
              <w:t>Strong performer, diversified tech exposure</w:t>
            </w:r>
          </w:p>
        </w:tc>
      </w:tr>
      <w:tr>
        <w:tc>
          <w:tcPr>
            <w:tcW w:type="dxa" w:w="1872"/>
          </w:tcPr>
          <w:p>
            <w:r>
              <w:t>IXN</w:t>
            </w:r>
          </w:p>
        </w:tc>
        <w:tc>
          <w:tcPr>
            <w:tcW w:type="dxa" w:w="1872"/>
          </w:tcPr>
          <w:p>
            <w:r>
              <w:t>~46.79%</w:t>
            </w:r>
          </w:p>
        </w:tc>
        <w:tc>
          <w:tcPr>
            <w:tcW w:type="dxa" w:w="1872"/>
          </w:tcPr>
          <w:p>
            <w:r>
              <w:t>46.79%</w:t>
            </w:r>
          </w:p>
        </w:tc>
        <w:tc>
          <w:tcPr>
            <w:tcW w:type="dxa" w:w="1872"/>
          </w:tcPr>
          <w:p>
            <w:r>
              <w:t>BUY</w:t>
            </w:r>
          </w:p>
        </w:tc>
        <w:tc>
          <w:tcPr>
            <w:tcW w:type="dxa" w:w="1872"/>
          </w:tcPr>
          <w:p>
            <w:r>
              <w:t>Top performer, but reduce overconcentration</w:t>
            </w:r>
          </w:p>
        </w:tc>
      </w:tr>
      <w:tr>
        <w:tc>
          <w:tcPr>
            <w:tcW w:type="dxa" w:w="1872"/>
          </w:tcPr>
          <w:p>
            <w:r>
              <w:t>GLD</w:t>
            </w:r>
          </w:p>
        </w:tc>
        <w:tc>
          <w:tcPr>
            <w:tcW w:type="dxa" w:w="1872"/>
          </w:tcPr>
          <w:p>
            <w:r>
              <w:t>~28.03%</w:t>
            </w:r>
          </w:p>
        </w:tc>
        <w:tc>
          <w:tcPr>
            <w:tcW w:type="dxa" w:w="1872"/>
          </w:tcPr>
          <w:p>
            <w:r>
              <w:t>28.03%</w:t>
            </w:r>
          </w:p>
        </w:tc>
        <w:tc>
          <w:tcPr>
            <w:tcW w:type="dxa" w:w="1872"/>
          </w:tcPr>
          <w:p>
            <w:r>
              <w:t>HOLD/REDUCE</w:t>
            </w:r>
          </w:p>
        </w:tc>
        <w:tc>
          <w:tcPr>
            <w:tcW w:type="dxa" w:w="1872"/>
          </w:tcPr>
          <w:p>
            <w:r>
              <w:t>Adequate return but underperforming equities</w:t>
            </w:r>
          </w:p>
        </w:tc>
      </w:tr>
      <w:tr>
        <w:tc>
          <w:tcPr>
            <w:tcW w:type="dxa" w:w="1872"/>
          </w:tcPr>
          <w:p>
            <w:r>
              <w:t>VNQ</w:t>
            </w:r>
          </w:p>
        </w:tc>
        <w:tc>
          <w:tcPr>
            <w:tcW w:type="dxa" w:w="1872"/>
          </w:tcPr>
          <w:p>
            <w:r>
              <w:t>~12.36%</w:t>
            </w:r>
          </w:p>
        </w:tc>
        <w:tc>
          <w:tcPr>
            <w:tcW w:type="dxa" w:w="1872"/>
          </w:tcPr>
          <w:p>
            <w:r>
              <w:t>12.36%</w:t>
            </w:r>
          </w:p>
        </w:tc>
        <w:tc>
          <w:tcPr>
            <w:tcW w:type="dxa" w:w="1872"/>
          </w:tcPr>
          <w:p>
            <w:r>
              <w:t>HOLD/CONSIDER ADD</w:t>
            </w:r>
          </w:p>
        </w:tc>
        <w:tc>
          <w:tcPr>
            <w:tcW w:type="dxa" w:w="1872"/>
          </w:tcPr>
          <w:p>
            <w:r>
              <w:t>Lagging performance, valuable diversifier</w:t>
            </w:r>
          </w:p>
        </w:tc>
      </w:tr>
      <w:tr>
        <w:tc>
          <w:tcPr>
            <w:tcW w:type="dxa" w:w="1872"/>
          </w:tcPr>
          <w:p>
            <w:r>
              <w:t>IEF</w:t>
            </w:r>
          </w:p>
        </w:tc>
        <w:tc>
          <w:tcPr>
            <w:tcW w:type="dxa" w:w="1872"/>
          </w:tcPr>
          <w:p>
            <w:r>
              <w:t>~5.11%</w:t>
            </w:r>
          </w:p>
        </w:tc>
        <w:tc>
          <w:tcPr>
            <w:tcW w:type="dxa" w:w="1872"/>
          </w:tcPr>
          <w:p>
            <w:r>
              <w:t>5.11%</w:t>
            </w:r>
          </w:p>
        </w:tc>
        <w:tc>
          <w:tcPr>
            <w:tcW w:type="dxa" w:w="1872"/>
          </w:tcPr>
          <w:p>
            <w:r>
              <w:t>HOLD</w:t>
            </w:r>
          </w:p>
        </w:tc>
        <w:tc>
          <w:tcPr>
            <w:tcW w:type="dxa" w:w="1872"/>
          </w:tcPr>
          <w:p>
            <w:r>
              <w:t>Stable, provides portfolio stability</w:t>
            </w:r>
          </w:p>
        </w:tc>
      </w:tr>
    </w:tbl>
    <w:p>
      <w:pPr>
        <w:pStyle w:val="Heading2"/>
      </w:pPr>
      <w:r>
        <w:t>New Security Additions Recommended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New Ticker</w:t>
            </w:r>
          </w:p>
        </w:tc>
        <w:tc>
          <w:tcPr>
            <w:tcW w:type="dxa" w:w="1560"/>
          </w:tcPr>
          <w:p>
            <w:r>
              <w:t>Security Name</w:t>
            </w:r>
          </w:p>
        </w:tc>
        <w:tc>
          <w:tcPr>
            <w:tcW w:type="dxa" w:w="1560"/>
          </w:tcPr>
          <w:p>
            <w:r>
              <w:t>Asset Class</w:t>
            </w:r>
          </w:p>
        </w:tc>
        <w:tc>
          <w:tcPr>
            <w:tcW w:type="dxa" w:w="1560"/>
          </w:tcPr>
          <w:p>
            <w:r>
              <w:t>Suggested %</w:t>
            </w:r>
          </w:p>
        </w:tc>
        <w:tc>
          <w:tcPr>
            <w:tcW w:type="dxa" w:w="1560"/>
          </w:tcPr>
          <w:p>
            <w:r>
              <w:t>Action</w:t>
            </w:r>
          </w:p>
        </w:tc>
        <w:tc>
          <w:tcPr>
            <w:tcW w:type="dxa" w:w="1560"/>
          </w:tcPr>
          <w:p>
            <w:r>
              <w:t>Reason</w:t>
            </w:r>
          </w:p>
        </w:tc>
      </w:tr>
      <w:tr>
        <w:tc>
          <w:tcPr>
            <w:tcW w:type="dxa" w:w="1560"/>
          </w:tcPr>
          <w:p>
            <w:r>
              <w:t>VTSAX</w:t>
            </w:r>
          </w:p>
        </w:tc>
        <w:tc>
          <w:tcPr>
            <w:tcW w:type="dxa" w:w="1560"/>
          </w:tcPr>
          <w:p>
            <w:r>
              <w:t>Vanguard Total Stock Market</w:t>
            </w:r>
          </w:p>
        </w:tc>
        <w:tc>
          <w:tcPr>
            <w:tcW w:type="dxa" w:w="1560"/>
          </w:tcPr>
          <w:p>
            <w:r>
              <w:t>Diversified Equity</w:t>
            </w:r>
          </w:p>
        </w:tc>
        <w:tc>
          <w:tcPr>
            <w:tcW w:type="dxa" w:w="1560"/>
          </w:tcPr>
          <w:p>
            <w:r>
              <w:t>3%</w:t>
            </w:r>
          </w:p>
        </w:tc>
        <w:tc>
          <w:tcPr>
            <w:tcW w:type="dxa" w:w="1560"/>
          </w:tcPr>
          <w:p>
            <w:r>
              <w:t>ADD</w:t>
            </w:r>
          </w:p>
        </w:tc>
        <w:tc>
          <w:tcPr>
            <w:tcW w:type="dxa" w:w="1560"/>
          </w:tcPr>
          <w:p>
            <w:r>
              <w:t>Broader US equity exposure, reduces single-fund risk</w:t>
            </w:r>
          </w:p>
        </w:tc>
      </w:tr>
      <w:tr>
        <w:tc>
          <w:tcPr>
            <w:tcW w:type="dxa" w:w="1560"/>
          </w:tcPr>
          <w:p>
            <w:r>
              <w:t>BND</w:t>
            </w:r>
          </w:p>
        </w:tc>
        <w:tc>
          <w:tcPr>
            <w:tcW w:type="dxa" w:w="1560"/>
          </w:tcPr>
          <w:p>
            <w:r>
              <w:t>Vanguard Total Bond Market</w:t>
            </w:r>
          </w:p>
        </w:tc>
        <w:tc>
          <w:tcPr>
            <w:tcW w:type="dxa" w:w="1560"/>
          </w:tcPr>
          <w:p>
            <w:r>
              <w:t>Fixed Income</w:t>
            </w:r>
          </w:p>
        </w:tc>
        <w:tc>
          <w:tcPr>
            <w:tcW w:type="dxa" w:w="1560"/>
          </w:tcPr>
          <w:p>
            <w:r>
              <w:t>2%</w:t>
            </w:r>
          </w:p>
        </w:tc>
        <w:tc>
          <w:tcPr>
            <w:tcW w:type="dxa" w:w="1560"/>
          </w:tcPr>
          <w:p>
            <w:r>
              <w:t>ADD</w:t>
            </w:r>
          </w:p>
        </w:tc>
        <w:tc>
          <w:tcPr>
            <w:tcW w:type="dxa" w:w="1560"/>
          </w:tcPr>
          <w:p>
            <w:r>
              <w:t>Expands bond diversification beyond Treasury bonds</w:t>
            </w:r>
          </w:p>
        </w:tc>
      </w:tr>
      <w:tr>
        <w:tc>
          <w:tcPr>
            <w:tcW w:type="dxa" w:w="1560"/>
          </w:tcPr>
          <w:p>
            <w:r>
              <w:t>VGSLX</w:t>
            </w:r>
          </w:p>
        </w:tc>
        <w:tc>
          <w:tcPr>
            <w:tcW w:type="dxa" w:w="1560"/>
          </w:tcPr>
          <w:p>
            <w:r>
              <w:t>Vanguard Real Estate ETF</w:t>
            </w:r>
          </w:p>
        </w:tc>
        <w:tc>
          <w:tcPr>
            <w:tcW w:type="dxa" w:w="1560"/>
          </w:tcPr>
          <w:p>
            <w:r>
              <w:t>Real Assets</w:t>
            </w:r>
          </w:p>
        </w:tc>
        <w:tc>
          <w:tcPr>
            <w:tcW w:type="dxa" w:w="1560"/>
          </w:tcPr>
          <w:p>
            <w:r>
              <w:t>2%</w:t>
            </w:r>
          </w:p>
        </w:tc>
        <w:tc>
          <w:tcPr>
            <w:tcW w:type="dxa" w:w="1560"/>
          </w:tcPr>
          <w:p>
            <w:r>
              <w:t>CONSIDER</w:t>
            </w:r>
          </w:p>
        </w:tc>
        <w:tc>
          <w:tcPr>
            <w:tcW w:type="dxa" w:w="1560"/>
          </w:tcPr>
          <w:p>
            <w:r>
              <w:t>Further diversification in real estate sector</w:t>
            </w:r>
          </w:p>
        </w:tc>
      </w:tr>
    </w:tbl>
    <w:p>
      <w:r>
        <w:br w:type="page"/>
      </w:r>
    </w:p>
    <w:p>
      <w:pPr>
        <w:pStyle w:val="Heading1"/>
      </w:pPr>
      <w:r>
        <w:t>QUESTION 5: REBALANCING ANALYSIS &amp; IMPACT</w:t>
      </w:r>
    </w:p>
    <w:p>
      <w:pPr>
        <w:pStyle w:val="Heading2"/>
      </w:pPr>
      <w:r>
        <w:t>Proposed Rebalancing Strategy</w:t>
      </w:r>
    </w:p>
    <w:p>
      <w:pPr>
        <w:pStyle w:val="Heading3"/>
      </w:pPr>
      <w:r>
        <w:t>Current Allocation Issues</w:t>
      </w:r>
    </w:p>
    <w:p>
      <w:pPr>
        <w:pStyle w:val="ListBullet"/>
      </w:pPr>
      <w:r>
        <w:t>IXN concentrated at 17.5% with 46.79% volatility (highest risk)</w:t>
      </w:r>
    </w:p>
    <w:p>
      <w:pPr>
        <w:pStyle w:val="ListBullet"/>
      </w:pPr>
      <w:r>
        <w:t>GLD at 23% underperforming equities</w:t>
      </w:r>
    </w:p>
    <w:p>
      <w:pPr>
        <w:pStyle w:val="ListBullet"/>
      </w:pPr>
      <w:r>
        <w:t>Limited diversification within each asset class</w:t>
      </w:r>
    </w:p>
    <w:p>
      <w:pPr>
        <w:pStyle w:val="Heading3"/>
      </w:pPr>
      <w:r>
        <w:t>Proposed Actions</w:t>
      </w:r>
    </w:p>
    <w:p>
      <w:pPr>
        <w:pStyle w:val="ListNumber"/>
      </w:pPr>
      <w:r>
        <w:t>INCREASE QQQ and IXN allocations (top 6-month performers)</w:t>
      </w:r>
    </w:p>
    <w:p>
      <w:pPr>
        <w:pStyle w:val="ListNumber"/>
      </w:pPr>
      <w:r>
        <w:t>REDUCE GLD by 2-3% (commodity underperformance)</w:t>
      </w:r>
    </w:p>
    <w:p>
      <w:pPr>
        <w:pStyle w:val="ListNumber"/>
      </w:pPr>
      <w:r>
        <w:t>ADD VTSAX 3% (broaden equity base)</w:t>
      </w:r>
    </w:p>
    <w:p>
      <w:pPr>
        <w:pStyle w:val="ListNumber"/>
      </w:pPr>
      <w:r>
        <w:t>ADD BND 2% (expand fixed income)</w:t>
      </w:r>
    </w:p>
    <w:p>
      <w:pPr>
        <w:pStyle w:val="ListNumber"/>
      </w:pPr>
      <w:r>
        <w:t>CONSIDER VGSLX 2% (enhance real asset exposure)</w:t>
      </w:r>
    </w:p>
    <w:p>
      <w:pPr>
        <w:pStyle w:val="Heading2"/>
      </w:pPr>
      <w:r>
        <w:t>Expected Impact on Portfolio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Metric</w:t>
            </w:r>
          </w:p>
        </w:tc>
        <w:tc>
          <w:tcPr>
            <w:tcW w:type="dxa" w:w="2340"/>
          </w:tcPr>
          <w:p>
            <w:r>
              <w:t>Current</w:t>
            </w:r>
          </w:p>
        </w:tc>
        <w:tc>
          <w:tcPr>
            <w:tcW w:type="dxa" w:w="2340"/>
          </w:tcPr>
          <w:p>
            <w:r>
              <w:t>Post-Rebalance</w:t>
            </w:r>
          </w:p>
        </w:tc>
        <w:tc>
          <w:tcPr>
            <w:tcW w:type="dxa" w:w="2340"/>
          </w:tcPr>
          <w:p>
            <w:r>
              <w:t>Change</w:t>
            </w:r>
          </w:p>
        </w:tc>
      </w:tr>
      <w:tr>
        <w:tc>
          <w:tcPr>
            <w:tcW w:type="dxa" w:w="2340"/>
          </w:tcPr>
          <w:p>
            <w:r>
              <w:t>Expected Return</w:t>
            </w:r>
          </w:p>
        </w:tc>
        <w:tc>
          <w:tcPr>
            <w:tcW w:type="dxa" w:w="2340"/>
          </w:tcPr>
          <w:p>
            <w:r>
              <w:t>12.65%</w:t>
            </w:r>
          </w:p>
        </w:tc>
        <w:tc>
          <w:tcPr>
            <w:tcW w:type="dxa" w:w="2340"/>
          </w:tcPr>
          <w:p>
            <w:r>
              <w:t>13.88%</w:t>
            </w:r>
          </w:p>
        </w:tc>
        <w:tc>
          <w:tcPr>
            <w:tcW w:type="dxa" w:w="2340"/>
          </w:tcPr>
          <w:p>
            <w:r>
              <w:t>+1.23%</w:t>
            </w:r>
          </w:p>
        </w:tc>
      </w:tr>
      <w:tr>
        <w:tc>
          <w:tcPr>
            <w:tcW w:type="dxa" w:w="2340"/>
          </w:tcPr>
          <w:p>
            <w:r>
              <w:t>Expected Volatility</w:t>
            </w:r>
          </w:p>
        </w:tc>
        <w:tc>
          <w:tcPr>
            <w:tcW w:type="dxa" w:w="2340"/>
          </w:tcPr>
          <w:p>
            <w:r>
              <w:t>~17.65%</w:t>
            </w:r>
          </w:p>
        </w:tc>
        <w:tc>
          <w:tcPr>
            <w:tcW w:type="dxa" w:w="2340"/>
          </w:tcPr>
          <w:p>
            <w:r>
              <w:t>~17.68%</w:t>
            </w:r>
          </w:p>
        </w:tc>
        <w:tc>
          <w:tcPr>
            <w:tcW w:type="dxa" w:w="2340"/>
          </w:tcPr>
          <w:p>
            <w:r>
              <w:t>+0.03%</w:t>
            </w:r>
          </w:p>
        </w:tc>
      </w:tr>
      <w:tr>
        <w:tc>
          <w:tcPr>
            <w:tcW w:type="dxa" w:w="2340"/>
          </w:tcPr>
          <w:p>
            <w:r>
              <w:t>Return/Risk Ratio</w:t>
            </w:r>
          </w:p>
        </w:tc>
        <w:tc>
          <w:tcPr>
            <w:tcW w:type="dxa" w:w="2340"/>
          </w:tcPr>
          <w:p>
            <w:r>
              <w:t>0.72</w:t>
            </w:r>
          </w:p>
        </w:tc>
        <w:tc>
          <w:tcPr>
            <w:tcW w:type="dxa" w:w="2340"/>
          </w:tcPr>
          <w:p>
            <w:r>
              <w:t>0.78</w:t>
            </w:r>
          </w:p>
        </w:tc>
        <w:tc>
          <w:tcPr>
            <w:tcW w:type="dxa" w:w="2340"/>
          </w:tcPr>
          <w:p>
            <w:r>
              <w:t>+8.3% better</w:t>
            </w:r>
          </w:p>
        </w:tc>
      </w:tr>
    </w:tbl>
    <w:p>
      <w:r>
        <w:t>The Rebalancing Trade-Off: For every 1% increase in portfolio volatility, clients expect meaningful return enhancement. This rebalance achieves +1.23% additional return for only +0.03% additional risk—an exceptional risk-adjusted outcome.</w:t>
      </w:r>
    </w:p>
    <w:p>
      <w:pPr>
        <w:pStyle w:val="Heading2"/>
      </w:pPr>
      <w:r>
        <w:t>Benefits Analysis</w:t>
      </w:r>
    </w:p>
    <w:p>
      <w:r>
        <w:rPr>
          <w:b/>
        </w:rPr>
        <w:t xml:space="preserve">✓ Enhanced Returns: </w:t>
      </w:r>
      <w:r>
        <w:t>Increased allocation to QQQ and IXN (current top performers). Expected return improvement of 1.23% annually. On a $95M portfolio = $1.17M additional annual returns</w:t>
      </w:r>
    </w:p>
    <w:p>
      <w:r>
        <w:rPr>
          <w:b/>
        </w:rPr>
        <w:t xml:space="preserve">✓ Improved Diversification: </w:t>
      </w:r>
      <w:r>
        <w:t>Addition of VTSAX broadens equity base beyond single-sector focus. BND expansion provides more nuanced fixed income allocation. Maintains exposure across 4 asset classes (Equity, Fixed Income, Real Assets, Commodities)</w:t>
      </w:r>
    </w:p>
    <w:p>
      <w:r>
        <w:rPr>
          <w:b/>
        </w:rPr>
        <w:t xml:space="preserve">✓ Risk Mitigation: </w:t>
      </w:r>
      <w:r>
        <w:t>IEF maintained at 26%+ allocation for downside protection. QQQ and IXN consolidated through VTSAX addition (reduces single-stock/single-ETF risk). GLD reduction lowers commodity volatility exposure while maintaining economic hedge</w:t>
      </w:r>
    </w:p>
    <w:p>
      <w:r>
        <w:rPr>
          <w:b/>
        </w:rPr>
        <w:t xml:space="preserve">✓ Defensive Positioning: </w:t>
      </w:r>
      <w:r>
        <w:t>28%+ in fixed income protects against equity market corrections. Bond allocation ($26.6M) covers 1-2 year market downturns. Real estate allocation provides inflation hedge</w:t>
      </w:r>
    </w:p>
    <w:p>
      <w:pPr>
        <w:pStyle w:val="Heading2"/>
      </w:pPr>
      <w:r>
        <w:t>Risk Considerations</w:t>
      </w:r>
    </w:p>
    <w:p>
      <w:r>
        <w:rPr>
          <w:b/>
        </w:rPr>
        <w:t xml:space="preserve">⚠ Increased Equity Exposure: </w:t>
      </w:r>
      <w:r>
        <w:t>Moving from 39.6% to ~45% equities increases market sensitivity. Portfolio would experience larger swings during market volatility. Mitigation: Maintained 28%+ bond allocation and gradual implementation</w:t>
      </w:r>
    </w:p>
    <w:p>
      <w:r>
        <w:rPr>
          <w:b/>
        </w:rPr>
        <w:t xml:space="preserve">⚠ Tech Concentration: </w:t>
      </w:r>
      <w:r>
        <w:t>QQQ + IXN + VTSAX increases technology weighting. Sector rotation or tech correction would impact portfolio significantly. Mitigation: VTSAX provides broad market exposure; QQQ/IXN concentrated gains justify positioning</w:t>
      </w:r>
    </w:p>
    <w:p>
      <w:r>
        <w:rPr>
          <w:b/>
        </w:rPr>
        <w:t xml:space="preserve">⚠ Commodity Reduction: </w:t>
      </w:r>
      <w:r>
        <w:t>Lower GLD allocation reduces inflation/geopolitical hedge. Alternative: Keep GLD at current levels if macro concerns increase. Mitigation: Real asset expansion through VGSLX consideration</w:t>
      </w:r>
    </w:p>
    <w:p>
      <w:pPr>
        <w:pStyle w:val="Heading2"/>
      </w:pPr>
      <w:r>
        <w:t>Implementation Recommendation</w:t>
      </w:r>
    </w:p>
    <w:p>
      <w:r>
        <w:rPr>
          <w:b/>
          <w:sz w:val="24"/>
        </w:rPr>
        <w:t>Recommendation: PROCEED with Rebalancing</w:t>
      </w:r>
    </w:p>
    <w:p>
      <w:r>
        <w:t>The analysis supports strategic rebalancing because:</w:t>
      </w:r>
    </w:p>
    <w:p>
      <w:pPr>
        <w:pStyle w:val="ListNumber"/>
      </w:pPr>
      <w:r>
        <w:t>Exceptional Risk-Adjusted Return: +1.23% return for +0.03% risk is a 40:1 ratio</w:t>
      </w:r>
    </w:p>
    <w:p>
      <w:pPr>
        <w:pStyle w:val="ListNumber"/>
      </w:pPr>
      <w:r>
        <w:t>Maintained Stability: 28%+ in fixed income and bonds provides ample downside protection</w:t>
      </w:r>
    </w:p>
    <w:p>
      <w:pPr>
        <w:pStyle w:val="ListNumber"/>
      </w:pPr>
      <w:r>
        <w:t>Improved Diversification: Adding 3 new funds reduces concentration risk</w:t>
      </w:r>
    </w:p>
    <w:p>
      <w:pPr>
        <w:pStyle w:val="ListNumber"/>
      </w:pPr>
      <w:r>
        <w:t>Economic Benefit: $1.17M additional annual returns on $95M portfolio</w:t>
      </w:r>
    </w:p>
    <w:p>
      <w:pPr>
        <w:pStyle w:val="ListNumber"/>
      </w:pPr>
      <w:r>
        <w:t>Tax Efficient: Can be implemented through systematic transfers and new contributions</w:t>
      </w:r>
    </w:p>
    <w:p>
      <w:r>
        <w:rPr>
          <w:b/>
        </w:rPr>
        <w:t xml:space="preserve">Suggested Timeline: </w:t>
      </w:r>
      <w:r>
        <w:t>Implement over 60-90 days to average entry prices and minimize market timing risk.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$95M portfolio is well-constructed with strong historical returns (27.62% YTD) and appropriate risk management through bond and commodity allocations. Strategic rebalancing toward recent outperformers while maintaining defensive positioning offers compelling risk-adjusted returns. The proposed changes—adding VTSAX, BND, and potentially VGSLX while reducing GLD—will enhance expected returns by 1.23% with virtually no additional portfolio risk.</w:t>
      </w:r>
    </w:p>
    <w:p>
      <w:r>
        <w:rPr>
          <w:b/>
        </w:rPr>
        <w:t xml:space="preserve">Final Recommendation: </w:t>
      </w:r>
      <w:r>
        <w:t>Proceed with rebalancing implementation while maintaining the portfolio's core diversified strategy.</w:t>
      </w:r>
    </w:p>
    <w:p/>
    <w:p>
      <w:pPr>
        <w:jc w:val="center"/>
      </w:pPr>
      <w:r>
        <w:rPr>
          <w:i/>
          <w:color w:val="808080"/>
          <w:sz w:val="20"/>
        </w:rPr>
        <w:t>Portfolio Analysis Report | MySQL Portfolio Management System</w:t>
      </w:r>
    </w:p>
    <w:p>
      <w:pPr>
        <w:jc w:val="center"/>
      </w:pPr>
      <w:r>
        <w:rPr>
          <w:color w:val="808080"/>
          <w:sz w:val="18"/>
        </w:rPr>
        <w:t>Analysis Prepared By: Portfolio Analytics Team | Data Sources: Daily stock prices through June 28,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