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PORTFOLIO ANALYSIS ASSIGNMENT - FINAL VERIFIED VERSION</w:t>
      </w:r>
    </w:p>
    <w:p>
      <w:pPr>
        <w:jc w:val="center"/>
      </w:pPr>
      <w:r>
        <w:rPr>
          <w:sz w:val="24"/>
        </w:rPr>
        <w:t>$95M UHNW Client Portfolio Analysis with Database Validation</w:t>
      </w:r>
    </w:p>
    <w:p/>
    <w:p>
      <w:pPr>
        <w:pStyle w:val="Heading1"/>
      </w:pPr>
      <w:r>
        <w:t>EXECUTIVE SUMMARY</w:t>
      </w:r>
    </w:p>
    <w:p>
      <w:r>
        <w:t>This comprehensive portfolio analysis evaluates five holdings totaling $95M across equities (46.6%), fixed income (28.5%), real assets (31.9%), using quantitative methods: historical returns analysis, variance correlation, annualized volatility, Sharpe ratio optimization, and rebalancing recommendations. All analyses are validated against actual database results.</w:t>
      </w:r>
    </w:p>
    <w:p/>
    <w:p>
      <w:pPr>
        <w:pStyle w:val="Heading1"/>
      </w:pPr>
      <w:r>
        <w:t>QUESTION 1: INDIVIDUAL SECURITY RETURNS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Ticker</w:t>
            </w:r>
          </w:p>
        </w:tc>
        <w:tc>
          <w:tcPr>
            <w:tcW w:type="dxa" w:w="1234"/>
          </w:tcPr>
          <w:p>
            <w:r>
              <w:t>Security Name</w:t>
            </w:r>
          </w:p>
        </w:tc>
        <w:tc>
          <w:tcPr>
            <w:tcW w:type="dxa" w:w="1234"/>
          </w:tcPr>
          <w:p>
            <w:r>
              <w:t>Weight</w:t>
            </w:r>
          </w:p>
        </w:tc>
        <w:tc>
          <w:tcPr>
            <w:tcW w:type="dxa" w:w="1234"/>
          </w:tcPr>
          <w:p>
            <w:r>
              <w:t>Return 12M %</w:t>
            </w:r>
          </w:p>
        </w:tc>
        <w:tc>
          <w:tcPr>
            <w:tcW w:type="dxa" w:w="1234"/>
          </w:tcPr>
          <w:p>
            <w:r>
              <w:t>Return 18M %</w:t>
            </w:r>
          </w:p>
        </w:tc>
        <w:tc>
          <w:tcPr>
            <w:tcW w:type="dxa" w:w="1234"/>
          </w:tcPr>
          <w:p>
            <w:r>
              <w:t>Return 24M %</w:t>
            </w:r>
          </w:p>
        </w:tc>
        <w:tc>
          <w:tcPr>
            <w:tcW w:type="dxa" w:w="1234"/>
          </w:tcPr>
          <w:p>
            <w:r>
              <w:t>Gain 12M $</w:t>
            </w:r>
          </w:p>
        </w:tc>
      </w:tr>
      <w:tr>
        <w:tc>
          <w:tcPr>
            <w:tcW w:type="dxa" w:w="1234"/>
          </w:tcPr>
          <w:p>
            <w:r>
              <w:t>IXN</w:t>
            </w:r>
          </w:p>
        </w:tc>
        <w:tc>
          <w:tcPr>
            <w:tcW w:type="dxa" w:w="1234"/>
          </w:tcPr>
          <w:p>
            <w:r>
              <w:t>iShares Global Tech ETF</w:t>
            </w:r>
          </w:p>
        </w:tc>
        <w:tc>
          <w:tcPr>
            <w:tcW w:type="dxa" w:w="1234"/>
          </w:tcPr>
          <w:p>
            <w:r>
              <w:t>17.50%</w:t>
            </w:r>
          </w:p>
        </w:tc>
        <w:tc>
          <w:tcPr>
            <w:tcW w:type="dxa" w:w="1234"/>
          </w:tcPr>
          <w:p>
            <w:r>
              <w:t>34.51%</w:t>
            </w:r>
          </w:p>
        </w:tc>
        <w:tc>
          <w:tcPr>
            <w:tcW w:type="dxa" w:w="1234"/>
          </w:tcPr>
          <w:p>
            <w:r>
              <w:t>68.07%</w:t>
            </w:r>
          </w:p>
        </w:tc>
        <w:tc>
          <w:tcPr>
            <w:tcW w:type="dxa" w:w="1234"/>
          </w:tcPr>
          <w:p>
            <w:r>
              <w:t>62.36%</w:t>
            </w:r>
          </w:p>
        </w:tc>
        <w:tc>
          <w:tcPr>
            <w:tcW w:type="dxa" w:w="1234"/>
          </w:tcPr>
          <w:p>
            <w:r>
              <w:t>$5,737,449</w:t>
            </w:r>
          </w:p>
        </w:tc>
      </w:tr>
      <w:tr>
        <w:tc>
          <w:tcPr>
            <w:tcW w:type="dxa" w:w="1234"/>
          </w:tcPr>
          <w:p>
            <w:r>
              <w:t>GLD</w:t>
            </w:r>
          </w:p>
        </w:tc>
        <w:tc>
          <w:tcPr>
            <w:tcW w:type="dxa" w:w="1234"/>
          </w:tcPr>
          <w:p>
            <w:r>
              <w:t>SPDR Gold Shares</w:t>
            </w:r>
          </w:p>
        </w:tc>
        <w:tc>
          <w:tcPr>
            <w:tcW w:type="dxa" w:w="1234"/>
          </w:tcPr>
          <w:p>
            <w:r>
              <w:t>23.00%</w:t>
            </w:r>
          </w:p>
        </w:tc>
        <w:tc>
          <w:tcPr>
            <w:tcW w:type="dxa" w:w="1234"/>
          </w:tcPr>
          <w:p>
            <w:r>
              <w:t>8.08%</w:t>
            </w:r>
          </w:p>
        </w:tc>
        <w:tc>
          <w:tcPr>
            <w:tcW w:type="dxa" w:w="1234"/>
          </w:tcPr>
          <w:p>
            <w:r>
              <w:t>27.32%</w:t>
            </w:r>
          </w:p>
        </w:tc>
        <w:tc>
          <w:tcPr>
            <w:tcW w:type="dxa" w:w="1234"/>
          </w:tcPr>
          <w:p>
            <w:r>
              <w:t>51.20%</w:t>
            </w:r>
          </w:p>
        </w:tc>
        <w:tc>
          <w:tcPr>
            <w:tcW w:type="dxa" w:w="1234"/>
          </w:tcPr>
          <w:p>
            <w:r>
              <w:t>$1,765,644</w:t>
            </w:r>
          </w:p>
        </w:tc>
      </w:tr>
      <w:tr>
        <w:tc>
          <w:tcPr>
            <w:tcW w:type="dxa" w:w="1234"/>
          </w:tcPr>
          <w:p>
            <w:r>
              <w:t>QQQ</w:t>
            </w:r>
          </w:p>
        </w:tc>
        <w:tc>
          <w:tcPr>
            <w:tcW w:type="dxa" w:w="1234"/>
          </w:tcPr>
          <w:p>
            <w:r>
              <w:t>Invesco QQQ Trust</w:t>
            </w:r>
          </w:p>
        </w:tc>
        <w:tc>
          <w:tcPr>
            <w:tcW w:type="dxa" w:w="1234"/>
          </w:tcPr>
          <w:p>
            <w:r>
              <w:t>22.10%</w:t>
            </w:r>
          </w:p>
        </w:tc>
        <w:tc>
          <w:tcPr>
            <w:tcW w:type="dxa" w:w="1234"/>
          </w:tcPr>
          <w:p>
            <w:r>
              <w:t>19.89%</w:t>
            </w:r>
          </w:p>
        </w:tc>
        <w:tc>
          <w:tcPr>
            <w:tcW w:type="dxa" w:w="1234"/>
          </w:tcPr>
          <w:p>
            <w:r>
              <w:t>39.63%</w:t>
            </w:r>
          </w:p>
        </w:tc>
        <w:tc>
          <w:tcPr>
            <w:tcW w:type="dxa" w:w="1234"/>
          </w:tcPr>
          <w:p>
            <w:r>
              <w:t>37.06%</w:t>
            </w:r>
          </w:p>
        </w:tc>
        <w:tc>
          <w:tcPr>
            <w:tcW w:type="dxa" w:w="1234"/>
          </w:tcPr>
          <w:p>
            <w:r>
              <w:t>$4,176,667</w:t>
            </w:r>
          </w:p>
        </w:tc>
      </w:tr>
      <w:tr>
        <w:tc>
          <w:tcPr>
            <w:tcW w:type="dxa" w:w="1234"/>
          </w:tcPr>
          <w:p>
            <w:r>
              <w:t>VNQ</w:t>
            </w:r>
          </w:p>
        </w:tc>
        <w:tc>
          <w:tcPr>
            <w:tcW w:type="dxa" w:w="1234"/>
          </w:tcPr>
          <w:p>
            <w:r>
              <w:t>Vanguard Real Estate ETF</w:t>
            </w:r>
          </w:p>
        </w:tc>
        <w:tc>
          <w:tcPr>
            <w:tcW w:type="dxa" w:w="1234"/>
          </w:tcPr>
          <w:p>
            <w:r>
              <w:t>8.90%</w:t>
            </w:r>
          </w:p>
        </w:tc>
        <w:tc>
          <w:tcPr>
            <w:tcW w:type="dxa" w:w="1234"/>
          </w:tcPr>
          <w:p>
            <w:r>
              <w:t>9.90%</w:t>
            </w:r>
          </w:p>
        </w:tc>
        <w:tc>
          <w:tcPr>
            <w:tcW w:type="dxa" w:w="1234"/>
          </w:tcPr>
          <w:p>
            <w:r>
              <w:t>14.68%</w:t>
            </w:r>
          </w:p>
        </w:tc>
        <w:tc>
          <w:tcPr>
            <w:tcW w:type="dxa" w:w="1234"/>
          </w:tcPr>
          <w:p>
            <w:r>
              <w:t>14.08%</w:t>
            </w:r>
          </w:p>
        </w:tc>
        <w:tc>
          <w:tcPr>
            <w:tcW w:type="dxa" w:w="1234"/>
          </w:tcPr>
          <w:p>
            <w:r>
              <w:t>$836,634</w:t>
            </w:r>
          </w:p>
        </w:tc>
      </w:tr>
      <w:tr>
        <w:tc>
          <w:tcPr>
            <w:tcW w:type="dxa" w:w="1234"/>
          </w:tcPr>
          <w:p>
            <w:r>
              <w:t>IEF</w:t>
            </w:r>
          </w:p>
        </w:tc>
        <w:tc>
          <w:tcPr>
            <w:tcW w:type="dxa" w:w="1234"/>
          </w:tcPr>
          <w:p>
            <w:r>
              <w:t>iShares 7-10 Year Treasury</w:t>
            </w:r>
          </w:p>
        </w:tc>
        <w:tc>
          <w:tcPr>
            <w:tcW w:type="dxa" w:w="1234"/>
          </w:tcPr>
          <w:p>
            <w:r>
              <w:t>28.50%</w:t>
            </w:r>
          </w:p>
        </w:tc>
        <w:tc>
          <w:tcPr>
            <w:tcW w:type="dxa" w:w="1234"/>
          </w:tcPr>
          <w:p>
            <w:r>
              <w:t>0.21%</w:t>
            </w:r>
          </w:p>
        </w:tc>
        <w:tc>
          <w:tcPr>
            <w:tcW w:type="dxa" w:w="1234"/>
          </w:tcPr>
          <w:p>
            <w:r>
              <w:t>3.80%</w:t>
            </w:r>
          </w:p>
        </w:tc>
        <w:tc>
          <w:tcPr>
            <w:tcW w:type="dxa" w:w="1234"/>
          </w:tcPr>
          <w:p>
            <w:r>
              <w:t>7.50%</w:t>
            </w:r>
          </w:p>
        </w:tc>
        <w:tc>
          <w:tcPr>
            <w:tcW w:type="dxa" w:w="1234"/>
          </w:tcPr>
          <w:p>
            <w:r>
              <w:t>$57,619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growth positioning while considering increased VNQ allocation for income diversification. IXN and QQQ drive 92% of portfolio gains despite 39.6% combined allocation.</w:t>
      </w:r>
    </w:p>
    <w:p>
      <w:pPr>
        <w:pStyle w:val="Heading3"/>
      </w:pPr>
      <w:r>
        <w:t>Detailed Explanation:</w:t>
      </w:r>
    </w:p>
    <w:p>
      <w:r>
        <w:t>The 12-month, 18-month, and 24-month return analysis reveals multi-horizon performance trends. IXN demonstrates the strongest trajectory with 34.51% (12M) increasing to 68.07% (18M), generating $5.74M—the largest contributor. QQQ provides second-best returns at 19.89%-39.63%, with $4.18M gains. GLD offers moderate returns (8.08%-51.20%) with $1.77M, validating its diversification role. VNQ and IEF are weakest performers: VNQ generates $837K at 9.90%-14.68%, while IEF barely keeps pace at 0.21%-7.50% despite 28.5% allocation, generating only $57.6K. The key insight: growth assets (IXN+QQQ+GLD at 67.6%) drive 92% of gains, while defensive assets (IEF+VNQ at 37.4%) generate only 8%, indicating significant allocation imbalance and optimization opportunity.</w:t>
      </w:r>
    </w:p>
    <w:p/>
    <w:p>
      <w:pPr>
        <w:pStyle w:val="Heading1"/>
      </w:pPr>
      <w:r>
        <w:t>QUESTION 2: VARIANCE &amp; CORRELATION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Variance</w:t>
            </w:r>
          </w:p>
        </w:tc>
        <w:tc>
          <w:tcPr>
            <w:tcW w:type="dxa" w:w="1728"/>
          </w:tcPr>
          <w:p>
            <w:r>
              <w:t>Std Dev Pop</w:t>
            </w:r>
          </w:p>
        </w:tc>
        <w:tc>
          <w:tcPr>
            <w:tcW w:type="dxa" w:w="1728"/>
          </w:tcPr>
          <w:p>
            <w:r>
              <w:t>Daily Range</w:t>
            </w:r>
          </w:p>
        </w:tc>
        <w:tc>
          <w:tcPr>
            <w:tcW w:type="dxa" w:w="1728"/>
          </w:tcPr>
          <w:p>
            <w:r>
              <w:t>Classification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4.5365</w:t>
            </w:r>
          </w:p>
        </w:tc>
        <w:tc>
          <w:tcPr>
            <w:tcW w:type="dxa" w:w="1728"/>
          </w:tcPr>
          <w:p>
            <w:r>
              <w:t>2.1299</w:t>
            </w:r>
          </w:p>
        </w:tc>
        <w:tc>
          <w:tcPr>
            <w:tcW w:type="dxa" w:w="1728"/>
          </w:tcPr>
          <w:p>
            <w:r>
              <w:t>16.63%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3.2471</w:t>
            </w:r>
          </w:p>
        </w:tc>
        <w:tc>
          <w:tcPr>
            <w:tcW w:type="dxa" w:w="1728"/>
          </w:tcPr>
          <w:p>
            <w:r>
              <w:t>1.8020</w:t>
            </w:r>
          </w:p>
        </w:tc>
        <w:tc>
          <w:tcPr>
            <w:tcW w:type="dxa" w:w="1728"/>
          </w:tcPr>
          <w:p>
            <w:r>
              <w:t>12.02%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1.4869</w:t>
            </w:r>
          </w:p>
        </w:tc>
        <w:tc>
          <w:tcPr>
            <w:tcW w:type="dxa" w:w="1728"/>
          </w:tcPr>
          <w:p>
            <w:r>
              <w:t>1.2194</w:t>
            </w:r>
          </w:p>
        </w:tc>
        <w:tc>
          <w:tcPr>
            <w:tcW w:type="dxa" w:w="1728"/>
          </w:tcPr>
          <w:p>
            <w:r>
              <w:t>8.19%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0.7613</w:t>
            </w:r>
          </w:p>
        </w:tc>
        <w:tc>
          <w:tcPr>
            <w:tcW w:type="dxa" w:w="1728"/>
          </w:tcPr>
          <w:p>
            <w:r>
              <w:t>0.8725</w:t>
            </w:r>
          </w:p>
        </w:tc>
        <w:tc>
          <w:tcPr>
            <w:tcW w:type="dxa" w:w="1728"/>
          </w:tcPr>
          <w:p>
            <w:r>
              <w:t>5.41%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0.0932</w:t>
            </w:r>
          </w:p>
        </w:tc>
        <w:tc>
          <w:tcPr>
            <w:tcW w:type="dxa" w:w="1728"/>
          </w:tcPr>
          <w:p>
            <w:r>
              <w:t>0.3052</w:t>
            </w:r>
          </w:p>
        </w:tc>
        <w:tc>
          <w:tcPr>
            <w:tcW w:type="dxa" w:w="1728"/>
          </w:tcPr>
          <w:p>
            <w:r>
              <w:t>1.60%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asset mix to preserve natural hedging. The 50:1 variance spread indicates excellent diversification with minimal correlation—when growth assets decline, defensive positions cushion losses.</w:t>
      </w:r>
    </w:p>
    <w:p>
      <w:pPr>
        <w:pStyle w:val="Heading3"/>
      </w:pPr>
      <w:r>
        <w:t>Detailed Explanation:</w:t>
      </w:r>
    </w:p>
    <w:p>
      <w:r>
        <w:t>Variance measures daily price deviation from average: high variance = large swings, low variance = stability. GLD's variance of 4.54 reflects commodity volatility (±2.13% daily swings), which is normal and expected. IXN's variance of 3.25 reflects tech sector concentration (±1.80% swings). QQQ, VNQ, and IEF show progressively lower variance (1.49, 0.76, 0.09), creating natural hedging: when GLD/IXN spike downward, VNQ/IEF provide stability. The 50:1 variance spread (4.54 ÷ 0.09) demonstrates excellent diversification. When assets move independently with different variance patterns, they offset each other's volatility—the core benefit of Modern Portfolio Theory. Correlation implication: high-variance assets (GLD, IXN) move differently than low-variance assets (IEF, VNQ), meaning during market stress, bonds and real estate typically remain stable or increase, providing downside protection.</w:t>
      </w:r>
    </w:p>
    <w:p/>
    <w:p>
      <w:pPr>
        <w:pStyle w:val="Heading1"/>
      </w:pPr>
      <w:r>
        <w:t>QUESTION 3: VOLATILITY (SIGMA)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Daily Vol %</w:t>
            </w:r>
          </w:p>
        </w:tc>
        <w:tc>
          <w:tcPr>
            <w:tcW w:type="dxa" w:w="1440"/>
          </w:tcPr>
          <w:p>
            <w:r>
              <w:t>Annual Sigma %</w:t>
            </w:r>
          </w:p>
        </w:tc>
        <w:tc>
          <w:tcPr>
            <w:tcW w:type="dxa" w:w="1440"/>
          </w:tcPr>
          <w:p>
            <w:r>
              <w:t>Risk Level</w:t>
            </w:r>
          </w:p>
        </w:tc>
        <w:tc>
          <w:tcPr>
            <w:tcW w:type="dxa" w:w="1440"/>
          </w:tcPr>
          <w:p>
            <w:r>
              <w:t>Avg Daily Return %</w:t>
            </w:r>
          </w:p>
        </w:tc>
        <w:tc>
          <w:tcPr>
            <w:tcW w:type="dxa" w:w="1440"/>
          </w:tcPr>
          <w:p>
            <w:r>
              <w:t>Range %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1.7227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0.1002</w:t>
            </w:r>
          </w:p>
        </w:tc>
        <w:tc>
          <w:tcPr>
            <w:tcW w:type="dxa" w:w="1440"/>
          </w:tcPr>
          <w:p>
            <w:r>
              <w:t>16.63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1.5135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0.1996</w:t>
            </w:r>
          </w:p>
        </w:tc>
        <w:tc>
          <w:tcPr>
            <w:tcW w:type="dxa" w:w="1440"/>
          </w:tcPr>
          <w:p>
            <w:r>
              <w:t>12.02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1.0830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0.1279</w:t>
            </w:r>
          </w:p>
        </w:tc>
        <w:tc>
          <w:tcPr>
            <w:tcW w:type="dxa" w:w="1440"/>
          </w:tcPr>
          <w:p>
            <w:r>
              <w:t>8.19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0.8523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0.0521</w:t>
            </w:r>
          </w:p>
        </w:tc>
        <w:tc>
          <w:tcPr>
            <w:tcW w:type="dxa" w:w="1440"/>
          </w:tcPr>
          <w:p>
            <w:r>
              <w:t>5.41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0.2962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0.0137</w:t>
            </w:r>
          </w:p>
        </w:tc>
        <w:tc>
          <w:tcPr>
            <w:tcW w:type="dxa" w:w="1440"/>
          </w:tcPr>
          <w:p>
            <w:r>
              <w:t>2.05</w:t>
            </w:r>
          </w:p>
        </w:tc>
      </w:tr>
    </w:tbl>
    <w:p/>
    <w:p>
      <w:pPr>
        <w:pStyle w:val="Heading4"/>
      </w:pPr>
      <w:r>
        <w:t>Portfolio Weighted Volatility: 16.84%</w:t>
      </w:r>
    </w:p>
    <w:p/>
    <w:p>
      <w:pPr>
        <w:pStyle w:val="Heading3"/>
      </w:pPr>
      <w:r>
        <w:t>Recommendation:</w:t>
      </w:r>
    </w:p>
    <w:p>
      <w:r>
        <w:t>Current volatility profile is appropriate. Increasing VNQ from 8.9% to 15-18% would reduce overall portfolio volatility while maintaining return potential through real estate dividend income (3-4% annually).</w:t>
      </w:r>
    </w:p>
    <w:p>
      <w:pPr>
        <w:pStyle w:val="Heading3"/>
      </w:pPr>
      <w:r>
        <w:t>Detailed Explanation:</w:t>
      </w:r>
    </w:p>
    <w:p>
      <w:r>
        <w:t>Volatility (sigma/σ) measures annualized risk by scaling daily volatility by √252 (trading days per year). GLD's 27.35% is highest, implying ±27.35% potential annual swing ($5.98M on $21.85M position). IXN's 24.03% reflects tech sector risk. QQQ at 17.19% shows moderate volatility typical of broad equity indices. VNQ at 13.53% reflects real estate income stability. IEF at 4.70% confirms bonds' stabilizing role—limited downside absorbs market shocks. Portfolio weighted volatility of 16.84% means $95M could experience ±$16M swings, ranging $78.9M-$111.0M annually. Risk classification: HIGH (&gt;25%) includes commodities; MODERATE (15-25%) includes growth equities; LOW (&lt;15%) includes defensive assets. Portfolio's 16.84% (MODERATE) is suitable for UHNW investors. The 28.5% bond allocation provides adequate downside protection while allowing growth participation.</w:t>
      </w:r>
    </w:p>
    <w:p/>
    <w:p>
      <w:pPr>
        <w:pStyle w:val="Heading1"/>
      </w:pPr>
      <w:r>
        <w:t>QUESTION 4: SHARPE RATIO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Expected Return %</w:t>
            </w:r>
          </w:p>
        </w:tc>
        <w:tc>
          <w:tcPr>
            <w:tcW w:type="dxa" w:w="1440"/>
          </w:tcPr>
          <w:p>
            <w:r>
              <w:t>Volatility %</w:t>
            </w:r>
          </w:p>
        </w:tc>
        <w:tc>
          <w:tcPr>
            <w:tcW w:type="dxa" w:w="1440"/>
          </w:tcPr>
          <w:p>
            <w:r>
              <w:t>Sharpe Ratio</w:t>
            </w:r>
          </w:p>
        </w:tc>
        <w:tc>
          <w:tcPr>
            <w:tcW w:type="dxa" w:w="1440"/>
          </w:tcPr>
          <w:p>
            <w:r>
              <w:t>Weight %</w:t>
            </w:r>
          </w:p>
        </w:tc>
        <w:tc>
          <w:tcPr>
            <w:tcW w:type="dxa" w:w="1440"/>
          </w:tcPr>
          <w:p>
            <w:r>
              <w:t>Recommendation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50.30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2.0104</w:t>
            </w:r>
          </w:p>
        </w:tc>
        <w:tc>
          <w:tcPr>
            <w:tcW w:type="dxa" w:w="1440"/>
          </w:tcPr>
          <w:p>
            <w:r>
              <w:t>17.50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32.24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1.7589</w:t>
            </w:r>
          </w:p>
        </w:tc>
        <w:tc>
          <w:tcPr>
            <w:tcW w:type="dxa" w:w="1440"/>
          </w:tcPr>
          <w:p>
            <w:r>
              <w:t>22.10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25.24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0.8499</w:t>
            </w:r>
          </w:p>
        </w:tc>
        <w:tc>
          <w:tcPr>
            <w:tcW w:type="dxa" w:w="1440"/>
          </w:tcPr>
          <w:p>
            <w:r>
              <w:t>23.00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13.12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0.8217</w:t>
            </w:r>
          </w:p>
        </w:tc>
        <w:tc>
          <w:tcPr>
            <w:tcW w:type="dxa" w:w="1440"/>
          </w:tcPr>
          <w:p>
            <w:r>
              <w:t>8.90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3.46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0.3105</w:t>
            </w:r>
          </w:p>
        </w:tc>
        <w:tc>
          <w:tcPr>
            <w:tcW w:type="dxa" w:w="1440"/>
          </w:tcPr>
          <w:p>
            <w:r>
              <w:t>28.50</w:t>
            </w:r>
          </w:p>
        </w:tc>
        <w:tc>
          <w:tcPr>
            <w:tcW w:type="dxa" w:w="1440"/>
          </w:tcPr>
          <w:p>
            <w:r>
              <w:t>HOLD</w:t>
            </w:r>
          </w:p>
        </w:tc>
      </w:tr>
    </w:tbl>
    <w:p/>
    <w:p>
      <w:pPr>
        <w:pStyle w:val="Heading3"/>
      </w:pPr>
      <w:r>
        <w:t>Recommendation:</w:t>
      </w:r>
    </w:p>
    <w:p>
      <w:r>
        <w:t>Rebalance toward higher-Sharpe holdings (IXN, QQQ) and increase VNQ for income diversification. Reduce IEF to 15% to eliminate defensive drag while maintaining 33% defensive allocation.</w:t>
      </w:r>
    </w:p>
    <w:p>
      <w:pPr>
        <w:pStyle w:val="Heading3"/>
      </w:pPr>
      <w:r>
        <w:t>Detailed Explanation:</w:t>
      </w:r>
    </w:p>
    <w:p>
      <w:r>
        <w:t>Sharpe Ratio measures risk-adjusted returns: excess return earned per unit of risk. Formula: (Expected Return - 2% Risk-Free Rate) / Volatility. IXN leads with Sharpe 2.01, earning $2.01 excess return per 1% volatility—exceptional quality. With 50.30% expected return and 24.03% volatility, IXN is the portfolio's highest quality holding. QQQ's Sharpe 1.76 is nearly impressive (32.24% return, 17.19% volatility). GLD and VNQ show solid Sharpe (0.85, 0.82), earning $0.82-$0.85 excess return per 1% volatility—good but not exceptional. IEF's Sharpe 0.31 is weakest, earning only $0.31 excess return per 1% volatility. With 3.46% expected return against 4.70% volatility, bonds barely justify allocation. No holdings warrant SELL, but allocation is suboptimal: IEF overweighted at 28.5% despite poor Sharpe, while VNQ severely underweighted at 8.9% despite attractive Sharpe. The Sharpe Ratio analysis quantifies "bang for buck"—higher Sharpe holdings deserve more allocation; lower Sharpe deserve less.</w:t>
      </w:r>
    </w:p>
    <w:p/>
    <w:p>
      <w:pPr>
        <w:pStyle w:val="Heading1"/>
      </w:pPr>
      <w:r>
        <w:t>QUESTION 5: REBALANCING PROPOSAL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Proposed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20.0%</w:t>
            </w:r>
          </w:p>
        </w:tc>
        <w:tc>
          <w:tcPr>
            <w:tcW w:type="dxa" w:w="1728"/>
          </w:tcPr>
          <w:p>
            <w:r>
              <w:t>+2.4</w:t>
            </w:r>
          </w:p>
        </w:tc>
        <w:tc>
          <w:tcPr>
            <w:tcW w:type="dxa" w:w="1728"/>
          </w:tcPr>
          <w:p>
            <w:r>
              <w:t>BUY (Sharpe 2.01)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25.0%</w:t>
            </w:r>
          </w:p>
        </w:tc>
        <w:tc>
          <w:tcPr>
            <w:tcW w:type="dxa" w:w="1728"/>
          </w:tcPr>
          <w:p>
            <w:r>
              <w:t>+2.8</w:t>
            </w:r>
          </w:p>
        </w:tc>
        <w:tc>
          <w:tcPr>
            <w:tcW w:type="dxa" w:w="1728"/>
          </w:tcPr>
          <w:p>
            <w:r>
              <w:t>BUY (Sharpe 1.76)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  <w:tc>
          <w:tcPr>
            <w:tcW w:type="dxa" w:w="1728"/>
          </w:tcPr>
          <w:p>
            <w:r>
              <w:t>-1.0</w:t>
            </w:r>
          </w:p>
        </w:tc>
        <w:tc>
          <w:tcPr>
            <w:tcW w:type="dxa" w:w="1728"/>
          </w:tcPr>
          <w:p>
            <w:r>
              <w:t>HOLD (Sharpe 0.85)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+8.6</w:t>
            </w:r>
          </w:p>
        </w:tc>
        <w:tc>
          <w:tcPr>
            <w:tcW w:type="dxa" w:w="1728"/>
          </w:tcPr>
          <w:p>
            <w:r>
              <w:t>BUY (Sharpe 0.82)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15.0%</w:t>
            </w:r>
          </w:p>
        </w:tc>
        <w:tc>
          <w:tcPr>
            <w:tcW w:type="dxa" w:w="1728"/>
          </w:tcPr>
          <w:p>
            <w:r>
              <w:t>-12.8</w:t>
            </w:r>
          </w:p>
        </w:tc>
        <w:tc>
          <w:tcPr>
            <w:tcW w:type="dxa" w:w="1728"/>
          </w:tcPr>
          <w:p>
            <w:r>
              <w:t>SELL (Sharpe 0.31)</w:t>
            </w:r>
          </w:p>
        </w:tc>
      </w:tr>
    </w:tbl>
    <w:p/>
    <w:p>
      <w:pPr>
        <w:pStyle w:val="Heading3"/>
      </w:pPr>
      <w:r>
        <w:t>Recommendation:</w:t>
      </w:r>
    </w:p>
    <w:p>
      <w:r>
        <w:t>APPROVE this rebalancing. Execute within 30 days to capture current Sharpe opportunity. Review quarterly; rebalance if allocations drift &gt;5%.</w:t>
      </w:r>
    </w:p>
    <w:p>
      <w:pPr>
        <w:pStyle w:val="Heading3"/>
      </w:pPr>
      <w:r>
        <w:t>Detailed Explanation:</w:t>
      </w:r>
    </w:p>
    <w:p>
      <w:r>
        <w:t>Rebalancing optimizes allocation based on Sharpe ratio rankings. BUY IXN +$2.4M (17.5%→20%): highest Sharpe (2.01) justifies increased allocation. BUY QQQ +$2.8M (22.1%→25%): second-best Sharpe (1.76) with broader diversification. HOLD GLD -$1.0M (23%→22%): slight reduction captures gains while maintaining commodity diversification. CRITICALLY BUY VNQ +$8.6M (8.9%→18%): severely underweighted despite attractive Sharpe (0.82) and real estate dividend income (3-4% annually). SELL IEF -$12.8M (28.5%→15%): poorest value (Sharpe 0.31) doesn't justify 28.5% allocation. However, maintaining 15% preserves some defensive diversification. Portfolio transformation: BEFORE (Growth 39.6%, Defensive 37.4%, Hedge 23%) → AFTER (Growth 45%, Defensive 33%, Hedge 22%). Expected return increases 2-3% annually, volatility increases modestly to 17-18%, but with better Sharpe concentration improving risk-adjusted returns. Net trades: Buy $14.0M (IXN+QQQ+VNQ), Sell $13.8M (GLD+IEF). Execution plan: Execute within 30 days to capture current Sharpe opportunity. Review quarterly; rebalance if allocations drift &gt;5%.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