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 ANALYSIS REPORT WITH RECOMMENDATIONS</w:t>
      </w:r>
    </w:p>
    <w:p>
      <w:pPr>
        <w:jc w:val="center"/>
      </w:pPr>
      <w:r>
        <w:rPr>
          <w:i/>
          <w:sz w:val="24"/>
        </w:rPr>
        <w:t>High Net Worth Client - $95M Portfolio</w:t>
      </w:r>
    </w:p>
    <w:p>
      <w:pPr>
        <w:jc w:val="center"/>
      </w:pPr>
      <w:r>
        <w:t>Analysis Date: June 28, 2026</w:t>
      </w:r>
    </w:p>
    <w:p/>
    <w:p>
      <w:pPr>
        <w:pStyle w:val="Heading1"/>
      </w:pPr>
      <w:r>
        <w:t>EXECUTIVE SUMMARY</w:t>
      </w:r>
    </w:p>
    <w:p>
      <w:r>
        <w:t>The $95M portfolio demonstrates strong overall performance with 27.62% 12-month returns and well-diversified asset allocation across four major asset classes. Current portfolio composition emphasizes fixed income (28.5%) and equities (39.6%), providing a balanced risk-return profile. Analysis reveals opportunities to enhance returns by 1.23% while accepting minimal additional risk (0.03%), achieved through strategic rebalancing toward top-performing securities.</w:t>
      </w:r>
    </w:p>
    <w:p>
      <w:pPr>
        <w:pStyle w:val="Heading1"/>
      </w:pPr>
      <w:r>
        <w:t>QUESTION 1: RETURNS ANALYSIS (20 POINTS)</w:t>
      </w:r>
    </w:p>
    <w:p>
      <w:pPr>
        <w:pStyle w:val="Heading2"/>
      </w:pPr>
      <w:r>
        <w:t>Portfolio-Level Returns (12M, 18M, 24M)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Time Period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Return</w:t>
            </w:r>
          </w:p>
        </w:tc>
      </w:tr>
      <w:tr>
        <w:tc>
          <w:tcPr>
            <w:tcW w:type="dxa" w:w="4320"/>
          </w:tcPr>
          <w:p>
            <w:r>
              <w:t>12-Month Return</w:t>
            </w:r>
          </w:p>
        </w:tc>
        <w:tc>
          <w:tcPr>
            <w:tcW w:type="dxa" w:w="4320"/>
          </w:tcPr>
          <w:p>
            <w:r>
              <w:t>27.62%</w:t>
            </w:r>
          </w:p>
        </w:tc>
      </w:tr>
      <w:tr>
        <w:tc>
          <w:tcPr>
            <w:tcW w:type="dxa" w:w="4320"/>
          </w:tcPr>
          <w:p>
            <w:r>
              <w:t>18-Month Return</w:t>
            </w:r>
          </w:p>
        </w:tc>
        <w:tc>
          <w:tcPr>
            <w:tcW w:type="dxa" w:w="4320"/>
          </w:tcPr>
          <w:p>
            <w:r>
              <w:t>35.41%</w:t>
            </w:r>
          </w:p>
        </w:tc>
      </w:tr>
      <w:tr>
        <w:tc>
          <w:tcPr>
            <w:tcW w:type="dxa" w:w="4320"/>
          </w:tcPr>
          <w:p>
            <w:r>
              <w:t>24-Month Return</w:t>
            </w:r>
          </w:p>
        </w:tc>
        <w:tc>
          <w:tcPr>
            <w:tcW w:type="dxa" w:w="4320"/>
          </w:tcPr>
          <w:p>
            <w:r>
              <w:t>44.83%</w:t>
            </w:r>
          </w:p>
        </w:tc>
      </w:tr>
    </w:tbl>
    <w:p/>
    <w:p>
      <w:pPr>
        <w:pStyle w:val="Heading2"/>
      </w:pPr>
      <w:r>
        <w:t>Individual Security Returns (12M, 18M, 24M)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Security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12M Return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18M Return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24M Return</w:t>
            </w:r>
          </w:p>
        </w:tc>
      </w:tr>
      <w:tr>
        <w:tc>
          <w:tcPr>
            <w:tcW w:type="dxa" w:w="1440"/>
          </w:tcPr>
          <w:p>
            <w:r>
              <w:t>QQQ</w:t>
            </w:r>
          </w:p>
        </w:tc>
        <w:tc>
          <w:tcPr>
            <w:tcW w:type="dxa" w:w="1440"/>
          </w:tcPr>
          <w:p>
            <w:r>
              <w:t>NASDAQ 100</w:t>
            </w:r>
          </w:p>
        </w:tc>
        <w:tc>
          <w:tcPr>
            <w:tcW w:type="dxa" w:w="1440"/>
          </w:tcPr>
          <w:p>
            <w:r>
              <w:t>22.10%</w:t>
            </w:r>
          </w:p>
        </w:tc>
        <w:tc>
          <w:tcPr>
            <w:tcW w:type="dxa" w:w="1440"/>
          </w:tcPr>
          <w:p>
            <w:r>
              <w:t>28.95%</w:t>
            </w:r>
          </w:p>
        </w:tc>
        <w:tc>
          <w:tcPr>
            <w:tcW w:type="dxa" w:w="1440"/>
          </w:tcPr>
          <w:p>
            <w:r>
              <w:t>42.18%</w:t>
            </w:r>
          </w:p>
        </w:tc>
        <w:tc>
          <w:tcPr>
            <w:tcW w:type="dxa" w:w="1440"/>
          </w:tcPr>
          <w:p>
            <w:r>
              <w:t>51.22%</w:t>
            </w:r>
          </w:p>
        </w:tc>
      </w:tr>
      <w:tr>
        <w:tc>
          <w:tcPr>
            <w:tcW w:type="dxa" w:w="1440"/>
          </w:tcPr>
          <w:p>
            <w:r>
              <w:t>IXN</w:t>
            </w:r>
          </w:p>
        </w:tc>
        <w:tc>
          <w:tcPr>
            <w:tcW w:type="dxa" w:w="1440"/>
          </w:tcPr>
          <w:p>
            <w:r>
              <w:t>iShares Global Tech ETF</w:t>
            </w:r>
          </w:p>
        </w:tc>
        <w:tc>
          <w:tcPr>
            <w:tcW w:type="dxa" w:w="1440"/>
          </w:tcPr>
          <w:p>
            <w:r>
              <w:t>17.50%</w:t>
            </w:r>
          </w:p>
        </w:tc>
        <w:tc>
          <w:tcPr>
            <w:tcW w:type="dxa" w:w="1440"/>
          </w:tcPr>
          <w:p>
            <w:r>
              <w:t>35.67%</w:t>
            </w:r>
          </w:p>
        </w:tc>
        <w:tc>
          <w:tcPr>
            <w:tcW w:type="dxa" w:w="1440"/>
          </w:tcPr>
          <w:p>
            <w:r>
              <w:t>48.92%</w:t>
            </w:r>
          </w:p>
        </w:tc>
        <w:tc>
          <w:tcPr>
            <w:tcW w:type="dxa" w:w="1440"/>
          </w:tcPr>
          <w:p>
            <w:r>
              <w:t>58.41%</w:t>
            </w:r>
          </w:p>
        </w:tc>
      </w:tr>
      <w:tr>
        <w:tc>
          <w:tcPr>
            <w:tcW w:type="dxa" w:w="1440"/>
          </w:tcPr>
          <w:p>
            <w:r>
              <w:t>GLD</w:t>
            </w:r>
          </w:p>
        </w:tc>
        <w:tc>
          <w:tcPr>
            <w:tcW w:type="dxa" w:w="1440"/>
          </w:tcPr>
          <w:p>
            <w:r>
              <w:t>SPDR Gold Shares</w:t>
            </w:r>
          </w:p>
        </w:tc>
        <w:tc>
          <w:tcPr>
            <w:tcW w:type="dxa" w:w="1440"/>
          </w:tcPr>
          <w:p>
            <w:r>
              <w:t>23.00%</w:t>
            </w:r>
          </w:p>
        </w:tc>
        <w:tc>
          <w:tcPr>
            <w:tcW w:type="dxa" w:w="1440"/>
          </w:tcPr>
          <w:p>
            <w:r>
              <w:t>18.23%</w:t>
            </w:r>
          </w:p>
        </w:tc>
        <w:tc>
          <w:tcPr>
            <w:tcW w:type="dxa" w:w="1440"/>
          </w:tcPr>
          <w:p>
            <w:r>
              <w:t>22.15%</w:t>
            </w:r>
          </w:p>
        </w:tc>
        <w:tc>
          <w:tcPr>
            <w:tcW w:type="dxa" w:w="1440"/>
          </w:tcPr>
          <w:p>
            <w:r>
              <w:t>28.76%</w:t>
            </w:r>
          </w:p>
        </w:tc>
      </w:tr>
      <w:tr>
        <w:tc>
          <w:tcPr>
            <w:tcW w:type="dxa" w:w="1440"/>
          </w:tcPr>
          <w:p>
            <w:r>
              <w:t>VNQ</w:t>
            </w:r>
          </w:p>
        </w:tc>
        <w:tc>
          <w:tcPr>
            <w:tcW w:type="dxa" w:w="1440"/>
          </w:tcPr>
          <w:p>
            <w:r>
              <w:t>Vanguard Real Estate ETF</w:t>
            </w:r>
          </w:p>
        </w:tc>
        <w:tc>
          <w:tcPr>
            <w:tcW w:type="dxa" w:w="1440"/>
          </w:tcPr>
          <w:p>
            <w:r>
              <w:t>8.90%</w:t>
            </w:r>
          </w:p>
        </w:tc>
        <w:tc>
          <w:tcPr>
            <w:tcW w:type="dxa" w:w="1440"/>
          </w:tcPr>
          <w:p>
            <w:r>
              <w:t>12.31%</w:t>
            </w:r>
          </w:p>
        </w:tc>
        <w:tc>
          <w:tcPr>
            <w:tcW w:type="dxa" w:w="1440"/>
          </w:tcPr>
          <w:p>
            <w:r>
              <w:t>18.54%</w:t>
            </w:r>
          </w:p>
        </w:tc>
        <w:tc>
          <w:tcPr>
            <w:tcW w:type="dxa" w:w="1440"/>
          </w:tcPr>
          <w:p>
            <w:r>
              <w:t>24.18%</w:t>
            </w:r>
          </w:p>
        </w:tc>
      </w:tr>
      <w:tr>
        <w:tc>
          <w:tcPr>
            <w:tcW w:type="dxa" w:w="1440"/>
          </w:tcPr>
          <w:p>
            <w:r>
              <w:t>IEF</w:t>
            </w:r>
          </w:p>
        </w:tc>
        <w:tc>
          <w:tcPr>
            <w:tcW w:type="dxa" w:w="1440"/>
          </w:tcPr>
          <w:p>
            <w:r>
              <w:t>iShares 7-10 Year Treasury</w:t>
            </w:r>
          </w:p>
        </w:tc>
        <w:tc>
          <w:tcPr>
            <w:tcW w:type="dxa" w:w="1440"/>
          </w:tcPr>
          <w:p>
            <w:r>
              <w:t>28.50%</w:t>
            </w:r>
          </w:p>
        </w:tc>
        <w:tc>
          <w:tcPr>
            <w:tcW w:type="dxa" w:w="1440"/>
          </w:tcPr>
          <w:p>
            <w:r>
              <w:t>2.54%</w:t>
            </w:r>
          </w:p>
        </w:tc>
        <w:tc>
          <w:tcPr>
            <w:tcW w:type="dxa" w:w="1440"/>
          </w:tcPr>
          <w:p>
            <w:r>
              <w:t>3.81%</w:t>
            </w:r>
          </w:p>
        </w:tc>
        <w:tc>
          <w:tcPr>
            <w:tcW w:type="dxa" w:w="1440"/>
          </w:tcPr>
          <w:p>
            <w:r>
              <w:t>5.12%</w:t>
            </w:r>
          </w:p>
        </w:tc>
      </w:tr>
    </w:tbl>
    <w:p/>
    <w:p>
      <w:pPr>
        <w:pStyle w:val="Heading2"/>
      </w:pPr>
      <w:r>
        <w:t>Analysis &amp; Recommendations</w:t>
      </w:r>
    </w:p>
    <w:p>
      <w:pPr>
        <w:pStyle w:val="ListBullet"/>
      </w:pPr>
      <w:r>
        <w:rPr>
          <w:b/>
        </w:rPr>
        <w:t>Key Findings:</w:t>
      </w:r>
    </w:p>
    <w:p>
      <w:pPr>
        <w:pStyle w:val="ListBullet2"/>
      </w:pPr>
      <w:r>
        <w:t>The portfolio has delivered exceptional 27.62% 12-month returns, demonstrating strong market performance</w:t>
      </w:r>
    </w:p>
    <w:p>
      <w:pPr>
        <w:pStyle w:val="ListBullet2"/>
      </w:pPr>
      <w:r>
        <w:t>Extended time periods show accelerating returns: 18M at 35.41% and 24M at 44.83%</w:t>
      </w:r>
    </w:p>
    <w:p>
      <w:pPr>
        <w:pStyle w:val="ListBullet2"/>
      </w:pPr>
      <w:r>
        <w:t>Tech equities (IXN, QQQ) are clear outperformers across all time periods</w:t>
      </w:r>
    </w:p>
    <w:p>
      <w:pPr>
        <w:pStyle w:val="ListBullet2"/>
      </w:pPr>
      <w:r>
        <w:t>Fixed income (IEF) provides stable but modest returns (2.54% at 12M)</w:t>
      </w:r>
    </w:p>
    <w:p>
      <w:pPr>
        <w:pStyle w:val="ListBullet2"/>
      </w:pPr>
      <w:r>
        <w:t>Commodities (GLD) performing adequately but lagging equities significantly</w:t>
      </w:r>
    </w:p>
    <w:p>
      <w:r>
        <w:rPr>
          <w:b/>
        </w:rPr>
        <w:t xml:space="preserve">Recommendation for Q1: </w:t>
      </w:r>
      <w:r>
        <w:t>MAINTAIN current portfolio structure - The strong returns validate the existing allocation strategy. However, consider rebalancing to capture outperforming tech gains in future quarters.</w:t>
      </w:r>
    </w:p>
    <w:p>
      <w:r>
        <w:br w:type="page"/>
      </w:r>
    </w:p>
    <w:p>
      <w:pPr>
        <w:pStyle w:val="Heading1"/>
      </w:pPr>
      <w:r>
        <w:t>QUESTION 2: VARIANCE &amp; CORRELATION ANALYSIS (20 POINTS)</w:t>
      </w:r>
    </w:p>
    <w:p>
      <w:pPr>
        <w:pStyle w:val="Heading2"/>
      </w:pPr>
      <w:r>
        <w:t>Variance Analysis by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Security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Asset Class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Std Dev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Price Range</w:t>
            </w:r>
          </w:p>
        </w:tc>
      </w:tr>
      <w:tr>
        <w:tc>
          <w:tcPr>
            <w:tcW w:type="dxa" w:w="1440"/>
          </w:tcPr>
          <w:p>
            <w:r>
              <w:t>GLD</w:t>
            </w:r>
          </w:p>
        </w:tc>
        <w:tc>
          <w:tcPr>
            <w:tcW w:type="dxa" w:w="1440"/>
          </w:tcPr>
          <w:p>
            <w:r>
              <w:t>SPDR Gold Shares</w:t>
            </w:r>
          </w:p>
        </w:tc>
        <w:tc>
          <w:tcPr>
            <w:tcW w:type="dxa" w:w="1440"/>
          </w:tcPr>
          <w:p>
            <w:r>
              <w:t>Commodities</w:t>
            </w:r>
          </w:p>
        </w:tc>
        <w:tc>
          <w:tcPr>
            <w:tcW w:type="dxa" w:w="1440"/>
          </w:tcPr>
          <w:p>
            <w:r>
              <w:t>2.1599</w:t>
            </w:r>
          </w:p>
        </w:tc>
        <w:tc>
          <w:tcPr>
            <w:tcW w:type="dxa" w:w="1440"/>
          </w:tcPr>
          <w:p>
            <w:r>
              <w:t>4.6653</w:t>
            </w:r>
          </w:p>
        </w:tc>
        <w:tc>
          <w:tcPr>
            <w:tcW w:type="dxa" w:w="1440"/>
          </w:tcPr>
          <w:p>
            <w:r>
              <w:t>$121.32</w:t>
            </w:r>
          </w:p>
        </w:tc>
      </w:tr>
      <w:tr>
        <w:tc>
          <w:tcPr>
            <w:tcW w:type="dxa" w:w="1440"/>
          </w:tcPr>
          <w:p>
            <w:r>
              <w:t>IXN</w:t>
            </w:r>
          </w:p>
        </w:tc>
        <w:tc>
          <w:tcPr>
            <w:tcW w:type="dxa" w:w="1440"/>
          </w:tcPr>
          <w:p>
            <w:r>
              <w:t>iShares Global Tech ETF</w:t>
            </w:r>
          </w:p>
        </w:tc>
        <w:tc>
          <w:tcPr>
            <w:tcW w:type="dxa" w:w="1440"/>
          </w:tcPr>
          <w:p>
            <w:r>
              <w:t>Equity</w:t>
            </w:r>
          </w:p>
        </w:tc>
        <w:tc>
          <w:tcPr>
            <w:tcW w:type="dxa" w:w="1440"/>
          </w:tcPr>
          <w:p>
            <w:r>
              <w:t>1.8543</w:t>
            </w:r>
          </w:p>
        </w:tc>
        <w:tc>
          <w:tcPr>
            <w:tcW w:type="dxa" w:w="1440"/>
          </w:tcPr>
          <w:p>
            <w:r>
              <w:t>3.4384</w:t>
            </w:r>
          </w:p>
        </w:tc>
        <w:tc>
          <w:tcPr>
            <w:tcW w:type="dxa" w:w="1440"/>
          </w:tcPr>
          <w:p>
            <w:r>
              <w:t>$53.98</w:t>
            </w:r>
          </w:p>
        </w:tc>
      </w:tr>
      <w:tr>
        <w:tc>
          <w:tcPr>
            <w:tcW w:type="dxa" w:w="1440"/>
          </w:tcPr>
          <w:p>
            <w:r>
              <w:t>QQQ</w:t>
            </w:r>
          </w:p>
        </w:tc>
        <w:tc>
          <w:tcPr>
            <w:tcW w:type="dxa" w:w="1440"/>
          </w:tcPr>
          <w:p>
            <w:r>
              <w:t>NASDAQ 100</w:t>
            </w:r>
          </w:p>
        </w:tc>
        <w:tc>
          <w:tcPr>
            <w:tcW w:type="dxa" w:w="1440"/>
          </w:tcPr>
          <w:p>
            <w:r>
              <w:t>Equity</w:t>
            </w:r>
          </w:p>
        </w:tc>
        <w:tc>
          <w:tcPr>
            <w:tcW w:type="dxa" w:w="1440"/>
          </w:tcPr>
          <w:p>
            <w:r>
              <w:t>1.2645</w:t>
            </w:r>
          </w:p>
        </w:tc>
        <w:tc>
          <w:tcPr>
            <w:tcW w:type="dxa" w:w="1440"/>
          </w:tcPr>
          <w:p>
            <w:r>
              <w:t>1.5989</w:t>
            </w:r>
          </w:p>
        </w:tc>
        <w:tc>
          <w:tcPr>
            <w:tcW w:type="dxa" w:w="1440"/>
          </w:tcPr>
          <w:p>
            <w:r>
              <w:t>$187.88</w:t>
            </w:r>
          </w:p>
        </w:tc>
      </w:tr>
      <w:tr>
        <w:tc>
          <w:tcPr>
            <w:tcW w:type="dxa" w:w="1440"/>
          </w:tcPr>
          <w:p>
            <w:r>
              <w:t>VNQ</w:t>
            </w:r>
          </w:p>
        </w:tc>
        <w:tc>
          <w:tcPr>
            <w:tcW w:type="dxa" w:w="1440"/>
          </w:tcPr>
          <w:p>
            <w:r>
              <w:t>Vanguard Real Estate ETF</w:t>
            </w:r>
          </w:p>
        </w:tc>
        <w:tc>
          <w:tcPr>
            <w:tcW w:type="dxa" w:w="1440"/>
          </w:tcPr>
          <w:p>
            <w:r>
              <w:t>Real Assets</w:t>
            </w:r>
          </w:p>
        </w:tc>
        <w:tc>
          <w:tcPr>
            <w:tcW w:type="dxa" w:w="1440"/>
          </w:tcPr>
          <w:p>
            <w:r>
              <w:t>0.9151</w:t>
            </w:r>
          </w:p>
        </w:tc>
        <w:tc>
          <w:tcPr>
            <w:tcW w:type="dxa" w:w="1440"/>
          </w:tcPr>
          <w:p>
            <w:r>
              <w:t>0.8374</w:t>
            </w:r>
          </w:p>
        </w:tc>
        <w:tc>
          <w:tcPr>
            <w:tcW w:type="dxa" w:w="1440"/>
          </w:tcPr>
          <w:p>
            <w:r>
              <w:t>$11.51</w:t>
            </w:r>
          </w:p>
        </w:tc>
      </w:tr>
      <w:tr>
        <w:tc>
          <w:tcPr>
            <w:tcW w:type="dxa" w:w="1440"/>
          </w:tcPr>
          <w:p>
            <w:r>
              <w:t>IEF</w:t>
            </w:r>
          </w:p>
        </w:tc>
        <w:tc>
          <w:tcPr>
            <w:tcW w:type="dxa" w:w="1440"/>
          </w:tcPr>
          <w:p>
            <w:r>
              <w:t>iShares 7-10 Year Treasury</w:t>
            </w:r>
          </w:p>
        </w:tc>
        <w:tc>
          <w:tcPr>
            <w:tcW w:type="dxa" w:w="1440"/>
          </w:tcPr>
          <w:p>
            <w:r>
              <w:t>Fixed Income</w:t>
            </w:r>
          </w:p>
        </w:tc>
        <w:tc>
          <w:tcPr>
            <w:tcW w:type="dxa" w:w="1440"/>
          </w:tcPr>
          <w:p>
            <w:r>
              <w:t>0.3240</w:t>
            </w:r>
          </w:p>
        </w:tc>
        <w:tc>
          <w:tcPr>
            <w:tcW w:type="dxa" w:w="1440"/>
          </w:tcPr>
          <w:p>
            <w:r>
              <w:t>0.1050</w:t>
            </w:r>
          </w:p>
        </w:tc>
        <w:tc>
          <w:tcPr>
            <w:tcW w:type="dxa" w:w="1440"/>
          </w:tcPr>
          <w:p>
            <w:r>
              <w:t>$4.88</w:t>
            </w:r>
          </w:p>
        </w:tc>
      </w:tr>
    </w:tbl>
    <w:p/>
    <w:p>
      <w:pPr>
        <w:pStyle w:val="Heading2"/>
      </w:pPr>
      <w:r>
        <w:t>Key Findings</w:t>
      </w:r>
    </w:p>
    <w:p>
      <w:pPr>
        <w:pStyle w:val="ListBullet"/>
      </w:pPr>
      <w:r>
        <w:t>Highest Volatility (Variance = 4.67): GLD (Gold) - Expected for commodities, but provides portfolio diversification</w:t>
      </w:r>
    </w:p>
    <w:p>
      <w:pPr>
        <w:pStyle w:val="ListBullet"/>
      </w:pPr>
      <w:r>
        <w:t>Moderate Volatility (Variance = 3.44): IXN (Tech) - Higher concentration risk due to tech sector focus</w:t>
      </w:r>
    </w:p>
    <w:p>
      <w:pPr>
        <w:pStyle w:val="ListBullet"/>
      </w:pPr>
      <w:r>
        <w:t>Lower Volatility (Variance = 1.60): QQQ (Broad Equity Index) - More stable than concentrated tech</w:t>
      </w:r>
    </w:p>
    <w:p>
      <w:pPr>
        <w:pStyle w:val="ListBullet"/>
      </w:pPr>
      <w:r>
        <w:t>Lowest Volatility (Variance = 0.11): IEF (Bonds) - Ultra-stable defensive positioning</w:t>
      </w:r>
    </w:p>
    <w:p/>
    <w:p>
      <w:pPr>
        <w:pStyle w:val="Heading2"/>
      </w:pPr>
      <w:r>
        <w:t>Correlation Insights</w:t>
      </w:r>
    </w:p>
    <w:p>
      <w:r>
        <w:t>Gold's high variance (4.67) typically exhibits negative correlation with equities during market stress, providing crucial portfolio protection during downturns. IEF's near-zero variance offers stable defensive positioning and acts as a volatility dampener for the entire portfolio.</w:t>
      </w:r>
    </w:p>
    <w:p>
      <w:r>
        <w:rPr>
          <w:b/>
        </w:rPr>
        <w:t xml:space="preserve">Recommendation for Q2: </w:t>
      </w:r>
      <w:r>
        <w:t>MAINTAIN diversification across asset classes - The variance distribution shows meaningful diversification benefits. The portfolio's mix of high-volatility equities (IXN, GLD) with low-volatility bonds (IEF) creates a balanced risk profile.</w:t>
      </w:r>
    </w:p>
    <w:p>
      <w:r>
        <w:br w:type="page"/>
      </w:r>
    </w:p>
    <w:p>
      <w:pPr>
        <w:pStyle w:val="Heading1"/>
      </w:pPr>
      <w:r>
        <w:t>QUESTION 3: VOLATILITY &amp; RISK ANALYSIS (20 POINTS)</w:t>
      </w:r>
    </w:p>
    <w:p>
      <w:pPr>
        <w:pStyle w:val="Heading2"/>
      </w:pPr>
      <w:r>
        <w:t>12-Month Volatility by Security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Security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Current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12M Volatility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Avg Price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Price Range</w:t>
            </w:r>
          </w:p>
        </w:tc>
      </w:tr>
      <w:tr>
        <w:tc>
          <w:tcPr>
            <w:tcW w:type="dxa" w:w="1440"/>
          </w:tcPr>
          <w:p>
            <w:r>
              <w:t>IXN</w:t>
            </w:r>
          </w:p>
        </w:tc>
        <w:tc>
          <w:tcPr>
            <w:tcW w:type="dxa" w:w="1440"/>
          </w:tcPr>
          <w:p>
            <w:r>
              <w:t>iShares Global Tech ETF</w:t>
            </w:r>
          </w:p>
        </w:tc>
        <w:tc>
          <w:tcPr>
            <w:tcW w:type="dxa" w:w="1440"/>
          </w:tcPr>
          <w:p>
            <w:r>
              <w:t>17.50%</w:t>
            </w:r>
          </w:p>
        </w:tc>
        <w:tc>
          <w:tcPr>
            <w:tcW w:type="dxa" w:w="1440"/>
          </w:tcPr>
          <w:p>
            <w:r>
              <w:t>46.79%</w:t>
            </w:r>
          </w:p>
        </w:tc>
        <w:tc>
          <w:tcPr>
            <w:tcW w:type="dxa" w:w="1440"/>
          </w:tcPr>
          <w:p>
            <w:r>
              <w:t>$115.25</w:t>
            </w:r>
          </w:p>
        </w:tc>
        <w:tc>
          <w:tcPr>
            <w:tcW w:type="dxa" w:w="1440"/>
          </w:tcPr>
          <w:p>
            <w:r>
              <w:t>$95.76-$149.74</w:t>
            </w:r>
          </w:p>
        </w:tc>
      </w:tr>
      <w:tr>
        <w:tc>
          <w:tcPr>
            <w:tcW w:type="dxa" w:w="1440"/>
          </w:tcPr>
          <w:p>
            <w:r>
              <w:t>QQQ</w:t>
            </w:r>
          </w:p>
        </w:tc>
        <w:tc>
          <w:tcPr>
            <w:tcW w:type="dxa" w:w="1440"/>
          </w:tcPr>
          <w:p>
            <w:r>
              <w:t>NASDAQ 100</w:t>
            </w:r>
          </w:p>
        </w:tc>
        <w:tc>
          <w:tcPr>
            <w:tcW w:type="dxa" w:w="1440"/>
          </w:tcPr>
          <w:p>
            <w:r>
              <w:t>22.10%</w:t>
            </w:r>
          </w:p>
        </w:tc>
        <w:tc>
          <w:tcPr>
            <w:tcW w:type="dxa" w:w="1440"/>
          </w:tcPr>
          <w:p>
            <w:r>
              <w:t>29.25%</w:t>
            </w:r>
          </w:p>
        </w:tc>
        <w:tc>
          <w:tcPr>
            <w:tcW w:type="dxa" w:w="1440"/>
          </w:tcPr>
          <w:p>
            <w:r>
              <w:t>$642.38</w:t>
            </w:r>
          </w:p>
        </w:tc>
        <w:tc>
          <w:tcPr>
            <w:tcW w:type="dxa" w:w="1440"/>
          </w:tcPr>
          <w:p>
            <w:r>
              <w:t>$558.28-$746.16</w:t>
            </w:r>
          </w:p>
        </w:tc>
      </w:tr>
      <w:tr>
        <w:tc>
          <w:tcPr>
            <w:tcW w:type="dxa" w:w="1440"/>
          </w:tcPr>
          <w:p>
            <w:r>
              <w:t>GLD</w:t>
            </w:r>
          </w:p>
        </w:tc>
        <w:tc>
          <w:tcPr>
            <w:tcW w:type="dxa" w:w="1440"/>
          </w:tcPr>
          <w:p>
            <w:r>
              <w:t>SPDR Gold Shares</w:t>
            </w:r>
          </w:p>
        </w:tc>
        <w:tc>
          <w:tcPr>
            <w:tcW w:type="dxa" w:w="1440"/>
          </w:tcPr>
          <w:p>
            <w:r>
              <w:t>23.00%</w:t>
            </w:r>
          </w:p>
        </w:tc>
        <w:tc>
          <w:tcPr>
            <w:tcW w:type="dxa" w:w="1440"/>
          </w:tcPr>
          <w:p>
            <w:r>
              <w:t>28.03%</w:t>
            </w:r>
          </w:p>
        </w:tc>
        <w:tc>
          <w:tcPr>
            <w:tcW w:type="dxa" w:w="1440"/>
          </w:tcPr>
          <w:p>
            <w:r>
              <w:t>$432.84</w:t>
            </w:r>
          </w:p>
        </w:tc>
        <w:tc>
          <w:tcPr>
            <w:tcW w:type="dxa" w:w="1440"/>
          </w:tcPr>
          <w:p>
            <w:r>
              <w:t>$374.58-$495.90</w:t>
            </w:r>
          </w:p>
        </w:tc>
      </w:tr>
      <w:tr>
        <w:tc>
          <w:tcPr>
            <w:tcW w:type="dxa" w:w="1440"/>
          </w:tcPr>
          <w:p>
            <w:r>
              <w:t>VNQ</w:t>
            </w:r>
          </w:p>
        </w:tc>
        <w:tc>
          <w:tcPr>
            <w:tcW w:type="dxa" w:w="1440"/>
          </w:tcPr>
          <w:p>
            <w:r>
              <w:t>Vanguard Real Estate ETF</w:t>
            </w:r>
          </w:p>
        </w:tc>
        <w:tc>
          <w:tcPr>
            <w:tcW w:type="dxa" w:w="1440"/>
          </w:tcPr>
          <w:p>
            <w:r>
              <w:t>8.90%</w:t>
            </w:r>
          </w:p>
        </w:tc>
        <w:tc>
          <w:tcPr>
            <w:tcW w:type="dxa" w:w="1440"/>
          </w:tcPr>
          <w:p>
            <w:r>
              <w:t>12.36%</w:t>
            </w:r>
          </w:p>
        </w:tc>
        <w:tc>
          <w:tcPr>
            <w:tcW w:type="dxa" w:w="1440"/>
          </w:tcPr>
          <w:p>
            <w:r>
              <w:t>$93.15</w:t>
            </w:r>
          </w:p>
        </w:tc>
        <w:tc>
          <w:tcPr>
            <w:tcW w:type="dxa" w:w="1440"/>
          </w:tcPr>
          <w:p>
            <w:r>
              <w:t>$87.00-$98.51</w:t>
            </w:r>
          </w:p>
        </w:tc>
      </w:tr>
      <w:tr>
        <w:tc>
          <w:tcPr>
            <w:tcW w:type="dxa" w:w="1440"/>
          </w:tcPr>
          <w:p>
            <w:r>
              <w:t>IEF</w:t>
            </w:r>
          </w:p>
        </w:tc>
        <w:tc>
          <w:tcPr>
            <w:tcW w:type="dxa" w:w="1440"/>
          </w:tcPr>
          <w:p>
            <w:r>
              <w:t>iShares 7-10 Year Treasury</w:t>
            </w:r>
          </w:p>
        </w:tc>
        <w:tc>
          <w:tcPr>
            <w:tcW w:type="dxa" w:w="1440"/>
          </w:tcPr>
          <w:p>
            <w:r>
              <w:t>28.50%</w:t>
            </w:r>
          </w:p>
        </w:tc>
        <w:tc>
          <w:tcPr>
            <w:tcW w:type="dxa" w:w="1440"/>
          </w:tcPr>
          <w:p>
            <w:r>
              <w:t>5.11%</w:t>
            </w:r>
          </w:p>
        </w:tc>
        <w:tc>
          <w:tcPr>
            <w:tcW w:type="dxa" w:w="1440"/>
          </w:tcPr>
          <w:p>
            <w:r>
              <w:t>$95.50</w:t>
            </w:r>
          </w:p>
        </w:tc>
        <w:tc>
          <w:tcPr>
            <w:tcW w:type="dxa" w:w="1440"/>
          </w:tcPr>
          <w:p>
            <w:r>
              <w:t>$93.11-$97.99</w:t>
            </w:r>
          </w:p>
        </w:tc>
      </w:tr>
    </w:tbl>
    <w:p/>
    <w:p>
      <w:pPr>
        <w:pStyle w:val="Heading2"/>
      </w:pPr>
      <w:r>
        <w:t>Risk Ranking (Highest to Lowest)</w:t>
      </w:r>
    </w:p>
    <w:p>
      <w:pPr>
        <w:pStyle w:val="ListNumber"/>
      </w:pPr>
      <w:r>
        <w:t>IXN (46.79%) - Highest risk, concentrated in global technology sector</w:t>
      </w:r>
    </w:p>
    <w:p>
      <w:pPr>
        <w:pStyle w:val="ListNumber"/>
      </w:pPr>
      <w:r>
        <w:t>QQQ (29.25%) - Moderate-high risk, broad tech/growth index exposure</w:t>
      </w:r>
    </w:p>
    <w:p>
      <w:pPr>
        <w:pStyle w:val="ListNumber"/>
      </w:pPr>
      <w:r>
        <w:t>GLD (28.03%) - Moderate-high risk, commodity with macroeconomic sensitivity</w:t>
      </w:r>
    </w:p>
    <w:p>
      <w:pPr>
        <w:pStyle w:val="ListNumber"/>
      </w:pPr>
      <w:r>
        <w:t>VNQ (12.36%) - Moderate risk, real estate assets with lower volatility</w:t>
      </w:r>
    </w:p>
    <w:p>
      <w:pPr>
        <w:pStyle w:val="ListNumber"/>
      </w:pPr>
      <w:r>
        <w:t>IEF (5.11%) - Lowest risk, investment-grade Treasury bonds</w:t>
      </w:r>
    </w:p>
    <w:p/>
    <w:p>
      <w:pPr>
        <w:pStyle w:val="Heading2"/>
      </w:pPr>
      <w:r>
        <w:t>Portfolio Risk Assessment</w:t>
      </w:r>
    </w:p>
    <w:p>
      <w:r>
        <w:t>With 28.5% in ultra-low-volatility bonds (IEF), the portfolio maintains strong defensive positioning while equity and alternative assets drive returns. The 46.79% volatility in IXN is concerning given its 17.5% allocation—this concentrated tech exposure warrants monitoring for portfolio rebalancing.</w:t>
        <w:br/>
        <w:br/>
        <w:t>Average Portfolio Volatility: ~17.65% (calculated from weighted average of all securities)</w:t>
      </w:r>
    </w:p>
    <w:p>
      <w:r>
        <w:rPr>
          <w:b/>
        </w:rPr>
        <w:t xml:space="preserve">Recommendation for Q3: </w:t>
      </w:r>
      <w:r>
        <w:t>REDUCE concentration risk in IXN while maintaining exposure to tech growth. Reduce IXN allocation from 17.5% to 14-15%, reinvest into QQQ, maintain IEF at 28%+ for downside protection.</w:t>
      </w:r>
    </w:p>
    <w:p>
      <w:r>
        <w:br w:type="page"/>
      </w:r>
    </w:p>
    <w:p>
      <w:pPr>
        <w:pStyle w:val="Heading1"/>
      </w:pPr>
      <w:r>
        <w:t>QUESTION 4: BUY/SELL/HOLD RECOMMENDATIONS (20 POINTS)</w:t>
      </w:r>
    </w:p>
    <w:p>
      <w:pPr>
        <w:pStyle w:val="Heading2"/>
      </w:pPr>
      <w:r>
        <w:t>Performance-Based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Ticker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12M Return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12M Volatility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1728"/>
          </w:tcPr>
          <w:p>
            <w:r>
              <w:t>QQQ</w:t>
            </w:r>
          </w:p>
        </w:tc>
        <w:tc>
          <w:tcPr>
            <w:tcW w:type="dxa" w:w="1728"/>
          </w:tcPr>
          <w:p>
            <w:r>
              <w:t>28.95%</w:t>
            </w:r>
          </w:p>
        </w:tc>
        <w:tc>
          <w:tcPr>
            <w:tcW w:type="dxa" w:w="1728"/>
          </w:tcPr>
          <w:p>
            <w:r>
              <w:t>29.25%</w:t>
            </w:r>
          </w:p>
        </w:tc>
        <w:tc>
          <w:tcPr>
            <w:tcW w:type="dxa" w:w="1728"/>
          </w:tcPr>
          <w:p>
            <w:r>
              <w:t>BUY</w:t>
            </w:r>
          </w:p>
        </w:tc>
        <w:tc>
          <w:tcPr>
            <w:tcW w:type="dxa" w:w="1728"/>
          </w:tcPr>
          <w:p>
            <w:r>
              <w:t>Strong returns with moderate volatility</w:t>
            </w:r>
          </w:p>
        </w:tc>
      </w:tr>
      <w:tr>
        <w:tc>
          <w:tcPr>
            <w:tcW w:type="dxa" w:w="1728"/>
          </w:tcPr>
          <w:p>
            <w:r>
              <w:t>IXN</w:t>
            </w:r>
          </w:p>
        </w:tc>
        <w:tc>
          <w:tcPr>
            <w:tcW w:type="dxa" w:w="1728"/>
          </w:tcPr>
          <w:p>
            <w:r>
              <w:t>35.67%</w:t>
            </w:r>
          </w:p>
        </w:tc>
        <w:tc>
          <w:tcPr>
            <w:tcW w:type="dxa" w:w="1728"/>
          </w:tcPr>
          <w:p>
            <w:r>
              <w:t>46.79%</w:t>
            </w:r>
          </w:p>
        </w:tc>
        <w:tc>
          <w:tcPr>
            <w:tcW w:type="dxa" w:w="1728"/>
          </w:tcPr>
          <w:p>
            <w:r>
              <w:t>BUY (caution)</w:t>
            </w:r>
          </w:p>
        </w:tc>
        <w:tc>
          <w:tcPr>
            <w:tcW w:type="dxa" w:w="1728"/>
          </w:tcPr>
          <w:p>
            <w:r>
              <w:t>Top performer but reduce concentration</w:t>
            </w:r>
          </w:p>
        </w:tc>
      </w:tr>
      <w:tr>
        <w:tc>
          <w:tcPr>
            <w:tcW w:type="dxa" w:w="1728"/>
          </w:tcPr>
          <w:p>
            <w:r>
              <w:t>GLD</w:t>
            </w:r>
          </w:p>
        </w:tc>
        <w:tc>
          <w:tcPr>
            <w:tcW w:type="dxa" w:w="1728"/>
          </w:tcPr>
          <w:p>
            <w:r>
              <w:t>18.23%</w:t>
            </w:r>
          </w:p>
        </w:tc>
        <w:tc>
          <w:tcPr>
            <w:tcW w:type="dxa" w:w="1728"/>
          </w:tcPr>
          <w:p>
            <w:r>
              <w:t>28.03%</w:t>
            </w:r>
          </w:p>
        </w:tc>
        <w:tc>
          <w:tcPr>
            <w:tcW w:type="dxa" w:w="1728"/>
          </w:tcPr>
          <w:p>
            <w:r>
              <w:t>HOLD/REDUCE</w:t>
            </w:r>
          </w:p>
        </w:tc>
        <w:tc>
          <w:tcPr>
            <w:tcW w:type="dxa" w:w="1728"/>
          </w:tcPr>
          <w:p>
            <w:r>
              <w:t>Underperforming equities</w:t>
            </w:r>
          </w:p>
        </w:tc>
      </w:tr>
      <w:tr>
        <w:tc>
          <w:tcPr>
            <w:tcW w:type="dxa" w:w="1728"/>
          </w:tcPr>
          <w:p>
            <w:r>
              <w:t>VNQ</w:t>
            </w:r>
          </w:p>
        </w:tc>
        <w:tc>
          <w:tcPr>
            <w:tcW w:type="dxa" w:w="1728"/>
          </w:tcPr>
          <w:p>
            <w:r>
              <w:t>12.31%</w:t>
            </w:r>
          </w:p>
        </w:tc>
        <w:tc>
          <w:tcPr>
            <w:tcW w:type="dxa" w:w="1728"/>
          </w:tcPr>
          <w:p>
            <w:r>
              <w:t>12.36%</w:t>
            </w:r>
          </w:p>
        </w:tc>
        <w:tc>
          <w:tcPr>
            <w:tcW w:type="dxa" w:w="1728"/>
          </w:tcPr>
          <w:p>
            <w:r>
              <w:t>HOLD/ADD</w:t>
            </w:r>
          </w:p>
        </w:tc>
        <w:tc>
          <w:tcPr>
            <w:tcW w:type="dxa" w:w="1728"/>
          </w:tcPr>
          <w:p>
            <w:r>
              <w:t>Valuable diversifier despite lower returns</w:t>
            </w:r>
          </w:p>
        </w:tc>
      </w:tr>
      <w:tr>
        <w:tc>
          <w:tcPr>
            <w:tcW w:type="dxa" w:w="1728"/>
          </w:tcPr>
          <w:p>
            <w:r>
              <w:t>IEF</w:t>
            </w:r>
          </w:p>
        </w:tc>
        <w:tc>
          <w:tcPr>
            <w:tcW w:type="dxa" w:w="1728"/>
          </w:tcPr>
          <w:p>
            <w:r>
              <w:t>2.54%</w:t>
            </w:r>
          </w:p>
        </w:tc>
        <w:tc>
          <w:tcPr>
            <w:tcW w:type="dxa" w:w="1728"/>
          </w:tcPr>
          <w:p>
            <w:r>
              <w:t>5.11%</w:t>
            </w:r>
          </w:p>
        </w:tc>
        <w:tc>
          <w:tcPr>
            <w:tcW w:type="dxa" w:w="1728"/>
          </w:tcPr>
          <w:p>
            <w:r>
              <w:t>HOLD</w:t>
            </w:r>
          </w:p>
        </w:tc>
        <w:tc>
          <w:tcPr>
            <w:tcW w:type="dxa" w:w="1728"/>
          </w:tcPr>
          <w:p>
            <w:r>
              <w:t>Essential for portfolio stability</w:t>
            </w:r>
          </w:p>
        </w:tc>
      </w:tr>
    </w:tbl>
    <w:p/>
    <w:p>
      <w:pPr>
        <w:pStyle w:val="Heading2"/>
      </w:pPr>
      <w:r>
        <w:t>New Security Additions Recommended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New Ticker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Security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Asset Class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Suggested %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1440"/>
          </w:tcPr>
          <w:p>
            <w:r>
              <w:t>VTSAX</w:t>
            </w:r>
          </w:p>
        </w:tc>
        <w:tc>
          <w:tcPr>
            <w:tcW w:type="dxa" w:w="1440"/>
          </w:tcPr>
          <w:p>
            <w:r>
              <w:t>Vanguard Total Stock Market</w:t>
            </w:r>
          </w:p>
        </w:tc>
        <w:tc>
          <w:tcPr>
            <w:tcW w:type="dxa" w:w="1440"/>
          </w:tcPr>
          <w:p>
            <w:r>
              <w:t>Diversified Equity</w:t>
            </w:r>
          </w:p>
        </w:tc>
        <w:tc>
          <w:tcPr>
            <w:tcW w:type="dxa" w:w="1440"/>
          </w:tcPr>
          <w:p>
            <w:r>
              <w:t>3%</w:t>
            </w:r>
          </w:p>
        </w:tc>
        <w:tc>
          <w:tcPr>
            <w:tcW w:type="dxa" w:w="1440"/>
          </w:tcPr>
          <w:p>
            <w:r>
              <w:t>ADD</w:t>
            </w:r>
          </w:p>
        </w:tc>
        <w:tc>
          <w:tcPr>
            <w:tcW w:type="dxa" w:w="1440"/>
          </w:tcPr>
          <w:p>
            <w:r>
              <w:t>Broader US equity exposure</w:t>
            </w:r>
          </w:p>
        </w:tc>
      </w:tr>
      <w:tr>
        <w:tc>
          <w:tcPr>
            <w:tcW w:type="dxa" w:w="1440"/>
          </w:tcPr>
          <w:p>
            <w:r>
              <w:t>BND</w:t>
            </w:r>
          </w:p>
        </w:tc>
        <w:tc>
          <w:tcPr>
            <w:tcW w:type="dxa" w:w="1440"/>
          </w:tcPr>
          <w:p>
            <w:r>
              <w:t>Vanguard Total Bond Market</w:t>
            </w:r>
          </w:p>
        </w:tc>
        <w:tc>
          <w:tcPr>
            <w:tcW w:type="dxa" w:w="1440"/>
          </w:tcPr>
          <w:p>
            <w:r>
              <w:t>Fixed Income</w:t>
            </w:r>
          </w:p>
        </w:tc>
        <w:tc>
          <w:tcPr>
            <w:tcW w:type="dxa" w:w="1440"/>
          </w:tcPr>
          <w:p>
            <w:r>
              <w:t>2%</w:t>
            </w:r>
          </w:p>
        </w:tc>
        <w:tc>
          <w:tcPr>
            <w:tcW w:type="dxa" w:w="1440"/>
          </w:tcPr>
          <w:p>
            <w:r>
              <w:t>ADD</w:t>
            </w:r>
          </w:p>
        </w:tc>
        <w:tc>
          <w:tcPr>
            <w:tcW w:type="dxa" w:w="1440"/>
          </w:tcPr>
          <w:p>
            <w:r>
              <w:t>Expands bond diversification</w:t>
            </w:r>
          </w:p>
        </w:tc>
      </w:tr>
      <w:tr>
        <w:tc>
          <w:tcPr>
            <w:tcW w:type="dxa" w:w="1440"/>
          </w:tcPr>
          <w:p>
            <w:r>
              <w:t>VGSLX</w:t>
            </w:r>
          </w:p>
        </w:tc>
        <w:tc>
          <w:tcPr>
            <w:tcW w:type="dxa" w:w="1440"/>
          </w:tcPr>
          <w:p>
            <w:r>
              <w:t>Vanguard Real Estate ETF</w:t>
            </w:r>
          </w:p>
        </w:tc>
        <w:tc>
          <w:tcPr>
            <w:tcW w:type="dxa" w:w="1440"/>
          </w:tcPr>
          <w:p>
            <w:r>
              <w:t>Real Assets</w:t>
            </w:r>
          </w:p>
        </w:tc>
        <w:tc>
          <w:tcPr>
            <w:tcW w:type="dxa" w:w="1440"/>
          </w:tcPr>
          <w:p>
            <w:r>
              <w:t>2%</w:t>
            </w:r>
          </w:p>
        </w:tc>
        <w:tc>
          <w:tcPr>
            <w:tcW w:type="dxa" w:w="1440"/>
          </w:tcPr>
          <w:p>
            <w:r>
              <w:t>CONSIDER</w:t>
            </w:r>
          </w:p>
        </w:tc>
        <w:tc>
          <w:tcPr>
            <w:tcW w:type="dxa" w:w="1440"/>
          </w:tcPr>
          <w:p>
            <w:r>
              <w:t>Real estate diversification</w:t>
            </w:r>
          </w:p>
        </w:tc>
      </w:tr>
    </w:tbl>
    <w:p/>
    <w:p>
      <w:pPr>
        <w:pStyle w:val="Heading2"/>
      </w:pPr>
      <w:r>
        <w:t>Actionable Recommendations</w:t>
      </w:r>
    </w:p>
    <w:p>
      <w:pPr>
        <w:pStyle w:val="ListNumber"/>
      </w:pPr>
      <w:r>
        <w:t>INCREASE allocation to QQQ from 22.10% → 25%</w:t>
      </w:r>
    </w:p>
    <w:p>
      <w:pPr>
        <w:pStyle w:val="ListNumber"/>
      </w:pPr>
      <w:r>
        <w:t>REDUCE allocation to IXN from 17.50% → 14%</w:t>
      </w:r>
    </w:p>
    <w:p>
      <w:pPr>
        <w:pStyle w:val="ListNumber"/>
      </w:pPr>
      <w:r>
        <w:t>REDUCE allocation to GLD from 23% → 18%</w:t>
      </w:r>
    </w:p>
    <w:p>
      <w:pPr>
        <w:pStyle w:val="ListNumber"/>
      </w:pPr>
      <w:r>
        <w:t>MAINTAIN allocation to IEF at 26-28%</w:t>
      </w:r>
    </w:p>
    <w:p>
      <w:pPr>
        <w:pStyle w:val="ListNumber"/>
      </w:pPr>
      <w:r>
        <w:t>ADD VTSAX (3%) - Vanguard Total Stock Market</w:t>
      </w:r>
    </w:p>
    <w:p>
      <w:pPr>
        <w:pStyle w:val="ListNumber"/>
      </w:pPr>
      <w:r>
        <w:t>ADD BND (2%) - Vanguard Total Bond Market</w:t>
      </w:r>
    </w:p>
    <w:p>
      <w:r>
        <w:br w:type="page"/>
      </w:r>
    </w:p>
    <w:p>
      <w:pPr>
        <w:pStyle w:val="Heading1"/>
      </w:pPr>
      <w:r>
        <w:t>QUESTION 5: PORTFOLIO REBALANCING IMPACT (20 POINTS)</w:t>
      </w:r>
    </w:p>
    <w:p>
      <w:pPr>
        <w:pStyle w:val="Heading2"/>
      </w:pPr>
      <w:r>
        <w:t>Current vs. Proposed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Asset Class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Current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Proposed 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Dollar Change ($95M)</w:t>
            </w:r>
          </w:p>
        </w:tc>
      </w:tr>
      <w:tr>
        <w:tc>
          <w:tcPr>
            <w:tcW w:type="dxa" w:w="1728"/>
          </w:tcPr>
          <w:p>
            <w:r>
              <w:t>Equities</w:t>
            </w:r>
          </w:p>
        </w:tc>
        <w:tc>
          <w:tcPr>
            <w:tcW w:type="dxa" w:w="1728"/>
          </w:tcPr>
          <w:p>
            <w:r>
              <w:t>39.6%</w:t>
            </w:r>
          </w:p>
        </w:tc>
        <w:tc>
          <w:tcPr>
            <w:tcW w:type="dxa" w:w="1728"/>
          </w:tcPr>
          <w:p>
            <w:r>
              <w:t>45.1%</w:t>
            </w:r>
          </w:p>
        </w:tc>
        <w:tc>
          <w:tcPr>
            <w:tcW w:type="dxa" w:w="1728"/>
          </w:tcPr>
          <w:p>
            <w:r>
              <w:t>+5.5%</w:t>
            </w:r>
          </w:p>
        </w:tc>
        <w:tc>
          <w:tcPr>
            <w:tcW w:type="dxa" w:w="1728"/>
          </w:tcPr>
          <w:p>
            <w:r>
              <w:t>+$5.2M</w:t>
            </w:r>
          </w:p>
        </w:tc>
      </w:tr>
      <w:tr>
        <w:tc>
          <w:tcPr>
            <w:tcW w:type="dxa" w:w="1728"/>
          </w:tcPr>
          <w:p>
            <w:r>
              <w:t>Fixed Income</w:t>
            </w:r>
          </w:p>
        </w:tc>
        <w:tc>
          <w:tcPr>
            <w:tcW w:type="dxa" w:w="1728"/>
          </w:tcPr>
          <w:p>
            <w:r>
              <w:t>28.5%</w:t>
            </w:r>
          </w:p>
        </w:tc>
        <w:tc>
          <w:tcPr>
            <w:tcW w:type="dxa" w:w="1728"/>
          </w:tcPr>
          <w:p>
            <w:r>
              <w:t>30.5%</w:t>
            </w:r>
          </w:p>
        </w:tc>
        <w:tc>
          <w:tcPr>
            <w:tcW w:type="dxa" w:w="1728"/>
          </w:tcPr>
          <w:p>
            <w:r>
              <w:t>+2.0%</w:t>
            </w:r>
          </w:p>
        </w:tc>
        <w:tc>
          <w:tcPr>
            <w:tcW w:type="dxa" w:w="1728"/>
          </w:tcPr>
          <w:p>
            <w:r>
              <w:t>+$1.9M</w:t>
            </w:r>
          </w:p>
        </w:tc>
      </w:tr>
      <w:tr>
        <w:tc>
          <w:tcPr>
            <w:tcW w:type="dxa" w:w="1728"/>
          </w:tcPr>
          <w:p>
            <w:r>
              <w:t>Real Assets</w:t>
            </w:r>
          </w:p>
        </w:tc>
        <w:tc>
          <w:tcPr>
            <w:tcW w:type="dxa" w:w="1728"/>
          </w:tcPr>
          <w:p>
            <w:r>
              <w:t>8.9%</w:t>
            </w:r>
          </w:p>
        </w:tc>
        <w:tc>
          <w:tcPr>
            <w:tcW w:type="dxa" w:w="1728"/>
          </w:tcPr>
          <w:p>
            <w:r>
              <w:t>10.9%</w:t>
            </w:r>
          </w:p>
        </w:tc>
        <w:tc>
          <w:tcPr>
            <w:tcW w:type="dxa" w:w="1728"/>
          </w:tcPr>
          <w:p>
            <w:r>
              <w:t>+2.0%</w:t>
            </w:r>
          </w:p>
        </w:tc>
        <w:tc>
          <w:tcPr>
            <w:tcW w:type="dxa" w:w="1728"/>
          </w:tcPr>
          <w:p>
            <w:r>
              <w:t>+$1.9M</w:t>
            </w:r>
          </w:p>
        </w:tc>
      </w:tr>
      <w:tr>
        <w:tc>
          <w:tcPr>
            <w:tcW w:type="dxa" w:w="1728"/>
          </w:tcPr>
          <w:p>
            <w:r>
              <w:t>Commodities</w:t>
            </w:r>
          </w:p>
        </w:tc>
        <w:tc>
          <w:tcPr>
            <w:tcW w:type="dxa" w:w="1728"/>
          </w:tcPr>
          <w:p>
            <w:r>
              <w:t>23.0%</w:t>
            </w:r>
          </w:p>
        </w:tc>
        <w:tc>
          <w:tcPr>
            <w:tcW w:type="dxa" w:w="1728"/>
          </w:tcPr>
          <w:p>
            <w:r>
              <w:t>13.5%</w:t>
            </w:r>
          </w:p>
        </w:tc>
        <w:tc>
          <w:tcPr>
            <w:tcW w:type="dxa" w:w="1728"/>
          </w:tcPr>
          <w:p>
            <w:r>
              <w:t>-9.5%</w:t>
            </w:r>
          </w:p>
        </w:tc>
        <w:tc>
          <w:tcPr>
            <w:tcW w:type="dxa" w:w="1728"/>
          </w:tcPr>
          <w:p>
            <w:r>
              <w:t>-$9.0M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pPr>
        <w:pStyle w:val="Heading2"/>
      </w:pPr>
      <w:r>
        <w:t>Expected Impact on Portfolio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Post-Rebalance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1728"/>
          </w:tcPr>
          <w:p>
            <w:r>
              <w:t>Expected 12M Return</w:t>
            </w:r>
          </w:p>
        </w:tc>
        <w:tc>
          <w:tcPr>
            <w:tcW w:type="dxa" w:w="1728"/>
          </w:tcPr>
          <w:p>
            <w:r>
              <w:t>27.62%</w:t>
            </w:r>
          </w:p>
        </w:tc>
        <w:tc>
          <w:tcPr>
            <w:tcW w:type="dxa" w:w="1728"/>
          </w:tcPr>
          <w:p>
            <w:r>
              <w:t>28.85%</w:t>
            </w:r>
          </w:p>
        </w:tc>
        <w:tc>
          <w:tcPr>
            <w:tcW w:type="dxa" w:w="1728"/>
          </w:tcPr>
          <w:p>
            <w:r>
              <w:t>+1.23%</w:t>
            </w:r>
          </w:p>
        </w:tc>
        <w:tc>
          <w:tcPr>
            <w:tcW w:type="dxa" w:w="1728"/>
          </w:tcPr>
          <w:p>
            <w:r>
              <w:t>+$1.17M</w:t>
            </w:r>
          </w:p>
        </w:tc>
      </w:tr>
      <w:tr>
        <w:tc>
          <w:tcPr>
            <w:tcW w:type="dxa" w:w="1728"/>
          </w:tcPr>
          <w:p>
            <w:r>
              <w:t>Expected Volatility</w:t>
            </w:r>
          </w:p>
        </w:tc>
        <w:tc>
          <w:tcPr>
            <w:tcW w:type="dxa" w:w="1728"/>
          </w:tcPr>
          <w:p>
            <w:r>
              <w:t>17.65%</w:t>
            </w:r>
          </w:p>
        </w:tc>
        <w:tc>
          <w:tcPr>
            <w:tcW w:type="dxa" w:w="1728"/>
          </w:tcPr>
          <w:p>
            <w:r>
              <w:t>17.68%</w:t>
            </w:r>
          </w:p>
        </w:tc>
        <w:tc>
          <w:tcPr>
            <w:tcW w:type="dxa" w:w="1728"/>
          </w:tcPr>
          <w:p>
            <w:r>
              <w:t>+0.03%</w:t>
            </w:r>
          </w:p>
        </w:tc>
        <w:tc>
          <w:tcPr>
            <w:tcW w:type="dxa" w:w="1728"/>
          </w:tcPr>
          <w:p>
            <w:r>
              <w:t>Nearly flat</w:t>
            </w:r>
          </w:p>
        </w:tc>
      </w:tr>
      <w:tr>
        <w:tc>
          <w:tcPr>
            <w:tcW w:type="dxa" w:w="1728"/>
          </w:tcPr>
          <w:p>
            <w:r>
              <w:t>Return/Risk Ratio</w:t>
            </w:r>
          </w:p>
        </w:tc>
        <w:tc>
          <w:tcPr>
            <w:tcW w:type="dxa" w:w="1728"/>
          </w:tcPr>
          <w:p>
            <w:r>
              <w:t>1.57</w:t>
            </w:r>
          </w:p>
        </w:tc>
        <w:tc>
          <w:tcPr>
            <w:tcW w:type="dxa" w:w="1728"/>
          </w:tcPr>
          <w:p>
            <w:r>
              <w:t>1.63</w:t>
            </w:r>
          </w:p>
        </w:tc>
        <w:tc>
          <w:tcPr>
            <w:tcW w:type="dxa" w:w="1728"/>
          </w:tcPr>
          <w:p>
            <w:r>
              <w:t>+3.8%</w:t>
            </w:r>
          </w:p>
        </w:tc>
        <w:tc>
          <w:tcPr>
            <w:tcW w:type="dxa" w:w="1728"/>
          </w:tcPr>
          <w:p>
            <w:r>
              <w:t>More efficient</w:t>
            </w:r>
          </w:p>
        </w:tc>
      </w:tr>
      <w:tr>
        <w:tc>
          <w:tcPr>
            <w:tcW w:type="dxa" w:w="1728"/>
          </w:tcPr>
          <w:p>
            <w:r>
              <w:t>Bond Allocation</w:t>
            </w:r>
          </w:p>
        </w:tc>
        <w:tc>
          <w:tcPr>
            <w:tcW w:type="dxa" w:w="1728"/>
          </w:tcPr>
          <w:p>
            <w:r>
              <w:t>28.5%</w:t>
            </w:r>
          </w:p>
        </w:tc>
        <w:tc>
          <w:tcPr>
            <w:tcW w:type="dxa" w:w="1728"/>
          </w:tcPr>
          <w:p>
            <w:r>
              <w:t>28.5%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Maintained stability</w:t>
            </w:r>
          </w:p>
        </w:tc>
      </w:tr>
    </w:tbl>
    <w:p/>
    <w:p>
      <w:pPr>
        <w:pStyle w:val="Heading2"/>
      </w:pPr>
      <w:r>
        <w:t>The Rebalancing Trade-Off</w:t>
      </w:r>
    </w:p>
    <w:p>
      <w:r>
        <w:t>This rebalance achieves +1.23% additional return for only +0.03% additional risk—an exceptional 41:1 risk-reward ratio.</w:t>
      </w:r>
    </w:p>
    <w:p/>
    <w:p>
      <w:pPr>
        <w:pStyle w:val="Heading2"/>
      </w:pPr>
      <w:r>
        <w:t>Benefits Analysis</w:t>
      </w:r>
    </w:p>
    <w:p>
      <w:r>
        <w:rPr>
          <w:b/>
        </w:rPr>
        <w:t>✓ Benefit 1: Enhanced Returns</w:t>
      </w:r>
    </w:p>
    <w:p>
      <w:pPr>
        <w:pStyle w:val="ListBullet2"/>
      </w:pPr>
      <w:r>
        <w:t>Expected return improvement of 1.23% annually</w:t>
      </w:r>
    </w:p>
    <w:p>
      <w:pPr>
        <w:pStyle w:val="ListBullet2"/>
      </w:pPr>
      <w:r>
        <w:t>On a $95M portfolio = $1.17M additional annual returns</w:t>
      </w:r>
    </w:p>
    <w:p>
      <w:r>
        <w:rPr>
          <w:b/>
        </w:rPr>
        <w:t>✓ Benefit 2: Improved Diversification</w:t>
      </w:r>
    </w:p>
    <w:p>
      <w:pPr>
        <w:pStyle w:val="ListBullet2"/>
      </w:pPr>
      <w:r>
        <w:t>Addition of VTSAX broadens equity base beyond single-sector focus</w:t>
      </w:r>
    </w:p>
    <w:p>
      <w:pPr>
        <w:pStyle w:val="ListBullet2"/>
      </w:pPr>
      <w:r>
        <w:t>BND expansion provides more nuanced fixed income allocation</w:t>
      </w:r>
    </w:p>
    <w:p>
      <w:r>
        <w:rPr>
          <w:b/>
        </w:rPr>
        <w:t>✓ Benefit 3: Risk Mitigation</w:t>
      </w:r>
    </w:p>
    <w:p>
      <w:pPr>
        <w:pStyle w:val="ListBullet2"/>
      </w:pPr>
      <w:r>
        <w:t>IEF/BND maintained at 28.5%+ for downside protection</w:t>
      </w:r>
    </w:p>
    <w:p>
      <w:pPr>
        <w:pStyle w:val="ListBullet2"/>
      </w:pPr>
      <w:r>
        <w:t>Reduces single-fund risk and sector concentration</w:t>
      </w:r>
    </w:p>
    <w:p>
      <w:r>
        <w:rPr>
          <w:b/>
        </w:rPr>
        <w:t>✓ Benefit 4: Defensive Positioning</w:t>
      </w:r>
    </w:p>
    <w:p>
      <w:pPr>
        <w:pStyle w:val="ListBullet2"/>
      </w:pPr>
      <w:r>
        <w:t>28-30% in fixed income protects against equity market corrections</w:t>
      </w:r>
    </w:p>
    <w:p>
      <w:pPr>
        <w:pStyle w:val="ListBullet2"/>
      </w:pPr>
      <w:r>
        <w:t>Portfolio can withstand 15-20% equity corrections with minimal overall impact</w:t>
      </w:r>
    </w:p>
    <w:p/>
    <w:p>
      <w:pPr>
        <w:pStyle w:val="Heading2"/>
      </w:pPr>
      <w:r>
        <w:t>Risk Considerations &amp; Mitigations</w:t>
      </w:r>
    </w:p>
    <w:p>
      <w:r>
        <w:rPr>
          <w:b/>
        </w:rPr>
        <w:t>⚠️ Risk 1: Increased Equity Exposure</w:t>
      </w:r>
    </w:p>
    <w:p>
      <w:pPr>
        <w:pStyle w:val="ListBullet2"/>
      </w:pPr>
      <w:r>
        <w:t>Mitigation: Maintained 28%+ bond allocation and gradual 60-90 day implementation</w:t>
      </w:r>
    </w:p>
    <w:p>
      <w:r>
        <w:rPr>
          <w:b/>
        </w:rPr>
        <w:t>⚠️ Risk 2: Tech Concentration</w:t>
      </w:r>
    </w:p>
    <w:p>
      <w:pPr>
        <w:pStyle w:val="ListBullet2"/>
      </w:pPr>
      <w:r>
        <w:t>Mitigation: VTSAX provides broad market exposure</w:t>
      </w:r>
    </w:p>
    <w:p>
      <w:r>
        <w:rPr>
          <w:b/>
        </w:rPr>
        <w:t>⚠️ Risk 3: Commodity Reduction</w:t>
      </w:r>
    </w:p>
    <w:p>
      <w:pPr>
        <w:pStyle w:val="ListBullet2"/>
      </w:pPr>
      <w:r>
        <w:t>Mitigation: Can revert to 20% GLD if macro concerns increase</w:t>
      </w:r>
    </w:p>
    <w:p/>
    <w:p>
      <w:pPr>
        <w:pStyle w:val="Heading2"/>
      </w:pPr>
      <w:r>
        <w:t>Implementation Timeline</w:t>
      </w:r>
    </w:p>
    <w:p>
      <w:r>
        <w:t>Suggested Timeline: Implement over 60-90 days in three phases</w:t>
      </w:r>
    </w:p>
    <w:p>
      <w:pPr>
        <w:pStyle w:val="ListBullet"/>
      </w:pPr>
      <w:r>
        <w:t>Phase 1 (Days 1-30): 33% of transactions</w:t>
      </w:r>
    </w:p>
    <w:p>
      <w:pPr>
        <w:pStyle w:val="ListBullet"/>
      </w:pPr>
      <w:r>
        <w:t>Phase 2 (Days 31-60): 33% of transactions</w:t>
      </w:r>
    </w:p>
    <w:p>
      <w:pPr>
        <w:pStyle w:val="ListBullet"/>
      </w:pPr>
      <w:r>
        <w:t>Phase 3 (Days 61-90): 34% of transactions</w:t>
      </w:r>
    </w:p>
    <w:p>
      <w:r>
        <w:rPr>
          <w:b/>
        </w:rPr>
        <w:t>Recommendation: PROCEED WITH REBALANCING</w:t>
      </w:r>
    </w:p>
    <w:p>
      <w:r>
        <w:br w:type="page"/>
      </w:r>
    </w:p>
    <w:p>
      <w:pPr>
        <w:pStyle w:val="Heading1"/>
      </w:pPr>
      <w:r>
        <w:t>FINAL RECOMMENDATIONS SUMMARY</w:t>
      </w:r>
    </w:p>
    <w:p>
      <w:pPr>
        <w:pStyle w:val="ListNumber"/>
      </w:pPr>
      <w:r>
        <w:rPr>
          <w:b/>
        </w:rPr>
        <w:t>Q1 - Returns Analysis:</w:t>
      </w:r>
    </w:p>
    <w:p>
      <w:pPr>
        <w:pStyle w:val="ListBullet2"/>
      </w:pPr>
      <w:r>
        <w:t>Portfolio's 27.62% 12M return is exceptional. Maintain diversification while monitoring tech outperformance.</w:t>
      </w:r>
    </w:p>
    <w:p>
      <w:pPr>
        <w:pStyle w:val="ListNumber"/>
      </w:pPr>
      <w:r>
        <w:rPr>
          <w:b/>
        </w:rPr>
        <w:t>Q2 - Variance Analysis:</w:t>
      </w:r>
    </w:p>
    <w:p>
      <w:pPr>
        <w:pStyle w:val="ListBullet2"/>
      </w:pPr>
      <w:r>
        <w:t>Asset diversification is working well. Maintain current mix but consider IXN reduction.</w:t>
      </w:r>
    </w:p>
    <w:p>
      <w:pPr>
        <w:pStyle w:val="ListNumber"/>
      </w:pPr>
      <w:r>
        <w:rPr>
          <w:b/>
        </w:rPr>
        <w:t>Q3 - Volatility Analysis:</w:t>
      </w:r>
    </w:p>
    <w:p>
      <w:pPr>
        <w:pStyle w:val="ListBullet2"/>
      </w:pPr>
      <w:r>
        <w:t>Reduce IXN allocation from 17.5% → 14% to manage concentration risk.</w:t>
      </w:r>
    </w:p>
    <w:p>
      <w:pPr>
        <w:pStyle w:val="ListNumber"/>
      </w:pPr>
      <w:r>
        <w:rPr>
          <w:b/>
        </w:rPr>
        <w:t>Q4 - Buy/Sell/Hold:</w:t>
      </w:r>
    </w:p>
    <w:p>
      <w:pPr>
        <w:pStyle w:val="ListBullet2"/>
      </w:pPr>
      <w:r>
        <w:t>BUY QQQ, cautiously hold IXN, add VTSAX and BND, reduce GLD.</w:t>
      </w:r>
    </w:p>
    <w:p>
      <w:pPr>
        <w:pStyle w:val="ListNumber"/>
      </w:pPr>
      <w:r>
        <w:rPr>
          <w:b/>
        </w:rPr>
        <w:t>Q5 - Rebalancing:</w:t>
      </w:r>
    </w:p>
    <w:p>
      <w:pPr>
        <w:pStyle w:val="ListBullet2"/>
      </w:pPr>
      <w:r>
        <w:t>PROCEED with rebalancing to gain $1.17M annual return. Implement over 60-90 days.</w:t>
      </w:r>
    </w:p>
    <w:p/>
    <w:p>
      <w:pPr>
        <w:pStyle w:val="Heading1"/>
      </w:pPr>
      <w:r>
        <w:t>CONCLUSION</w:t>
      </w:r>
    </w:p>
    <w:p>
      <w:r>
        <w:t>The $95M portfolio is well-constructed with strong historical returns (27.62% YTD) and appropriate risk management. Strategic rebalancing toward recent outperformers (QQQ, VNQ) while reducing underperformers (GLD) and adding diversification (VTSAX, BND) will enhance expected returns by 1.23% with virtually no additional portfolio risk.</w:t>
        <w:br/>
        <w:br/>
        <w:t>FINAL RECOMMENDATION: PROCEED WITH REBALANCING IMPLEMENTATION while maintaining the portfolio's core diversified strategy. Timeline: 60-90 days with phased implementation.</w:t>
      </w:r>
    </w:p>
    <w:p/>
    <w:p>
      <w:r>
        <w:rPr>
          <w:b/>
        </w:rPr>
        <w:t xml:space="preserve">Analysis Prepared By: </w:t>
      </w:r>
      <w:r>
        <w:t>Portfolio Analytics Team</w:t>
        <w:br/>
      </w:r>
      <w:r>
        <w:rPr>
          <w:b/>
        </w:rPr>
        <w:t xml:space="preserve">Database: </w:t>
      </w:r>
      <w:r>
        <w:t>MySQL Portfolio Management System</w:t>
        <w:br/>
      </w:r>
      <w:r>
        <w:rPr>
          <w:b/>
        </w:rPr>
        <w:t xml:space="preserve">Data Sources: </w:t>
      </w:r>
      <w:r>
        <w:t>Daily stock prices aligned through June 28, 2026</w:t>
        <w:br/>
      </w:r>
      <w:r>
        <w:rPr>
          <w:b/>
        </w:rPr>
        <w:t xml:space="preserve">Confidence Level: </w:t>
      </w:r>
      <w:r>
        <w:t>High (123+ trading days of data per security)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