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Portfolio Analysis Assignment Report</w:t>
      </w:r>
    </w:p>
    <w:p>
      <w:pPr>
        <w:jc w:val="center"/>
      </w:pPr>
      <w:r>
        <w:rPr>
          <w:i/>
          <w:sz w:val="28"/>
        </w:rPr>
        <w:t>With Formulas &amp; Business Processes</w:t>
      </w:r>
    </w:p>
    <w:p>
      <w:r>
        <w:t>Portfolio Value: $95,000,000</w:t>
      </w:r>
    </w:p>
    <w:p>
      <w:r>
        <w:t>Client: UHNW Portfolio (5 Holdings)</w:t>
      </w:r>
    </w:p>
    <w:p>
      <w:r>
        <w:t>Analysis Date: June 2026</w:t>
      </w:r>
    </w:p>
    <w:p>
      <w:r>
        <w:t>Database: invest_portfolio (15,060 daily pricing records)</w:t>
      </w:r>
    </w:p>
    <w:p/>
    <w:p>
      <w:pPr>
        <w:pStyle w:val="Heading1"/>
      </w:pPr>
      <w:r>
        <w:t>QUESTION 1: INDIVIDUAL SECURITY RETURNS (12M, 18M, 24M)</w:t>
      </w:r>
    </w:p>
    <w:p>
      <w:pPr>
        <w:pStyle w:val="Heading2"/>
      </w:pPr>
      <w:r>
        <w:t>Business Process</w:t>
      </w:r>
    </w:p>
    <w:p>
      <w:r>
        <w:t>Calculate historical returns at multiple time horizons to identify performance trends, top performers, and dollar gain contributions to the portfolio.</w:t>
      </w:r>
    </w:p>
    <w:p>
      <w:pPr>
        <w:pStyle w:val="Heading2"/>
      </w:pPr>
      <w:r>
        <w:t>Formula: Return Percentage</w:t>
      </w:r>
    </w:p>
    <w:p>
      <w:r>
        <w:rPr>
          <w:rFonts w:ascii="Courier New" w:hAnsi="Courier New"/>
        </w:rPr>
        <w:t>Return % = ((Current Price - Historical Price) / Historical Price) × 100</w:t>
        <w:br/>
        <w:br/>
      </w:r>
      <w:r>
        <w:rPr>
          <w:rFonts w:ascii="Calibri" w:hAnsi="Calibri"/>
        </w:rPr>
        <w:t>Components:</w:t>
        <w:br/>
        <w:t xml:space="preserve">  - Current Price: Latest price from pricing_daily table</w:t>
        <w:br/>
        <w:t xml:space="preserve">  - Historical Price: Price from 252/378/504 days ago</w:t>
        <w:br/>
        <w:t xml:space="preserve">  - 252 days ≈ 12 months (standard trading days per year)</w:t>
        <w:br/>
        <w:t xml:space="preserve">  - 378 days ≈ 18 months  </w:t>
        <w:br/>
        <w:t xml:space="preserve">  - 504 days ≈ 24 months</w:t>
      </w:r>
    </w:p>
    <w:p>
      <w:pPr>
        <w:pStyle w:val="Heading2"/>
      </w:pPr>
      <w:r>
        <w:t>Formula: Dollar Gain</w:t>
      </w:r>
    </w:p>
    <w:p>
      <w:r>
        <w:rPr>
          <w:rFonts w:ascii="Courier New" w:hAnsi="Courier New"/>
        </w:rPr>
        <w:t>Gain $ = (Current Price - Historical Price) × Position Size</w:t>
        <w:br/>
        <w:br/>
      </w:r>
      <w:r>
        <w:rPr>
          <w:rFonts w:ascii="Calibri" w:hAnsi="Calibri"/>
        </w:rPr>
        <w:t>Example for IXN:</w:t>
        <w:br/>
        <w:t xml:space="preserve">  Current Price: $139.73</w:t>
        <w:br/>
        <w:t xml:space="preserve">  Price 12M ago: $103.88</w:t>
        <w:br/>
        <w:t xml:space="preserve">  Weight: 17.5%</w:t>
        <w:br/>
        <w:t xml:space="preserve">  Portfolio: $95M</w:t>
        <w:br/>
        <w:t xml:space="preserve">  </w:t>
        <w:br/>
        <w:t xml:space="preserve">  Return % = (139.73 - 103.88) / 103.88 × 100 = 34.51%</w:t>
        <w:br/>
        <w:t xml:space="preserve">  Gain $ = 35.85 × (0.175 × $95M) / 103.88 = $5,737,449</w:t>
      </w:r>
    </w:p>
    <w:p>
      <w:pPr>
        <w:pStyle w:val="Heading2"/>
      </w:pPr>
      <w:r>
        <w:t>Key Assumptions</w:t>
      </w:r>
    </w:p>
    <w:p>
      <w:pPr>
        <w:pStyle w:val="ListBullet"/>
      </w:pPr>
      <w:r>
        <w:t>"Adjusted Close" price is the relevant price for analysis</w:t>
      </w:r>
    </w:p>
    <w:p>
      <w:pPr>
        <w:pStyle w:val="ListBullet"/>
      </w:pPr>
      <w:r>
        <w:t>Prices are adjusted for stock splits and dividends</w:t>
      </w:r>
    </w:p>
    <w:p>
      <w:pPr>
        <w:pStyle w:val="ListBullet"/>
      </w:pPr>
      <w:r>
        <w:t>252 trading days = 1 year (industry standard)</w:t>
      </w:r>
    </w:p>
    <w:p>
      <w:pPr>
        <w:pStyle w:val="ListBullet"/>
      </w:pPr>
      <w:r>
        <w:t>Current market_value_million reflects actual allocation size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Ticker</w:t>
            </w:r>
          </w:p>
        </w:tc>
        <w:tc>
          <w:tcPr>
            <w:tcW w:type="dxa" w:w="1234"/>
          </w:tcPr>
          <w:p>
            <w:r>
              <w:t>Security Name</w:t>
            </w:r>
          </w:p>
        </w:tc>
        <w:tc>
          <w:tcPr>
            <w:tcW w:type="dxa" w:w="1234"/>
          </w:tcPr>
          <w:p>
            <w:r>
              <w:t>12M Return</w:t>
            </w:r>
          </w:p>
        </w:tc>
        <w:tc>
          <w:tcPr>
            <w:tcW w:type="dxa" w:w="1234"/>
          </w:tcPr>
          <w:p>
            <w:r>
              <w:t>18M Return</w:t>
            </w:r>
          </w:p>
        </w:tc>
        <w:tc>
          <w:tcPr>
            <w:tcW w:type="dxa" w:w="1234"/>
          </w:tcPr>
          <w:p>
            <w:r>
              <w:t>24M Return</w:t>
            </w:r>
          </w:p>
        </w:tc>
        <w:tc>
          <w:tcPr>
            <w:tcW w:type="dxa" w:w="1234"/>
          </w:tcPr>
          <w:p>
            <w:r>
              <w:t>Gain 12M $</w:t>
            </w:r>
          </w:p>
        </w:tc>
        <w:tc>
          <w:tcPr>
            <w:tcW w:type="dxa" w:w="1234"/>
          </w:tcPr>
          <w:p>
            <w:r>
              <w:t>Weight</w:t>
            </w:r>
          </w:p>
        </w:tc>
      </w:tr>
      <w:tr>
        <w:tc>
          <w:tcPr>
            <w:tcW w:type="dxa" w:w="1234"/>
          </w:tcPr>
          <w:p>
            <w:r>
              <w:t>IXN</w:t>
            </w:r>
          </w:p>
        </w:tc>
        <w:tc>
          <w:tcPr>
            <w:tcW w:type="dxa" w:w="1234"/>
          </w:tcPr>
          <w:p>
            <w:r>
              <w:t>iShares Global Tech ETF</w:t>
            </w:r>
          </w:p>
        </w:tc>
        <w:tc>
          <w:tcPr>
            <w:tcW w:type="dxa" w:w="1234"/>
          </w:tcPr>
          <w:p>
            <w:r>
              <w:t>34.51%</w:t>
            </w:r>
          </w:p>
        </w:tc>
        <w:tc>
          <w:tcPr>
            <w:tcW w:type="dxa" w:w="1234"/>
          </w:tcPr>
          <w:p>
            <w:r>
              <w:t>68.07%</w:t>
            </w:r>
          </w:p>
        </w:tc>
        <w:tc>
          <w:tcPr>
            <w:tcW w:type="dxa" w:w="1234"/>
          </w:tcPr>
          <w:p>
            <w:r>
              <w:t>62.36%</w:t>
            </w:r>
          </w:p>
        </w:tc>
        <w:tc>
          <w:tcPr>
            <w:tcW w:type="dxa" w:w="1234"/>
          </w:tcPr>
          <w:p>
            <w:r>
              <w:t>$5,737,449</w:t>
            </w:r>
          </w:p>
        </w:tc>
        <w:tc>
          <w:tcPr>
            <w:tcW w:type="dxa" w:w="1234"/>
          </w:tcPr>
          <w:p>
            <w:r>
              <w:t>17.5%</w:t>
            </w:r>
          </w:p>
        </w:tc>
      </w:tr>
      <w:tr>
        <w:tc>
          <w:tcPr>
            <w:tcW w:type="dxa" w:w="1234"/>
          </w:tcPr>
          <w:p>
            <w:r>
              <w:t>GLD</w:t>
            </w:r>
          </w:p>
        </w:tc>
        <w:tc>
          <w:tcPr>
            <w:tcW w:type="dxa" w:w="1234"/>
          </w:tcPr>
          <w:p>
            <w:r>
              <w:t>SPDR Gold Shares</w:t>
            </w:r>
          </w:p>
        </w:tc>
        <w:tc>
          <w:tcPr>
            <w:tcW w:type="dxa" w:w="1234"/>
          </w:tcPr>
          <w:p>
            <w:r>
              <w:t>8.08%</w:t>
            </w:r>
          </w:p>
        </w:tc>
        <w:tc>
          <w:tcPr>
            <w:tcW w:type="dxa" w:w="1234"/>
          </w:tcPr>
          <w:p>
            <w:r>
              <w:t>27.32%</w:t>
            </w:r>
          </w:p>
        </w:tc>
        <w:tc>
          <w:tcPr>
            <w:tcW w:type="dxa" w:w="1234"/>
          </w:tcPr>
          <w:p>
            <w:r>
              <w:t>51.20%</w:t>
            </w:r>
          </w:p>
        </w:tc>
        <w:tc>
          <w:tcPr>
            <w:tcW w:type="dxa" w:w="1234"/>
          </w:tcPr>
          <w:p>
            <w:r>
              <w:t>$1,765,644</w:t>
            </w:r>
          </w:p>
        </w:tc>
        <w:tc>
          <w:tcPr>
            <w:tcW w:type="dxa" w:w="1234"/>
          </w:tcPr>
          <w:p>
            <w:r>
              <w:t>23.0%</w:t>
            </w:r>
          </w:p>
        </w:tc>
      </w:tr>
      <w:tr>
        <w:tc>
          <w:tcPr>
            <w:tcW w:type="dxa" w:w="1234"/>
          </w:tcPr>
          <w:p>
            <w:r>
              <w:t>QQQ</w:t>
            </w:r>
          </w:p>
        </w:tc>
        <w:tc>
          <w:tcPr>
            <w:tcW w:type="dxa" w:w="1234"/>
          </w:tcPr>
          <w:p>
            <w:r>
              <w:t>Invesco QQQ Trust</w:t>
            </w:r>
          </w:p>
        </w:tc>
        <w:tc>
          <w:tcPr>
            <w:tcW w:type="dxa" w:w="1234"/>
          </w:tcPr>
          <w:p>
            <w:r>
              <w:t>19.89%</w:t>
            </w:r>
          </w:p>
        </w:tc>
        <w:tc>
          <w:tcPr>
            <w:tcW w:type="dxa" w:w="1234"/>
          </w:tcPr>
          <w:p>
            <w:r>
              <w:t>39.63%</w:t>
            </w:r>
          </w:p>
        </w:tc>
        <w:tc>
          <w:tcPr>
            <w:tcW w:type="dxa" w:w="1234"/>
          </w:tcPr>
          <w:p>
            <w:r>
              <w:t>37.06%</w:t>
            </w:r>
          </w:p>
        </w:tc>
        <w:tc>
          <w:tcPr>
            <w:tcW w:type="dxa" w:w="1234"/>
          </w:tcPr>
          <w:p>
            <w:r>
              <w:t>$4,176,667</w:t>
            </w:r>
          </w:p>
        </w:tc>
        <w:tc>
          <w:tcPr>
            <w:tcW w:type="dxa" w:w="1234"/>
          </w:tcPr>
          <w:p>
            <w:r>
              <w:t>22.1%</w:t>
            </w:r>
          </w:p>
        </w:tc>
      </w:tr>
      <w:tr>
        <w:tc>
          <w:tcPr>
            <w:tcW w:type="dxa" w:w="1234"/>
          </w:tcPr>
          <w:p>
            <w:r>
              <w:t>VNQ</w:t>
            </w:r>
          </w:p>
        </w:tc>
        <w:tc>
          <w:tcPr>
            <w:tcW w:type="dxa" w:w="1234"/>
          </w:tcPr>
          <w:p>
            <w:r>
              <w:t>Vanguard Real Estate ETF</w:t>
            </w:r>
          </w:p>
        </w:tc>
        <w:tc>
          <w:tcPr>
            <w:tcW w:type="dxa" w:w="1234"/>
          </w:tcPr>
          <w:p>
            <w:r>
              <w:t>9.90%</w:t>
            </w:r>
          </w:p>
        </w:tc>
        <w:tc>
          <w:tcPr>
            <w:tcW w:type="dxa" w:w="1234"/>
          </w:tcPr>
          <w:p>
            <w:r>
              <w:t>14.68%</w:t>
            </w:r>
          </w:p>
        </w:tc>
        <w:tc>
          <w:tcPr>
            <w:tcW w:type="dxa" w:w="1234"/>
          </w:tcPr>
          <w:p>
            <w:r>
              <w:t>14.08%</w:t>
            </w:r>
          </w:p>
        </w:tc>
        <w:tc>
          <w:tcPr>
            <w:tcW w:type="dxa" w:w="1234"/>
          </w:tcPr>
          <w:p>
            <w:r>
              <w:t>$836,634</w:t>
            </w:r>
          </w:p>
        </w:tc>
        <w:tc>
          <w:tcPr>
            <w:tcW w:type="dxa" w:w="1234"/>
          </w:tcPr>
          <w:p>
            <w:r>
              <w:t>8.9%</w:t>
            </w:r>
          </w:p>
        </w:tc>
      </w:tr>
      <w:tr>
        <w:tc>
          <w:tcPr>
            <w:tcW w:type="dxa" w:w="1234"/>
          </w:tcPr>
          <w:p>
            <w:r>
              <w:t>IEF</w:t>
            </w:r>
          </w:p>
        </w:tc>
        <w:tc>
          <w:tcPr>
            <w:tcW w:type="dxa" w:w="1234"/>
          </w:tcPr>
          <w:p>
            <w:r>
              <w:t>iShares 7-10 Year Treasury</w:t>
            </w:r>
          </w:p>
        </w:tc>
        <w:tc>
          <w:tcPr>
            <w:tcW w:type="dxa" w:w="1234"/>
          </w:tcPr>
          <w:p>
            <w:r>
              <w:t>0.21%</w:t>
            </w:r>
          </w:p>
        </w:tc>
        <w:tc>
          <w:tcPr>
            <w:tcW w:type="dxa" w:w="1234"/>
          </w:tcPr>
          <w:p>
            <w:r>
              <w:t>3.80%</w:t>
            </w:r>
          </w:p>
        </w:tc>
        <w:tc>
          <w:tcPr>
            <w:tcW w:type="dxa" w:w="1234"/>
          </w:tcPr>
          <w:p>
            <w:r>
              <w:t>7.50%</w:t>
            </w:r>
          </w:p>
        </w:tc>
        <w:tc>
          <w:tcPr>
            <w:tcW w:type="dxa" w:w="1234"/>
          </w:tcPr>
          <w:p>
            <w:r>
              <w:t>$57,619</w:t>
            </w:r>
          </w:p>
        </w:tc>
        <w:tc>
          <w:tcPr>
            <w:tcW w:type="dxa" w:w="1234"/>
          </w:tcPr>
          <w:p>
            <w:r>
              <w:t>28.5%</w:t>
            </w:r>
          </w:p>
        </w:tc>
      </w:tr>
    </w:tbl>
    <w:p>
      <w:pPr>
        <w:pStyle w:val="Heading2"/>
      </w:pPr>
      <w:r>
        <w:t>Key Insights</w:t>
      </w:r>
    </w:p>
    <w:p>
      <w:pPr>
        <w:pStyle w:val="ListBullet"/>
      </w:pPr>
      <w:r>
        <w:t>Top performer: IXN with 34.51% 12-month return ($5.74M gain)</w:t>
      </w:r>
    </w:p>
    <w:p>
      <w:pPr>
        <w:pStyle w:val="ListBullet"/>
      </w:pPr>
      <w:r>
        <w:t>Growth acceleration: IXN's 18-month return (68.07%) shows accelerating growth</w:t>
      </w:r>
    </w:p>
    <w:p>
      <w:pPr>
        <w:pStyle w:val="ListBullet"/>
      </w:pPr>
      <w:r>
        <w:t>Diversification value: GLD provides commodity exposure despite moderate returns</w:t>
      </w:r>
    </w:p>
    <w:p>
      <w:pPr>
        <w:pStyle w:val="ListBullet"/>
      </w:pPr>
      <w:r>
        <w:t>Allocation imbalance: IEF (28.5% weight) contributes only 0.21% returns</w:t>
      </w:r>
    </w:p>
    <w:p>
      <w:pPr>
        <w:pStyle w:val="ListBullet"/>
      </w:pPr>
      <w:r>
        <w:t>Opportunity: Growth assets (IXN+QQQ+GLD at 67.6%) drive 92% of gains</w:t>
      </w:r>
    </w:p>
    <w:p>
      <w:r>
        <w:br w:type="page"/>
      </w:r>
    </w:p>
    <w:p>
      <w:pPr>
        <w:pStyle w:val="Heading1"/>
      </w:pPr>
      <w:r>
        <w:t>QUESTION 2: VARIANCE &amp; CORRELATION ANALYSIS</w:t>
      </w:r>
    </w:p>
    <w:p>
      <w:pPr>
        <w:pStyle w:val="Heading2"/>
      </w:pPr>
      <w:r>
        <w:t>Business Process</w:t>
      </w:r>
    </w:p>
    <w:p>
      <w:r>
        <w:t>Analyze daily return variance to measure asset volatility patterns. Variance serves as proxy for correlation analysis, showing which assets move independently (good diversification) vs together (concentration risk).</w:t>
      </w:r>
    </w:p>
    <w:p>
      <w:pPr>
        <w:pStyle w:val="Heading2"/>
      </w:pPr>
      <w:r>
        <w:t>Formula: Daily Return</w:t>
      </w:r>
    </w:p>
    <w:p>
      <w:r>
        <w:rPr>
          <w:rFonts w:ascii="Courier New" w:hAnsi="Courier New"/>
        </w:rPr>
        <w:t>Daily Return % = ((Today Price - Yesterday Price) / Yesterday Price) × 100</w:t>
        <w:br/>
        <w:br/>
      </w:r>
      <w:r>
        <w:rPr>
          <w:rFonts w:ascii="Calibri" w:hAnsi="Calibri"/>
        </w:rPr>
        <w:t>Implementation: Use LAG() window function</w:t>
        <w:br/>
        <w:t>LAG(value) OVER (PARTITION BY ticker ORDER BY date)</w:t>
        <w:br/>
        <w:t xml:space="preserve">  = previous day's price for each ticker</w:t>
      </w:r>
    </w:p>
    <w:p>
      <w:pPr>
        <w:pStyle w:val="Heading2"/>
      </w:pPr>
      <w:r>
        <w:t>Formula: Variance</w:t>
      </w:r>
    </w:p>
    <w:p>
      <w:r>
        <w:rPr>
          <w:rFonts w:ascii="Courier New" w:hAnsi="Courier New"/>
        </w:rPr>
        <w:t>Variance = Average of (Daily Return - Mean Daily Return)²</w:t>
        <w:br/>
      </w:r>
      <w:r>
        <w:rPr>
          <w:rFonts w:ascii="Courier New" w:hAnsi="Courier New"/>
        </w:rPr>
        <w:t xml:space="preserve">        = SUM((Daily Return - Mean)²) / Number of Observations</w:t>
        <w:br/>
        <w:br/>
      </w:r>
    </w:p>
    <w:p>
      <w:r>
        <w:t>Interpretation:</w:t>
        <w:br/>
        <w:t xml:space="preserve">  - High variance (&gt;3.0) = Large daily swings, unpredictable</w:t>
        <w:br/>
        <w:t xml:space="preserve">  - Medium variance (1.5-3.0) = Moderate swings</w:t>
        <w:br/>
        <w:t xml:space="preserve">  - Low variance (&lt;1.5) = Stable, predictable</w:t>
        <w:br/>
        <w:br/>
        <w:t>Note: Variance spread (Highest ÷ Lowest) shows diversification:</w:t>
        <w:br/>
        <w:t xml:space="preserve">  50:1 spread = Excellent diversification</w:t>
        <w:br/>
        <w:t xml:space="preserve">  5:1 spread = Poor diversification</w:t>
      </w:r>
    </w:p>
    <w:p>
      <w:pPr>
        <w:pStyle w:val="Heading2"/>
      </w:pPr>
      <w:r>
        <w:t>Key Assumptions</w:t>
      </w:r>
    </w:p>
    <w:p>
      <w:pPr>
        <w:pStyle w:val="ListBullet"/>
      </w:pPr>
      <w:r>
        <w:t>6-month window captures recent market correlation patterns</w:t>
      </w:r>
    </w:p>
    <w:p>
      <w:pPr>
        <w:pStyle w:val="ListBullet"/>
      </w:pPr>
      <w:r>
        <w:t>Daily returns ≥0.01% are "valid" (exclude NULL/zero values)</w:t>
      </w:r>
    </w:p>
    <w:p>
      <w:pPr>
        <w:pStyle w:val="ListBullet"/>
      </w:pPr>
      <w:r>
        <w:t>Population std dev (divide by n) is appropriate for full population analysis</w:t>
      </w:r>
    </w:p>
    <w:p>
      <w:pPr>
        <w:pStyle w:val="ListBullet"/>
      </w:pPr>
      <w:r>
        <w:t>Variance is used as proxy for correlation due to MySQL CORR() unavailability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Ticker</w:t>
            </w:r>
          </w:p>
        </w:tc>
        <w:tc>
          <w:tcPr>
            <w:tcW w:type="dxa" w:w="1728"/>
          </w:tcPr>
          <w:p>
            <w:r>
              <w:t>Variance</w:t>
            </w:r>
          </w:p>
        </w:tc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Daily Range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</w:tr>
      <w:tr>
        <w:tc>
          <w:tcPr>
            <w:tcW w:type="dxa" w:w="1728"/>
          </w:tcPr>
          <w:p>
            <w:r>
              <w:t>GLD</w:t>
            </w:r>
          </w:p>
        </w:tc>
        <w:tc>
          <w:tcPr>
            <w:tcW w:type="dxa" w:w="1728"/>
          </w:tcPr>
          <w:p>
            <w:r>
              <w:t>4.5365</w:t>
            </w:r>
          </w:p>
        </w:tc>
        <w:tc>
          <w:tcPr>
            <w:tcW w:type="dxa" w:w="1728"/>
          </w:tcPr>
          <w:p>
            <w:r>
              <w:t>2.1299%</w:t>
            </w:r>
          </w:p>
        </w:tc>
        <w:tc>
          <w:tcPr>
            <w:tcW w:type="dxa" w:w="1728"/>
          </w:tcPr>
          <w:p>
            <w:r>
              <w:t>16.63%</w:t>
            </w:r>
          </w:p>
        </w:tc>
        <w:tc>
          <w:tcPr>
            <w:tcW w:type="dxa" w:w="1728"/>
          </w:tcPr>
          <w:p>
            <w:r>
              <w:t>HIGH - Volatile</w:t>
            </w:r>
          </w:p>
        </w:tc>
      </w:tr>
      <w:tr>
        <w:tc>
          <w:tcPr>
            <w:tcW w:type="dxa" w:w="1728"/>
          </w:tcPr>
          <w:p>
            <w:r>
              <w:t>IXN</w:t>
            </w:r>
          </w:p>
        </w:tc>
        <w:tc>
          <w:tcPr>
            <w:tcW w:type="dxa" w:w="1728"/>
          </w:tcPr>
          <w:p>
            <w:r>
              <w:t>3.2471</w:t>
            </w:r>
          </w:p>
        </w:tc>
        <w:tc>
          <w:tcPr>
            <w:tcW w:type="dxa" w:w="1728"/>
          </w:tcPr>
          <w:p>
            <w:r>
              <w:t>1.8020%</w:t>
            </w:r>
          </w:p>
        </w:tc>
        <w:tc>
          <w:tcPr>
            <w:tcW w:type="dxa" w:w="1728"/>
          </w:tcPr>
          <w:p>
            <w:r>
              <w:t>12.02%</w:t>
            </w:r>
          </w:p>
        </w:tc>
        <w:tc>
          <w:tcPr>
            <w:tcW w:type="dxa" w:w="1728"/>
          </w:tcPr>
          <w:p>
            <w:r>
              <w:t>HIGH - Volatile</w:t>
            </w:r>
          </w:p>
        </w:tc>
      </w:tr>
      <w:tr>
        <w:tc>
          <w:tcPr>
            <w:tcW w:type="dxa" w:w="1728"/>
          </w:tcPr>
          <w:p>
            <w:r>
              <w:t>QQQ</w:t>
            </w:r>
          </w:p>
        </w:tc>
        <w:tc>
          <w:tcPr>
            <w:tcW w:type="dxa" w:w="1728"/>
          </w:tcPr>
          <w:p>
            <w:r>
              <w:t>1.4869</w:t>
            </w:r>
          </w:p>
        </w:tc>
        <w:tc>
          <w:tcPr>
            <w:tcW w:type="dxa" w:w="1728"/>
          </w:tcPr>
          <w:p>
            <w:r>
              <w:t>1.2194%</w:t>
            </w:r>
          </w:p>
        </w:tc>
        <w:tc>
          <w:tcPr>
            <w:tcW w:type="dxa" w:w="1728"/>
          </w:tcPr>
          <w:p>
            <w:r>
              <w:t>8.19%</w:t>
            </w:r>
          </w:p>
        </w:tc>
        <w:tc>
          <w:tcPr>
            <w:tcW w:type="dxa" w:w="1728"/>
          </w:tcPr>
          <w:p>
            <w:r>
              <w:t>LOW - Stable</w:t>
            </w:r>
          </w:p>
        </w:tc>
      </w:tr>
      <w:tr>
        <w:tc>
          <w:tcPr>
            <w:tcW w:type="dxa" w:w="1728"/>
          </w:tcPr>
          <w:p>
            <w:r>
              <w:t>VNQ</w:t>
            </w:r>
          </w:p>
        </w:tc>
        <w:tc>
          <w:tcPr>
            <w:tcW w:type="dxa" w:w="1728"/>
          </w:tcPr>
          <w:p>
            <w:r>
              <w:t>0.7613</w:t>
            </w:r>
          </w:p>
        </w:tc>
        <w:tc>
          <w:tcPr>
            <w:tcW w:type="dxa" w:w="1728"/>
          </w:tcPr>
          <w:p>
            <w:r>
              <w:t>0.8725%</w:t>
            </w:r>
          </w:p>
        </w:tc>
        <w:tc>
          <w:tcPr>
            <w:tcW w:type="dxa" w:w="1728"/>
          </w:tcPr>
          <w:p>
            <w:r>
              <w:t>5.41%</w:t>
            </w:r>
          </w:p>
        </w:tc>
        <w:tc>
          <w:tcPr>
            <w:tcW w:type="dxa" w:w="1728"/>
          </w:tcPr>
          <w:p>
            <w:r>
              <w:t>LOW - Stable</w:t>
            </w:r>
          </w:p>
        </w:tc>
      </w:tr>
      <w:tr>
        <w:tc>
          <w:tcPr>
            <w:tcW w:type="dxa" w:w="1728"/>
          </w:tcPr>
          <w:p>
            <w:r>
              <w:t>IEF</w:t>
            </w:r>
          </w:p>
        </w:tc>
        <w:tc>
          <w:tcPr>
            <w:tcW w:type="dxa" w:w="1728"/>
          </w:tcPr>
          <w:p>
            <w:r>
              <w:t>0.0932</w:t>
            </w:r>
          </w:p>
        </w:tc>
        <w:tc>
          <w:tcPr>
            <w:tcW w:type="dxa" w:w="1728"/>
          </w:tcPr>
          <w:p>
            <w:r>
              <w:t>0.3052%</w:t>
            </w:r>
          </w:p>
        </w:tc>
        <w:tc>
          <w:tcPr>
            <w:tcW w:type="dxa" w:w="1728"/>
          </w:tcPr>
          <w:p>
            <w:r>
              <w:t>1.60%</w:t>
            </w:r>
          </w:p>
        </w:tc>
        <w:tc>
          <w:tcPr>
            <w:tcW w:type="dxa" w:w="1728"/>
          </w:tcPr>
          <w:p>
            <w:r>
              <w:t>LOW - Stable</w:t>
            </w:r>
          </w:p>
        </w:tc>
      </w:tr>
    </w:tbl>
    <w:p>
      <w:pPr>
        <w:pStyle w:val="Heading2"/>
      </w:pPr>
      <w:r>
        <w:t>Key Insights</w:t>
      </w:r>
    </w:p>
    <w:p>
      <w:pPr>
        <w:pStyle w:val="ListBullet"/>
      </w:pPr>
      <w:r>
        <w:t>50:1 variance spread (4.54 ÷ 0.09) indicates EXCELLENT diversification</w:t>
      </w:r>
    </w:p>
    <w:p>
      <w:pPr>
        <w:pStyle w:val="ListBullet"/>
      </w:pPr>
      <w:r>
        <w:t>Two-tier structure: Growth assets (GLD, IXN) vs Defensive assets (QQQ, VNQ, IEF)</w:t>
      </w:r>
    </w:p>
    <w:p>
      <w:pPr>
        <w:pStyle w:val="ListBullet"/>
      </w:pPr>
      <w:r>
        <w:t>Natural hedging: When volatile assets decline, stable assets provide stability</w:t>
      </w:r>
    </w:p>
    <w:p>
      <w:pPr>
        <w:pStyle w:val="ListBullet"/>
      </w:pPr>
      <w:r>
        <w:t>Correlation benefit: Assets move independently = excellent risk reduction</w:t>
      </w:r>
    </w:p>
    <w:p>
      <w:r>
        <w:br w:type="page"/>
      </w:r>
    </w:p>
    <w:p>
      <w:pPr>
        <w:pStyle w:val="Heading1"/>
      </w:pPr>
      <w:r>
        <w:t>QUESTION 3: VOLATILITY (SIGMA) ANALYSIS</w:t>
      </w:r>
    </w:p>
    <w:p>
      <w:pPr>
        <w:pStyle w:val="Heading2"/>
      </w:pPr>
      <w:r>
        <w:t>Business Process</w:t>
      </w:r>
    </w:p>
    <w:p>
      <w:r>
        <w:t>Calculate annualized volatility (σ) to quantify annual risk. Answer: "If current volatility continues for 12 months, what's the potential annual price swing range?"</w:t>
      </w:r>
    </w:p>
    <w:p>
      <w:pPr>
        <w:pStyle w:val="Heading2"/>
      </w:pPr>
      <w:r>
        <w:t>Formula: Annualized Volatility (Sigma)</w:t>
      </w:r>
    </w:p>
    <w:p>
      <w:r>
        <w:rPr>
          <w:rFonts w:ascii="Courier New" w:hAnsi="Courier New"/>
        </w:rPr>
        <w:t>Annual Volatility (σ) = Daily Volatility × √252</w:t>
        <w:br/>
      </w:r>
      <w:r>
        <w:rPr>
          <w:rFonts w:ascii="Courier New" w:hAnsi="Courier New"/>
        </w:rPr>
        <w:t xml:space="preserve">                      = Daily Volatility × 15.87</w:t>
        <w:br/>
        <w:br/>
      </w:r>
    </w:p>
    <w:p>
      <w:r>
        <w:t>Where: √252 ≈ 15.87 (square root of 252 trading days per year)</w:t>
      </w:r>
    </w:p>
    <w:p>
      <w:pPr>
        <w:pStyle w:val="Heading2"/>
      </w:pPr>
      <w:r>
        <w:t>Formula: Expected Annual Price Swing</w:t>
      </w:r>
    </w:p>
    <w:p>
      <w:r>
        <w:rPr>
          <w:rFonts w:ascii="Courier New" w:hAnsi="Courier New"/>
        </w:rPr>
        <w:t>Swing Range = Portfolio Value × Annual Volatility</w:t>
        <w:br/>
      </w:r>
      <w:r>
        <w:rPr>
          <w:rFonts w:ascii="Courier New" w:hAnsi="Courier New"/>
        </w:rPr>
        <w:t xml:space="preserve">            = $95M × 16.84%</w:t>
        <w:br/>
      </w:r>
      <w:r>
        <w:rPr>
          <w:rFonts w:ascii="Courier New" w:hAnsi="Courier New"/>
        </w:rPr>
        <w:t xml:space="preserve">            = ±$16.0M</w:t>
        <w:br/>
        <w:br/>
      </w:r>
    </w:p>
    <w:p>
      <w:r>
        <w:t>Best Case: $95M × (1 + 0.1684) = $111.0M</w:t>
      </w:r>
    </w:p>
    <w:p>
      <w:r>
        <w:t>Worst Case: $95M × (1 - 0.1684) = $78.9M</w:t>
      </w:r>
    </w:p>
    <w:p>
      <w:r>
        <w:t>Annual Range: $78.9M to $111.0M</w:t>
      </w:r>
    </w:p>
    <w:p>
      <w:pPr>
        <w:pStyle w:val="Heading2"/>
      </w:pPr>
      <w:r>
        <w:t>Key Assumptions</w:t>
      </w:r>
    </w:p>
    <w:p>
      <w:pPr>
        <w:pStyle w:val="ListBullet"/>
      </w:pPr>
      <w:r>
        <w:t>12-month window appropriately represents annualized risk</w:t>
      </w:r>
    </w:p>
    <w:p>
      <w:pPr>
        <w:pStyle w:val="ListBullet"/>
      </w:pPr>
      <w:r>
        <w:t>√252 is the standard industry scaling factor</w:t>
      </w:r>
    </w:p>
    <w:p>
      <w:pPr>
        <w:pStyle w:val="ListBullet"/>
      </w:pPr>
      <w:r>
        <w:t>Population std dev used (divide by n, not n-1)</w:t>
      </w:r>
    </w:p>
    <w:p>
      <w:pPr>
        <w:pStyle w:val="ListBullet"/>
      </w:pPr>
      <w:r>
        <w:t>Historical volatility pattern continues forward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Ticker</w:t>
            </w:r>
          </w:p>
        </w:tc>
        <w:tc>
          <w:tcPr>
            <w:tcW w:type="dxa" w:w="1440"/>
          </w:tcPr>
          <w:p>
            <w:r>
              <w:t>Daily Vol %</w:t>
            </w:r>
          </w:p>
        </w:tc>
        <w:tc>
          <w:tcPr>
            <w:tcW w:type="dxa" w:w="1440"/>
          </w:tcPr>
          <w:p>
            <w:r>
              <w:t>Annual Sigma %</w:t>
            </w:r>
          </w:p>
        </w:tc>
        <w:tc>
          <w:tcPr>
            <w:tcW w:type="dxa" w:w="1440"/>
          </w:tcPr>
          <w:p>
            <w:r>
              <w:t>Risk Level</w:t>
            </w:r>
          </w:p>
        </w:tc>
        <w:tc>
          <w:tcPr>
            <w:tcW w:type="dxa" w:w="1440"/>
          </w:tcPr>
          <w:p>
            <w:r>
              <w:t>Best Case</w:t>
            </w:r>
          </w:p>
        </w:tc>
        <w:tc>
          <w:tcPr>
            <w:tcW w:type="dxa" w:w="1440"/>
          </w:tcPr>
          <w:p>
            <w:r>
              <w:t>Worst Case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1.7227%</w:t>
            </w:r>
          </w:p>
        </w:tc>
        <w:tc>
          <w:tcPr>
            <w:tcW w:type="dxa" w:w="1440"/>
          </w:tcPr>
          <w:p>
            <w:r>
              <w:t>27.35%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+$26.0M</w:t>
            </w:r>
          </w:p>
        </w:tc>
        <w:tc>
          <w:tcPr>
            <w:tcW w:type="dxa" w:w="1440"/>
          </w:tcPr>
          <w:p>
            <w:r>
              <w:t>-$26.0M</w:t>
            </w:r>
          </w:p>
        </w:tc>
      </w:tr>
      <w:tr>
        <w:tc>
          <w:tcPr>
            <w:tcW w:type="dxa" w:w="1440"/>
          </w:tcPr>
          <w:p>
            <w:r>
              <w:t>IXN</w:t>
            </w:r>
          </w:p>
        </w:tc>
        <w:tc>
          <w:tcPr>
            <w:tcW w:type="dxa" w:w="1440"/>
          </w:tcPr>
          <w:p>
            <w:r>
              <w:t>1.5135%</w:t>
            </w:r>
          </w:p>
        </w:tc>
        <w:tc>
          <w:tcPr>
            <w:tcW w:type="dxa" w:w="1440"/>
          </w:tcPr>
          <w:p>
            <w:r>
              <w:t>24.03%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+$22.8M</w:t>
            </w:r>
          </w:p>
        </w:tc>
        <w:tc>
          <w:tcPr>
            <w:tcW w:type="dxa" w:w="1440"/>
          </w:tcPr>
          <w:p>
            <w:r>
              <w:t>-$22.8M</w:t>
            </w:r>
          </w:p>
        </w:tc>
      </w:tr>
      <w:tr>
        <w:tc>
          <w:tcPr>
            <w:tcW w:type="dxa" w:w="1440"/>
          </w:tcPr>
          <w:p>
            <w:r>
              <w:t>QQQ</w:t>
            </w:r>
          </w:p>
        </w:tc>
        <w:tc>
          <w:tcPr>
            <w:tcW w:type="dxa" w:w="1440"/>
          </w:tcPr>
          <w:p>
            <w:r>
              <w:t>1.0830%</w:t>
            </w:r>
          </w:p>
        </w:tc>
        <w:tc>
          <w:tcPr>
            <w:tcW w:type="dxa" w:w="1440"/>
          </w:tcPr>
          <w:p>
            <w:r>
              <w:t>17.19%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+$16.3M</w:t>
            </w:r>
          </w:p>
        </w:tc>
        <w:tc>
          <w:tcPr>
            <w:tcW w:type="dxa" w:w="1440"/>
          </w:tcPr>
          <w:p>
            <w:r>
              <w:t>-$16.3M</w:t>
            </w:r>
          </w:p>
        </w:tc>
      </w:tr>
      <w:tr>
        <w:tc>
          <w:tcPr>
            <w:tcW w:type="dxa" w:w="1440"/>
          </w:tcPr>
          <w:p>
            <w:r>
              <w:t>VNQ</w:t>
            </w:r>
          </w:p>
        </w:tc>
        <w:tc>
          <w:tcPr>
            <w:tcW w:type="dxa" w:w="1440"/>
          </w:tcPr>
          <w:p>
            <w:r>
              <w:t>0.8523%</w:t>
            </w:r>
          </w:p>
        </w:tc>
        <w:tc>
          <w:tcPr>
            <w:tcW w:type="dxa" w:w="1440"/>
          </w:tcPr>
          <w:p>
            <w:r>
              <w:t>13.53%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+$12.8M</w:t>
            </w:r>
          </w:p>
        </w:tc>
        <w:tc>
          <w:tcPr>
            <w:tcW w:type="dxa" w:w="1440"/>
          </w:tcPr>
          <w:p>
            <w:r>
              <w:t>-$12.8M</w:t>
            </w:r>
          </w:p>
        </w:tc>
      </w:tr>
      <w:tr>
        <w:tc>
          <w:tcPr>
            <w:tcW w:type="dxa" w:w="1440"/>
          </w:tcPr>
          <w:p>
            <w:r>
              <w:t>IEF</w:t>
            </w:r>
          </w:p>
        </w:tc>
        <w:tc>
          <w:tcPr>
            <w:tcW w:type="dxa" w:w="1440"/>
          </w:tcPr>
          <w:p>
            <w:r>
              <w:t>0.2962%</w:t>
            </w:r>
          </w:p>
        </w:tc>
        <w:tc>
          <w:tcPr>
            <w:tcW w:type="dxa" w:w="1440"/>
          </w:tcPr>
          <w:p>
            <w:r>
              <w:t>4.70%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+$4.5M</w:t>
            </w:r>
          </w:p>
        </w:tc>
        <w:tc>
          <w:tcPr>
            <w:tcW w:type="dxa" w:w="1440"/>
          </w:tcPr>
          <w:p>
            <w:r>
              <w:t>-$4.5M</w:t>
            </w:r>
          </w:p>
        </w:tc>
      </w:tr>
    </w:tbl>
    <w:p/>
    <w:p>
      <w:pPr>
        <w:pStyle w:val="Heading3"/>
      </w:pPr>
      <w:r>
        <w:t>Portfolio Weighted Volatility: 16.84%</w:t>
      </w:r>
    </w:p>
    <w:p>
      <w:r>
        <w:br w:type="page"/>
      </w:r>
    </w:p>
    <w:p>
      <w:pPr>
        <w:pStyle w:val="Heading1"/>
      </w:pPr>
      <w:r>
        <w:t>QUESTION 4: SHARPE RATIO ANALYSIS</w:t>
      </w:r>
    </w:p>
    <w:p>
      <w:pPr>
        <w:pStyle w:val="Heading2"/>
      </w:pPr>
      <w:r>
        <w:t>Business Process</w:t>
      </w:r>
    </w:p>
    <w:p>
      <w:r>
        <w:t>Calculate Sharpe Ratio to measure risk-adjusted returns. Identifies which holdings provide best "bang for buck" - excess return per unit of risk taken. Critical for optimization decisions.</w:t>
      </w:r>
    </w:p>
    <w:p>
      <w:pPr>
        <w:pStyle w:val="Heading2"/>
      </w:pPr>
      <w:r>
        <w:t>Formula: Sharpe Ratio (KEY FORMULA)</w:t>
      </w:r>
    </w:p>
    <w:p>
      <w:r>
        <w:rPr>
          <w:rFonts w:ascii="Courier New" w:hAnsi="Courier New"/>
        </w:rPr>
        <w:t>Sharpe Ratio = (Expected Annual Return - Risk-Free Rate) / Annual Volatility</w:t>
        <w:br/>
      </w:r>
      <w:r>
        <w:rPr>
          <w:rFonts w:ascii="Courier New" w:hAnsi="Courier New"/>
        </w:rPr>
        <w:t xml:space="preserve">            = (Expected Annual Return - 2%) / Annual Volatility</w:t>
        <w:br/>
        <w:br/>
      </w:r>
    </w:p>
    <w:p>
      <w:r>
        <w:t>Interpretation:</w:t>
        <w:br/>
        <w:t xml:space="preserve">  Sharpe 2.0 = Earn $2.00 excess return per 1% of volatility (EXCELLENT)</w:t>
        <w:br/>
        <w:t xml:space="preserve">  Sharpe 1.5 = Earn $1.50 excess return per 1% of volatility (EXCELLENT)</w:t>
        <w:br/>
        <w:t xml:space="preserve">  Sharpe 1.0 = Earn $1.00 excess return per 1% of volatility (GOOD)</w:t>
        <w:br/>
        <w:t xml:space="preserve">  Sharpe 0.8 = Earn $0.80 excess return per 1% of volatility (ACCEPTABLE)</w:t>
        <w:br/>
        <w:t xml:space="preserve">  Sharpe 0.5 = Earn $0.50 excess return per 1% of volatility (POOR)</w:t>
        <w:br/>
        <w:t xml:space="preserve">  Sharpe 0.3 = Earn $0.30 excess return per 1% of volatility (VERY POOR)</w:t>
      </w:r>
    </w:p>
    <w:p>
      <w:pPr>
        <w:pStyle w:val="Heading3"/>
      </w:pPr>
      <w:r>
        <w:t>Example Calculation for IXN:</w:t>
      </w:r>
    </w:p>
    <w:p>
      <w:r>
        <w:t>Expected Return: 50.30%</w:t>
      </w:r>
    </w:p>
    <w:p>
      <w:r>
        <w:t>Volatility: 24.03%</w:t>
      </w:r>
    </w:p>
    <w:p>
      <w:r>
        <w:t>Sharpe = (50.30% - 2%) / 24.03% = 48.30% / 24.03% = 2.01</w:t>
      </w:r>
    </w:p>
    <w:p>
      <w:r>
        <w:t>Meaning: For every 1% of risk, IXN earns $2.01 excess return</w:t>
      </w:r>
    </w:p>
    <w:p>
      <w:pPr>
        <w:pStyle w:val="Heading2"/>
      </w:pPr>
      <w:r>
        <w:t>Recommendation Thresholds</w:t>
      </w:r>
    </w:p>
    <w:p>
      <w:pPr>
        <w:pStyle w:val="ListBullet"/>
      </w:pPr>
      <w:r>
        <w:t>Sharpe &gt; 0.8  → STRONG BUY (increase allocation)</w:t>
      </w:r>
    </w:p>
    <w:p>
      <w:pPr>
        <w:pStyle w:val="ListBullet"/>
      </w:pPr>
      <w:r>
        <w:t>Sharpe &gt; 0.5  → BUY (good value, consider increasing)</w:t>
      </w:r>
    </w:p>
    <w:p>
      <w:pPr>
        <w:pStyle w:val="ListBullet"/>
      </w:pPr>
      <w:r>
        <w:t>Sharpe &gt; 0.2  → HOLD (acceptable value, maintain allocation)</w:t>
      </w:r>
    </w:p>
    <w:p>
      <w:pPr>
        <w:pStyle w:val="ListBullet"/>
      </w:pPr>
      <w:r>
        <w:t>Sharpe ≤ 0.2  → SELL (poor value, reduce or eliminate)</w:t>
      </w:r>
    </w:p>
    <w:p>
      <w:pPr>
        <w:pStyle w:val="Heading2"/>
      </w:pPr>
      <w:r>
        <w:t>Key Assumptions</w:t>
      </w:r>
    </w:p>
    <w:p>
      <w:pPr>
        <w:pStyle w:val="ListBullet"/>
      </w:pPr>
      <w:r>
        <w:t>2% risk-free rate appropriately benchmarks US Treasury baseline</w:t>
      </w:r>
    </w:p>
    <w:p>
      <w:pPr>
        <w:pStyle w:val="ListBullet"/>
      </w:pPr>
      <w:r>
        <w:t>12-month window is representative of expected future returns</w:t>
      </w:r>
    </w:p>
    <w:p>
      <w:pPr>
        <w:pStyle w:val="ListBullet"/>
      </w:pPr>
      <w:r>
        <w:t>Historical volatility patterns continue forward</w:t>
      </w:r>
    </w:p>
    <w:p>
      <w:pPr>
        <w:pStyle w:val="ListBullet"/>
      </w:pPr>
      <w:r>
        <w:t>All holdings are comparably benchmarked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Ticker</w:t>
            </w:r>
          </w:p>
        </w:tc>
        <w:tc>
          <w:tcPr>
            <w:tcW w:type="dxa" w:w="1440"/>
          </w:tcPr>
          <w:p>
            <w:r>
              <w:t>Expected Return %</w:t>
            </w:r>
          </w:p>
        </w:tc>
        <w:tc>
          <w:tcPr>
            <w:tcW w:type="dxa" w:w="1440"/>
          </w:tcPr>
          <w:p>
            <w:r>
              <w:t>Volatility %</w:t>
            </w:r>
          </w:p>
        </w:tc>
        <w:tc>
          <w:tcPr>
            <w:tcW w:type="dxa" w:w="1440"/>
          </w:tcPr>
          <w:p>
            <w:r>
              <w:t>Sharpe Ratio</w:t>
            </w:r>
          </w:p>
        </w:tc>
        <w:tc>
          <w:tcPr>
            <w:tcW w:type="dxa" w:w="1440"/>
          </w:tcPr>
          <w:p>
            <w:r>
              <w:t>Excess Return/Risk</w:t>
            </w:r>
          </w:p>
        </w:tc>
        <w:tc>
          <w:tcPr>
            <w:tcW w:type="dxa" w:w="1440"/>
          </w:tcPr>
          <w:p>
            <w:r>
              <w:t>Recommendation</w:t>
            </w:r>
          </w:p>
        </w:tc>
      </w:tr>
      <w:tr>
        <w:tc>
          <w:tcPr>
            <w:tcW w:type="dxa" w:w="1440"/>
          </w:tcPr>
          <w:p>
            <w:r>
              <w:t>IXN</w:t>
            </w:r>
          </w:p>
        </w:tc>
        <w:tc>
          <w:tcPr>
            <w:tcW w:type="dxa" w:w="1440"/>
          </w:tcPr>
          <w:p>
            <w:r>
              <w:t>50.30%</w:t>
            </w:r>
          </w:p>
        </w:tc>
        <w:tc>
          <w:tcPr>
            <w:tcW w:type="dxa" w:w="1440"/>
          </w:tcPr>
          <w:p>
            <w:r>
              <w:t>24.03%</w:t>
            </w:r>
          </w:p>
        </w:tc>
        <w:tc>
          <w:tcPr>
            <w:tcW w:type="dxa" w:w="1440"/>
          </w:tcPr>
          <w:p>
            <w:r>
              <w:t>2.0104</w:t>
            </w:r>
          </w:p>
        </w:tc>
        <w:tc>
          <w:tcPr>
            <w:tcW w:type="dxa" w:w="1440"/>
          </w:tcPr>
          <w:p>
            <w:r>
              <w:t>$2.01 per 1% risk</w:t>
            </w:r>
          </w:p>
        </w:tc>
        <w:tc>
          <w:tcPr>
            <w:tcW w:type="dxa" w:w="1440"/>
          </w:tcPr>
          <w:p>
            <w:r>
              <w:t>STRONG BUY</w:t>
            </w:r>
          </w:p>
        </w:tc>
      </w:tr>
      <w:tr>
        <w:tc>
          <w:tcPr>
            <w:tcW w:type="dxa" w:w="1440"/>
          </w:tcPr>
          <w:p>
            <w:r>
              <w:t>QQQ</w:t>
            </w:r>
          </w:p>
        </w:tc>
        <w:tc>
          <w:tcPr>
            <w:tcW w:type="dxa" w:w="1440"/>
          </w:tcPr>
          <w:p>
            <w:r>
              <w:t>32.24%</w:t>
            </w:r>
          </w:p>
        </w:tc>
        <w:tc>
          <w:tcPr>
            <w:tcW w:type="dxa" w:w="1440"/>
          </w:tcPr>
          <w:p>
            <w:r>
              <w:t>17.19%</w:t>
            </w:r>
          </w:p>
        </w:tc>
        <w:tc>
          <w:tcPr>
            <w:tcW w:type="dxa" w:w="1440"/>
          </w:tcPr>
          <w:p>
            <w:r>
              <w:t>1.7589</w:t>
            </w:r>
          </w:p>
        </w:tc>
        <w:tc>
          <w:tcPr>
            <w:tcW w:type="dxa" w:w="1440"/>
          </w:tcPr>
          <w:p>
            <w:r>
              <w:t>$1.76 per 1% risk</w:t>
            </w:r>
          </w:p>
        </w:tc>
        <w:tc>
          <w:tcPr>
            <w:tcW w:type="dxa" w:w="1440"/>
          </w:tcPr>
          <w:p>
            <w:r>
              <w:t>STRONG BUY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25.24%</w:t>
            </w:r>
          </w:p>
        </w:tc>
        <w:tc>
          <w:tcPr>
            <w:tcW w:type="dxa" w:w="1440"/>
          </w:tcPr>
          <w:p>
            <w:r>
              <w:t>27.35%</w:t>
            </w:r>
          </w:p>
        </w:tc>
        <w:tc>
          <w:tcPr>
            <w:tcW w:type="dxa" w:w="1440"/>
          </w:tcPr>
          <w:p>
            <w:r>
              <w:t>0.8499</w:t>
            </w:r>
          </w:p>
        </w:tc>
        <w:tc>
          <w:tcPr>
            <w:tcW w:type="dxa" w:w="1440"/>
          </w:tcPr>
          <w:p>
            <w:r>
              <w:t>$0.85 per 1% risk</w:t>
            </w:r>
          </w:p>
        </w:tc>
        <w:tc>
          <w:tcPr>
            <w:tcW w:type="dxa" w:w="1440"/>
          </w:tcPr>
          <w:p>
            <w:r>
              <w:t>STRONG BUY</w:t>
            </w:r>
          </w:p>
        </w:tc>
      </w:tr>
      <w:tr>
        <w:tc>
          <w:tcPr>
            <w:tcW w:type="dxa" w:w="1440"/>
          </w:tcPr>
          <w:p>
            <w:r>
              <w:t>VNQ</w:t>
            </w:r>
          </w:p>
        </w:tc>
        <w:tc>
          <w:tcPr>
            <w:tcW w:type="dxa" w:w="1440"/>
          </w:tcPr>
          <w:p>
            <w:r>
              <w:t>13.12%</w:t>
            </w:r>
          </w:p>
        </w:tc>
        <w:tc>
          <w:tcPr>
            <w:tcW w:type="dxa" w:w="1440"/>
          </w:tcPr>
          <w:p>
            <w:r>
              <w:t>13.53%</w:t>
            </w:r>
          </w:p>
        </w:tc>
        <w:tc>
          <w:tcPr>
            <w:tcW w:type="dxa" w:w="1440"/>
          </w:tcPr>
          <w:p>
            <w:r>
              <w:t>0.8217</w:t>
            </w:r>
          </w:p>
        </w:tc>
        <w:tc>
          <w:tcPr>
            <w:tcW w:type="dxa" w:w="1440"/>
          </w:tcPr>
          <w:p>
            <w:r>
              <w:t>$0.82 per 1% risk</w:t>
            </w:r>
          </w:p>
        </w:tc>
        <w:tc>
          <w:tcPr>
            <w:tcW w:type="dxa" w:w="1440"/>
          </w:tcPr>
          <w:p>
            <w:r>
              <w:t>STRONG BUY</w:t>
            </w:r>
          </w:p>
        </w:tc>
      </w:tr>
      <w:tr>
        <w:tc>
          <w:tcPr>
            <w:tcW w:type="dxa" w:w="1440"/>
          </w:tcPr>
          <w:p>
            <w:r>
              <w:t>IEF</w:t>
            </w:r>
          </w:p>
        </w:tc>
        <w:tc>
          <w:tcPr>
            <w:tcW w:type="dxa" w:w="1440"/>
          </w:tcPr>
          <w:p>
            <w:r>
              <w:t>3.46%</w:t>
            </w:r>
          </w:p>
        </w:tc>
        <w:tc>
          <w:tcPr>
            <w:tcW w:type="dxa" w:w="1440"/>
          </w:tcPr>
          <w:p>
            <w:r>
              <w:t>4.70%</w:t>
            </w:r>
          </w:p>
        </w:tc>
        <w:tc>
          <w:tcPr>
            <w:tcW w:type="dxa" w:w="1440"/>
          </w:tcPr>
          <w:p>
            <w:r>
              <w:t>0.3105</w:t>
            </w:r>
          </w:p>
        </w:tc>
        <w:tc>
          <w:tcPr>
            <w:tcW w:type="dxa" w:w="1440"/>
          </w:tcPr>
          <w:p>
            <w:r>
              <w:t>$0.31 per 1% risk</w:t>
            </w:r>
          </w:p>
        </w:tc>
        <w:tc>
          <w:tcPr>
            <w:tcW w:type="dxa" w:w="1440"/>
          </w:tcPr>
          <w:p>
            <w:r>
              <w:t>HOLD</w:t>
            </w:r>
          </w:p>
        </w:tc>
      </w:tr>
    </w:tbl>
    <w:p>
      <w:pPr>
        <w:pStyle w:val="Heading2"/>
      </w:pPr>
      <w:r>
        <w:t>Key Insights</w:t>
      </w:r>
    </w:p>
    <w:p>
      <w:pPr>
        <w:pStyle w:val="ListBullet"/>
      </w:pPr>
      <w:r>
        <w:t>Quality ranking: IXN (2.01) &gt;&gt; QQQ (1.76) &gt; GLD (0.85) ≈ VNQ (0.82) &gt;&gt; IEF (0.31)</w:t>
      </w:r>
    </w:p>
    <w:p>
      <w:pPr>
        <w:pStyle w:val="ListBullet"/>
      </w:pPr>
      <w:r>
        <w:t>Valuation gap: IXN is 6.5x better than IEF per unit of risk</w:t>
      </w:r>
    </w:p>
    <w:p>
      <w:pPr>
        <w:pStyle w:val="ListBullet"/>
      </w:pPr>
      <w:r>
        <w:t>Current allocation problem: Overweighting worst performer (IEF 28.5%), underweighting good performers</w:t>
      </w:r>
    </w:p>
    <w:p>
      <w:pPr>
        <w:pStyle w:val="ListBullet"/>
      </w:pPr>
      <w:r>
        <w:t>Bond performance crisis: IEF earning only 3.46% return means bonds are not worth holding at current 28.5% allocation</w:t>
      </w:r>
    </w:p>
    <w:p>
      <w:r>
        <w:br w:type="page"/>
      </w:r>
    </w:p>
    <w:p>
      <w:pPr>
        <w:pStyle w:val="Heading1"/>
      </w:pPr>
      <w:r>
        <w:t>QUESTION 5: REBALANCING PROPOSAL</w:t>
      </w:r>
    </w:p>
    <w:p>
      <w:pPr>
        <w:pStyle w:val="Heading2"/>
      </w:pPr>
      <w:r>
        <w:t>Business Process</w:t>
      </w:r>
    </w:p>
    <w:p>
      <w:r>
        <w:t>Propose optimal portfolio rebalancing by ranking holdings by Sharpe Ratio and reallocating capital from low-Sharpe to high-Sharpe positions. Goal: Maximize risk-adjusted returns.</w:t>
      </w:r>
    </w:p>
    <w:p>
      <w:pPr>
        <w:pStyle w:val="Heading2"/>
      </w:pPr>
      <w:r>
        <w:t>Formula: Trade Amount Calculation</w:t>
      </w:r>
    </w:p>
    <w:p>
      <w:r>
        <w:rPr>
          <w:rFonts w:ascii="Courier New" w:hAnsi="Courier New"/>
        </w:rPr>
        <w:t>Trade Amount $ = (Proposed Weight % - Current Weight %) × Total Portfolio</w:t>
        <w:br/>
      </w:r>
      <w:r>
        <w:rPr>
          <w:rFonts w:ascii="Courier New" w:hAnsi="Courier New"/>
        </w:rPr>
        <w:t xml:space="preserve">               = (Proposed % - Current %) × $95M</w:t>
        <w:br/>
        <w:br/>
      </w:r>
    </w:p>
    <w:p>
      <w:r>
        <w:t>Examples:</w:t>
        <w:br/>
        <w:t xml:space="preserve">  IXN: (20.0% - 17.5%) × $95M = 2.5% × $95M = $2.375M ≈ $2.4M (BUY)</w:t>
        <w:br/>
        <w:t xml:space="preserve">  IEF: (15.0% - 28.5%) × $95M = -13.5% × $95M = -$12.825M ≈ $12.8M (SELL)</w:t>
      </w:r>
    </w:p>
    <w:p>
      <w:pPr>
        <w:pStyle w:val="Heading2"/>
      </w:pPr>
      <w:r>
        <w:t>Proposed Rebalancing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Ticker</w:t>
            </w:r>
          </w:p>
        </w:tc>
        <w:tc>
          <w:tcPr>
            <w:tcW w:type="dxa" w:w="1728"/>
          </w:tcPr>
          <w:p>
            <w:r>
              <w:t>Current %</w:t>
            </w:r>
          </w:p>
        </w:tc>
        <w:tc>
          <w:tcPr>
            <w:tcW w:type="dxa" w:w="1728"/>
          </w:tcPr>
          <w:p>
            <w:r>
              <w:t>Proposed %</w:t>
            </w:r>
          </w:p>
        </w:tc>
        <w:tc>
          <w:tcPr>
            <w:tcW w:type="dxa" w:w="1728"/>
          </w:tcPr>
          <w:p>
            <w:r>
              <w:t>Trade $M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</w:tr>
      <w:tr>
        <w:tc>
          <w:tcPr>
            <w:tcW w:type="dxa" w:w="1728"/>
          </w:tcPr>
          <w:p>
            <w:r>
              <w:t>IXN</w:t>
            </w:r>
          </w:p>
        </w:tc>
        <w:tc>
          <w:tcPr>
            <w:tcW w:type="dxa" w:w="1728"/>
          </w:tcPr>
          <w:p>
            <w:r>
              <w:t>17.5%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+2.4</w:t>
            </w:r>
          </w:p>
        </w:tc>
        <w:tc>
          <w:tcPr>
            <w:tcW w:type="dxa" w:w="1728"/>
          </w:tcPr>
          <w:p>
            <w:r>
              <w:t>BUY (Sharpe 2.01)</w:t>
            </w:r>
          </w:p>
        </w:tc>
      </w:tr>
      <w:tr>
        <w:tc>
          <w:tcPr>
            <w:tcW w:type="dxa" w:w="1728"/>
          </w:tcPr>
          <w:p>
            <w:r>
              <w:t>QQQ</w:t>
            </w:r>
          </w:p>
        </w:tc>
        <w:tc>
          <w:tcPr>
            <w:tcW w:type="dxa" w:w="1728"/>
          </w:tcPr>
          <w:p>
            <w:r>
              <w:t>22.1%</w:t>
            </w:r>
          </w:p>
        </w:tc>
        <w:tc>
          <w:tcPr>
            <w:tcW w:type="dxa" w:w="1728"/>
          </w:tcPr>
          <w:p>
            <w:r>
              <w:t>25.0%</w:t>
            </w:r>
          </w:p>
        </w:tc>
        <w:tc>
          <w:tcPr>
            <w:tcW w:type="dxa" w:w="1728"/>
          </w:tcPr>
          <w:p>
            <w:r>
              <w:t>+2.8</w:t>
            </w:r>
          </w:p>
        </w:tc>
        <w:tc>
          <w:tcPr>
            <w:tcW w:type="dxa" w:w="1728"/>
          </w:tcPr>
          <w:p>
            <w:r>
              <w:t>BUY (Sharpe 1.76)</w:t>
            </w:r>
          </w:p>
        </w:tc>
      </w:tr>
      <w:tr>
        <w:tc>
          <w:tcPr>
            <w:tcW w:type="dxa" w:w="1728"/>
          </w:tcPr>
          <w:p>
            <w:r>
              <w:t>GLD</w:t>
            </w:r>
          </w:p>
        </w:tc>
        <w:tc>
          <w:tcPr>
            <w:tcW w:type="dxa" w:w="1728"/>
          </w:tcPr>
          <w:p>
            <w:r>
              <w:t>23.0%</w:t>
            </w:r>
          </w:p>
        </w:tc>
        <w:tc>
          <w:tcPr>
            <w:tcW w:type="dxa" w:w="1728"/>
          </w:tcPr>
          <w:p>
            <w:r>
              <w:t>22.0%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HOLD (Sharpe 0.85)</w:t>
            </w:r>
          </w:p>
        </w:tc>
      </w:tr>
      <w:tr>
        <w:tc>
          <w:tcPr>
            <w:tcW w:type="dxa" w:w="1728"/>
          </w:tcPr>
          <w:p>
            <w:r>
              <w:t>VNQ</w:t>
            </w:r>
          </w:p>
        </w:tc>
        <w:tc>
          <w:tcPr>
            <w:tcW w:type="dxa" w:w="1728"/>
          </w:tcPr>
          <w:p>
            <w:r>
              <w:t>8.9%</w:t>
            </w:r>
          </w:p>
        </w:tc>
        <w:tc>
          <w:tcPr>
            <w:tcW w:type="dxa" w:w="1728"/>
          </w:tcPr>
          <w:p>
            <w:r>
              <w:t>18.0%</w:t>
            </w:r>
          </w:p>
        </w:tc>
        <w:tc>
          <w:tcPr>
            <w:tcW w:type="dxa" w:w="1728"/>
          </w:tcPr>
          <w:p>
            <w:r>
              <w:t>+8.6</w:t>
            </w:r>
          </w:p>
        </w:tc>
        <w:tc>
          <w:tcPr>
            <w:tcW w:type="dxa" w:w="1728"/>
          </w:tcPr>
          <w:p>
            <w:r>
              <w:t>BUY (Sharpe 0.82)</w:t>
            </w:r>
          </w:p>
        </w:tc>
      </w:tr>
      <w:tr>
        <w:tc>
          <w:tcPr>
            <w:tcW w:type="dxa" w:w="1728"/>
          </w:tcPr>
          <w:p>
            <w:r>
              <w:t>IEF</w:t>
            </w:r>
          </w:p>
        </w:tc>
        <w:tc>
          <w:tcPr>
            <w:tcW w:type="dxa" w:w="1728"/>
          </w:tcPr>
          <w:p>
            <w:r>
              <w:t>28.5%</w:t>
            </w:r>
          </w:p>
        </w:tc>
        <w:tc>
          <w:tcPr>
            <w:tcW w:type="dxa" w:w="1728"/>
          </w:tcPr>
          <w:p>
            <w:r>
              <w:t>15.0%</w:t>
            </w:r>
          </w:p>
        </w:tc>
        <w:tc>
          <w:tcPr>
            <w:tcW w:type="dxa" w:w="1728"/>
          </w:tcPr>
          <w:p>
            <w:r>
              <w:t>-12.8</w:t>
            </w:r>
          </w:p>
        </w:tc>
        <w:tc>
          <w:tcPr>
            <w:tcW w:type="dxa" w:w="1728"/>
          </w:tcPr>
          <w:p>
            <w:r>
              <w:t>SELL (Sharpe 0.31)</w:t>
            </w:r>
          </w:p>
        </w:tc>
      </w:tr>
    </w:tbl>
    <w:p>
      <w:pPr>
        <w:pStyle w:val="Heading2"/>
      </w:pPr>
      <w:r>
        <w:t>Trade Execution Summary</w:t>
      </w:r>
    </w:p>
    <w:p>
      <w:r>
        <w:t>Total Buys: $14.0M (IXN $2.4M + QQQ $2.8M + VNQ $8.6M)</w:t>
      </w:r>
    </w:p>
    <w:p>
      <w:r>
        <w:t>Total Sells: $13.8M (GLD $1.0M + IEF $12.8M)</w:t>
      </w:r>
    </w:p>
    <w:p>
      <w:r>
        <w:t>Net Trade: Balanced (buys ≈ sells)</w:t>
      </w:r>
    </w:p>
    <w:p>
      <w:pPr>
        <w:pStyle w:val="Heading2"/>
      </w:pPr>
      <w:r>
        <w:t>Portfolio Transformation</w:t>
      </w:r>
    </w:p>
    <w:p>
      <w:r>
        <w:t>BEFORE:</w:t>
      </w:r>
    </w:p>
    <w:p>
      <w:pPr>
        <w:pStyle w:val="ListBullet"/>
      </w:pPr>
      <w:r>
        <w:t xml:space="preserve">  Growth (IXN + QQQ): 39.6%</w:t>
      </w:r>
    </w:p>
    <w:p>
      <w:pPr>
        <w:pStyle w:val="ListBullet"/>
      </w:pPr>
      <w:r>
        <w:t xml:space="preserve">  Defensive (IEF + VNQ): 37.4%</w:t>
      </w:r>
    </w:p>
    <w:p>
      <w:pPr>
        <w:pStyle w:val="ListBullet"/>
      </w:pPr>
      <w:r>
        <w:t xml:space="preserve">  Hedge (GLD): 23.0%</w:t>
      </w:r>
    </w:p>
    <w:p>
      <w:r>
        <w:t>AFTER:</w:t>
      </w:r>
    </w:p>
    <w:p>
      <w:pPr>
        <w:pStyle w:val="ListBullet"/>
      </w:pPr>
      <w:r>
        <w:t xml:space="preserve">  Growth (IXN + QQQ): 45.0% (+5.4%)</w:t>
      </w:r>
    </w:p>
    <w:p>
      <w:pPr>
        <w:pStyle w:val="ListBullet"/>
      </w:pPr>
      <w:r>
        <w:t xml:space="preserve">  Defensive (IEF + VNQ): 33.0% (-4.4%)</w:t>
      </w:r>
    </w:p>
    <w:p>
      <w:pPr>
        <w:pStyle w:val="ListBullet"/>
      </w:pPr>
      <w:r>
        <w:t xml:space="preserve">  Hedge (GLD): 22.0% (-1.0%)</w:t>
      </w:r>
    </w:p>
    <w:p>
      <w:pPr>
        <w:pStyle w:val="Heading2"/>
      </w:pPr>
      <w:r>
        <w:t>Expected Outcomes</w:t>
      </w:r>
    </w:p>
    <w:p>
      <w:pPr>
        <w:pStyle w:val="ListBullet"/>
      </w:pPr>
      <w:r>
        <w:t>Expected return increases: 2-3% annually</w:t>
      </w:r>
    </w:p>
    <w:p>
      <w:pPr>
        <w:pStyle w:val="ListBullet"/>
      </w:pPr>
      <w:r>
        <w:t>Volatility: Slight increase to 17-18% (still MODERATE)</w:t>
      </w:r>
    </w:p>
    <w:p>
      <w:pPr>
        <w:pStyle w:val="ListBullet"/>
      </w:pPr>
      <w:r>
        <w:t>Sharpe ratio improvement: ~9% better risk-adjusted returns</w:t>
      </w:r>
    </w:p>
    <w:p>
      <w:pPr>
        <w:pStyle w:val="ListBullet"/>
      </w:pPr>
      <w:r>
        <w:t>Real estate income: VNQ dividend income (3-4% annually) added</w:t>
      </w:r>
    </w:p>
    <w:p>
      <w:pPr>
        <w:pStyle w:val="Heading2"/>
      </w:pPr>
      <w:r>
        <w:t>Recommendation</w:t>
      </w:r>
    </w:p>
    <w:p>
      <w:r>
        <w:rPr>
          <w:b/>
        </w:rPr>
        <w:t>APPROVE THIS REBALANCING</w:t>
        <w:br/>
        <w:br/>
      </w:r>
    </w:p>
    <w:p>
      <w:pPr>
        <w:pStyle w:val="Heading3"/>
      </w:pPr>
      <w:r>
        <w:t>Rationale:</w:t>
      </w:r>
    </w:p>
    <w:p>
      <w:pPr>
        <w:pStyle w:val="ListBullet"/>
      </w:pPr>
      <w:r>
        <w:t>Data-driven: Based on quantified Sharpe Ratio analysis</w:t>
      </w:r>
    </w:p>
    <w:p>
      <w:pPr>
        <w:pStyle w:val="ListBullet"/>
      </w:pPr>
      <w:r>
        <w:t>Balanced: Maintains diversification across asset classes</w:t>
      </w:r>
    </w:p>
    <w:p>
      <w:pPr>
        <w:pStyle w:val="ListBullet"/>
      </w:pPr>
      <w:r>
        <w:t>Feasible: Trades are reasonable size, executable in 30 days</w:t>
      </w:r>
    </w:p>
    <w:p>
      <w:pPr>
        <w:pStyle w:val="ListBullet"/>
      </w:pPr>
      <w:r>
        <w:t>Beneficial: Expected +2-3% annual return improvement</w:t>
      </w:r>
    </w:p>
    <w:p>
      <w:pPr>
        <w:pStyle w:val="ListBullet"/>
      </w:pPr>
      <w:r>
        <w:t>Risk-appropriate: Volatility increases only slightly to MODERATE</w:t>
      </w:r>
    </w:p>
    <w:p>
      <w:r>
        <w:br w:type="page"/>
      </w:r>
    </w:p>
    <w:p>
      <w:pPr>
        <w:pStyle w:val="Heading1"/>
      </w:pPr>
      <w:r>
        <w:t>OVERALL ASSIGNMENT SUMMARY</w:t>
      </w:r>
    </w:p>
    <w:p>
      <w:pPr>
        <w:pStyle w:val="Heading2"/>
      </w:pPr>
      <w:r>
        <w:t>All Questions Completed</w:t>
      </w:r>
    </w:p>
    <w:p>
      <w:pPr>
        <w:pStyle w:val="ListBullet"/>
      </w:pPr>
      <w:r>
        <w:t>✅ Q1: Individual Security Returns (12M/18M/24M analysis)</w:t>
      </w:r>
    </w:p>
    <w:p>
      <w:pPr>
        <w:pStyle w:val="ListBullet"/>
      </w:pPr>
      <w:r>
        <w:t>✅ Q2: Variance &amp; Correlation Analysis (6-month window)</w:t>
      </w:r>
    </w:p>
    <w:p>
      <w:pPr>
        <w:pStyle w:val="ListBullet"/>
      </w:pPr>
      <w:r>
        <w:t>✅ Q3: Volatility (Sigma) Analysis (12-month window)</w:t>
      </w:r>
    </w:p>
    <w:p>
      <w:pPr>
        <w:pStyle w:val="ListBullet"/>
      </w:pPr>
      <w:r>
        <w:t>✅ Q4: Sharpe Ratio Analysis (risk-adjusted returns)</w:t>
      </w:r>
    </w:p>
    <w:p>
      <w:pPr>
        <w:pStyle w:val="ListBullet"/>
      </w:pPr>
      <w:r>
        <w:t>✅ Q5: Rebalancing Proposal (Sharpe-optimized allocation)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gap: IXN (34.51% 12M) vs IEF (0.21% 12M) = 164x difference</w:t>
      </w:r>
    </w:p>
    <w:p>
      <w:pPr>
        <w:pStyle w:val="ListBullet"/>
      </w:pPr>
      <w:r>
        <w:t>Diversification: 50:1 variance spread indicates excellent hedging</w:t>
      </w:r>
    </w:p>
    <w:p>
      <w:pPr>
        <w:pStyle w:val="ListBullet"/>
      </w:pPr>
      <w:r>
        <w:t>Valuation gap: IXN Sharpe (2.01) is 6.5x better than IEF (0.31)</w:t>
      </w:r>
    </w:p>
    <w:p>
      <w:pPr>
        <w:pStyle w:val="ListBullet"/>
      </w:pPr>
      <w:r>
        <w:t>Allocation problem: Overweighting worst performer (IEF 28.5%), underweighting good performers</w:t>
      </w:r>
    </w:p>
    <w:p>
      <w:pPr>
        <w:pStyle w:val="ListBullet"/>
      </w:pPr>
      <w:r>
        <w:t>Rebalancing benefit: +2-3% expected annual return with only +slight volatility increase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Short-term: Execute rebalancing within 30 days</w:t>
      </w:r>
    </w:p>
    <w:p>
      <w:pPr>
        <w:pStyle w:val="ListBullet"/>
      </w:pPr>
      <w:r>
        <w:t>Medium-term: Quarterly allocation review</w:t>
      </w:r>
    </w:p>
    <w:p>
      <w:pPr>
        <w:pStyle w:val="ListBullet"/>
      </w:pPr>
      <w:r>
        <w:t>Long-term: Annual Sharpe analysis for continued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