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政协官网卡片录入规范（SOP）</w:t>
      </w:r>
    </w:p>
    <w:p>
      <w:pPr>
        <w:ind w:left="240"/>
      </w:pPr>
      <w:r>
        <w:t>版本：v1.0 ｜ 日期：2026-08-26 ｜ 适用范围：正协导航"各级政协官网"收录（卡片类型 1）</w:t>
      </w:r>
    </w:p>
    <w:p>
      <w:pPr>
        <w:ind w:left="240"/>
      </w:pPr>
      <w:r>
        <w:t>本规范由圆桌第 21 位（可信办公）、第 24 位（公文审稿）结论落成。目标：让每张卡片长得一样、读不出歧义、来源可核验。</w:t>
      </w:r>
    </w:p>
    <w:p>
      <w:pPr>
        <w:pStyle w:val="Heading2"/>
      </w:pPr>
      <w:r>
        <w:t>1. 卡片字段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必填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见 §2 命名模板</w:t>
            </w:r>
          </w:p>
        </w:tc>
      </w:tr>
      <w:tr>
        <w:tc>
          <w:tcPr>
            <w:tcW w:type="dxa" w:w="2880"/>
          </w:tcPr>
          <w:p>
            <w:r>
              <w:t>描述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见 §3 描述模板</w:t>
            </w:r>
          </w:p>
        </w:tc>
      </w:tr>
      <w:tr>
        <w:tc>
          <w:tcPr>
            <w:tcW w:type="dxa" w:w="2880"/>
          </w:tcPr>
          <w:p>
            <w:r>
              <w:t>标签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见 §4 受控词表（两维度）</w:t>
            </w:r>
          </w:p>
        </w:tc>
      </w:tr>
      <w:tr>
        <w:tc>
          <w:tcPr>
            <w:tcW w:type="dxa" w:w="2880"/>
          </w:tcPr>
          <w:p>
            <w:r>
              <w:t>链接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见 §5 链接规则</w:t>
            </w:r>
          </w:p>
        </w:tc>
      </w:tr>
      <w:tr>
        <w:tc>
          <w:tcPr>
            <w:tcW w:type="dxa" w:w="2880"/>
          </w:tcPr>
          <w:p>
            <w:r>
              <w:t>可信档案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见 §6 四要素</w:t>
            </w:r>
          </w:p>
        </w:tc>
      </w:tr>
    </w:tbl>
    <w:p>
      <w:pPr>
        <w:pStyle w:val="Heading2"/>
      </w:pPr>
      <w:r>
        <w:t>2. 名称（命名模板）</w:t>
      </w:r>
    </w:p>
    <w:p>
      <w:r>
        <w:rPr>
          <w:b/>
        </w:rPr>
        <w:t>模板：`{行政区划标准简称}{政协}`</w:t>
      </w:r>
      <w:r>
        <w:t>，行政区划取 GB/T 2260 标准简称。</w:t>
      </w:r>
    </w:p>
    <w:p>
      <w:pPr>
        <w:pStyle w:val="ListBullet"/>
      </w:pPr>
      <w:r>
        <w:t>省级：`广东省政协` `新疆维吾尔自治区政协` `北京市政协`</w:t>
      </w:r>
    </w:p>
    <w:p>
      <w:pPr>
        <w:pStyle w:val="ListBullet"/>
      </w:pPr>
      <w:r>
        <w:t>市级：`深圳市政协` `广州市政协`</w:t>
      </w:r>
    </w:p>
    <w:p>
      <w:pPr>
        <w:pStyle w:val="ListBullet"/>
      </w:pPr>
      <w:r>
        <w:t>市辖区 / 县：必须带上级市名，`广州市天河区政协`（防重名歧义）</w:t>
      </w:r>
    </w:p>
    <w:p>
      <w:pPr>
        <w:pStyle w:val="ListBullet"/>
      </w:pPr>
      <w:r>
        <w:rPr>
          <w:b/>
        </w:rPr>
        <w:t>禁用</w:t>
      </w:r>
      <w:r>
        <w:t>：精选 / 权威 / 官方推荐 / 最全 等绝对化词（#17 广告法红线）</w:t>
      </w:r>
    </w:p>
    <w:p>
      <w:pPr>
        <w:pStyle w:val="Heading2"/>
      </w:pPr>
      <w:r>
        <w:t>3. 描述（描述模板）</w:t>
      </w:r>
    </w:p>
    <w:p>
      <w:pPr>
        <w:ind w:left="240"/>
      </w:pPr>
      <w:r>
        <w:t>`{官方全称}官方网站。提供政协动态、会议提案、委员履职等信息。本站为第三方导航，与官方无隶属关系，不对跳转后内容负责。`</w:t>
      </w:r>
    </w:p>
    <w:p>
      <w:r>
        <w:t>例：`中国人民政治协商会议广东省委员会官方网站。提供政协动态、会议提案、委员履职等信息。本站为第三方导航，与官方无隶属关系，不对跳转后内容负责。`</w:t>
      </w:r>
    </w:p>
    <w:p>
      <w:pPr>
        <w:pStyle w:val="Heading2"/>
      </w:pPr>
      <w:r>
        <w:t>4. 标签（受控词表，两维度）</w:t>
      </w:r>
    </w:p>
    <w:p>
      <w:r>
        <w:t>维度 1 · 地域（可多值，用全称）：`广东省` `广州市` `天河区`（"广东"仅作搜索别名，不进主标签）</w:t>
      </w:r>
    </w:p>
    <w:p>
      <w:r>
        <w:t>维度 2 · 类型（固定取值）：`国家级政协` `省级政协` `直辖市政协` `自治区政协` `市级政协` `市辖区政协` `县级政协`</w:t>
      </w:r>
    </w:p>
    <w:p>
      <w:r>
        <w:t>例：新疆 → `[新疆维吾尔自治区, 自治区政协]`；深圳 → `[广东省, 深圳市, 市级政协]`</w:t>
      </w:r>
    </w:p>
    <w:p>
      <w:pPr>
        <w:pStyle w:val="Heading2"/>
      </w:pPr>
      <w:r>
        <w:t>5. 链接（链接规则）</w:t>
      </w:r>
    </w:p>
    <w:p>
      <w:pPr>
        <w:pStyle w:val="ListBullet"/>
      </w:pPr>
      <w:r>
        <w:t>链接标签统一：`访问官网`（全站一致，不写地名）</w:t>
      </w:r>
    </w:p>
    <w:p>
      <w:pPr>
        <w:pStyle w:val="ListBullet"/>
      </w:pPr>
      <w:r>
        <w:t>链接旁显式展示官方真实域名：`访问官网 · www.gdcppcc.gov.cn`（#21 可信档案要求，露真域名化解"像官方"误认）</w:t>
      </w:r>
    </w:p>
    <w:p>
      <w:pPr>
        <w:pStyle w:val="ListBullet"/>
      </w:pPr>
      <w:r>
        <w:t>href = 官方站点 URL</w:t>
      </w:r>
    </w:p>
    <w:p>
      <w:pPr>
        <w:pStyle w:val="Heading2"/>
      </w:pPr>
      <w:r>
        <w:t>6. 可信档案（四要素，每张卡必挂）</w:t>
      </w:r>
    </w:p>
    <w:p>
      <w:r>
        <w:t>`来源类型=官方` ｜ `核验渠道=工信部备案 / 域名 whois / 官网公告` ｜ `核验日期=YYYY-MM` ｜ `失效机制=每季度复核，失效即标"待核验"`</w:t>
      </w:r>
    </w:p>
    <w:p>
      <w:pPr>
        <w:pStyle w:val="Heading2"/>
      </w:pPr>
      <w:r>
        <w:t>7. 排序铁律（GB/T 2260 行政区划代码）</w:t>
      </w:r>
    </w:p>
    <w:p>
      <w:pPr>
        <w:pStyle w:val="ListBullet"/>
      </w:pPr>
      <w:r>
        <w:t>省级：按 2 位代码升序（省 / 直辖市 / 自治区被自然交织，无"谁优先"争议）</w:t>
      </w:r>
    </w:p>
    <w:p>
      <w:pPr>
        <w:pStyle w:val="ListBullet"/>
      </w:pPr>
      <w:r>
        <w:t>市级：省内按 4 位代码升序</w:t>
      </w:r>
    </w:p>
    <w:p>
      <w:pPr>
        <w:pStyle w:val="ListBullet"/>
      </w:pPr>
      <w:r>
        <w:t>市辖区 / 县：市内按 6 位代码升序（市辖区代码天然排在县之前，无需手工分块）</w:t>
      </w:r>
    </w:p>
    <w:p>
      <w:pPr>
        <w:pStyle w:val="ListBullet"/>
      </w:pPr>
      <w:r>
        <w:t>显示：省 → 市 → 区 / 县 三级分组，组内按代码</w:t>
      </w:r>
    </w:p>
    <w:p>
      <w:pPr>
        <w:pStyle w:val="ListBullet"/>
      </w:pPr>
      <w:r>
        <w:t>全国政协置顶；民主党派单列分组（见 §8）</w:t>
      </w:r>
    </w:p>
    <w:p>
      <w:pPr>
        <w:pStyle w:val="Heading2"/>
      </w:pPr>
      <w:r>
        <w:t>8. 民主党派分组</w:t>
      </w:r>
    </w:p>
    <w:p>
      <w:r>
        <w:t>单列"民主党派"，按惯例顺序：民革、民盟、民建、民进、农工党、致公党、九三学社、台盟。各中央委员会官网照 §2–§6 同模板录入。</w:t>
      </w:r>
    </w:p>
    <w:p>
      <w:pPr>
        <w:pStyle w:val="Heading2"/>
      </w:pPr>
      <w:r>
        <w:t>9. 示例：广东省树</w:t>
      </w:r>
    </w:p>
    <w:p>
      <w:r>
        <w:rPr>
          <w:rFonts w:ascii="Consolas" w:hAnsi="Consolas"/>
          <w:sz w:val="18"/>
        </w:rPr>
        <w:t>广东省政协（44）</w:t>
        <w:br/>
        <w:t>├ 广州市政协（4401）</w:t>
        <w:br/>
        <w:t>│  ├ 广州市越秀区政协（440104）</w:t>
        <w:br/>
        <w:t>│  ├ 广州市天河区政协（440106）</w:t>
        <w:br/>
        <w:t>│  └ 广州市番禺区政协（440113）</w:t>
        <w:br/>
        <w:t>├ 深圳市政协（4403）</w:t>
        <w:br/>
        <w:t>├ 珠海市政协（4404）</w:t>
        <w:br/>
        <w:t>└ 佛山市政协（4406）</w:t>
      </w:r>
    </w:p>
    <w:p>
      <w:pPr>
        <w:pStyle w:val="Heading2"/>
      </w:pPr>
      <w:r>
        <w:t>10. 校验清单（发布前）</w:t>
      </w:r>
    </w:p>
    <w:p>
      <w:pPr>
        <w:pStyle w:val="ListBullet"/>
      </w:pPr>
      <w:r>
        <w:t>[ ] 名称符合模板、无绝对化词</w:t>
      </w:r>
    </w:p>
    <w:p>
      <w:pPr>
        <w:pStyle w:val="ListBullet"/>
      </w:pPr>
      <w:r>
        <w:t>[ ] 描述含官方全称 + 免责句</w:t>
      </w:r>
    </w:p>
    <w:p>
      <w:pPr>
        <w:pStyle w:val="ListBullet"/>
      </w:pPr>
      <w:r>
        <w:t>[ ] 标签两维度均取自受控词表</w:t>
      </w:r>
    </w:p>
    <w:p>
      <w:pPr>
        <w:pStyle w:val="ListBullet"/>
      </w:pPr>
      <w:r>
        <w:t>[ ] 链接标签 = 访问官网 + 露真域名</w:t>
      </w:r>
    </w:p>
    <w:p>
      <w:pPr>
        <w:pStyle w:val="ListBullet"/>
      </w:pPr>
      <w:r>
        <w:t>[ ] 可信档案四要素齐全</w:t>
      </w:r>
    </w:p>
    <w:p>
      <w:pPr>
        <w:pStyle w:val="ListBullet"/>
      </w:pPr>
      <w:r>
        <w:t>[ ] 排序按 GB/T 2260 代码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