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1ECA5B" w14:textId="1F1ADA74" w:rsidR="00255DFC" w:rsidRDefault="00CD663A">
      <w:r w:rsidRPr="00CD663A">
        <w:drawing>
          <wp:inline distT="0" distB="0" distL="0" distR="0" wp14:anchorId="1CEF8AC2" wp14:editId="042B7540">
            <wp:extent cx="5943600" cy="23876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4"/>
                    <a:stretch>
                      <a:fillRect/>
                    </a:stretch>
                  </pic:blipFill>
                  <pic:spPr>
                    <a:xfrm>
                      <a:off x="0" y="0"/>
                      <a:ext cx="5943600" cy="2387600"/>
                    </a:xfrm>
                    <a:prstGeom prst="rect">
                      <a:avLst/>
                    </a:prstGeom>
                  </pic:spPr>
                </pic:pic>
              </a:graphicData>
            </a:graphic>
          </wp:inline>
        </w:drawing>
      </w:r>
    </w:p>
    <w:p w14:paraId="643B4B23" w14:textId="51BE7AFF" w:rsidR="00CD663A" w:rsidRDefault="00CD663A"/>
    <w:p w14:paraId="13815717" w14:textId="2C6D141A" w:rsidR="00CD663A" w:rsidRDefault="00CD663A">
      <w:r w:rsidRPr="00CD663A">
        <w:t>The figure above shows the flow information of two major sewage collection stations</w:t>
      </w:r>
      <w:r>
        <w:t xml:space="preserve"> (Eastern T</w:t>
      </w:r>
      <w:r>
        <w:rPr>
          <w:rFonts w:hint="eastAsia"/>
        </w:rPr>
        <w:t>reat</w:t>
      </w:r>
      <w:r>
        <w:t>ment Plant and Western Treatment Plant)</w:t>
      </w:r>
      <w:r w:rsidRPr="00CD663A">
        <w:t xml:space="preserve"> in Melbourne from 1996 to 2019. Overall, capacity has not changed much over the past 15 years.</w:t>
      </w:r>
    </w:p>
    <w:p w14:paraId="552F0071" w14:textId="77777777" w:rsidR="00CD663A" w:rsidRDefault="00CD663A"/>
    <w:p w14:paraId="68082CE1" w14:textId="0730C167" w:rsidR="00CD663A" w:rsidRDefault="00CD663A">
      <w:r w:rsidRPr="00CD663A">
        <w:drawing>
          <wp:inline distT="0" distB="0" distL="0" distR="0" wp14:anchorId="08B5F5A4" wp14:editId="0121095A">
            <wp:extent cx="5943600" cy="2385060"/>
            <wp:effectExtent l="0" t="0" r="0" b="254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a:blip r:embed="rId5"/>
                    <a:stretch>
                      <a:fillRect/>
                    </a:stretch>
                  </pic:blipFill>
                  <pic:spPr>
                    <a:xfrm>
                      <a:off x="0" y="0"/>
                      <a:ext cx="5943600" cy="2385060"/>
                    </a:xfrm>
                    <a:prstGeom prst="rect">
                      <a:avLst/>
                    </a:prstGeom>
                  </pic:spPr>
                </pic:pic>
              </a:graphicData>
            </a:graphic>
          </wp:inline>
        </w:drawing>
      </w:r>
    </w:p>
    <w:p w14:paraId="7478316E" w14:textId="4748B00F" w:rsidR="00CD663A" w:rsidRDefault="00CD663A">
      <w:r w:rsidRPr="00CD663A">
        <w:t xml:space="preserve">The figure above shows the situation of sewage recycling and reuse in two Melbourne sewage stations, which are generally used in three directions: Onsite, Supply to Southern Rural Water and Supply to South East Water. We can see that most of the secondary water resources are used in the field of "Onsite". By comparing the two sets of data, </w:t>
      </w:r>
      <w:r w:rsidR="00710AA6">
        <w:t xml:space="preserve">it is obvious </w:t>
      </w:r>
      <w:r w:rsidRPr="00CD663A">
        <w:t>that the secondary utilization rate of sewage is very high.</w:t>
      </w:r>
    </w:p>
    <w:p w14:paraId="07A75D4F" w14:textId="653F7164" w:rsidR="00CD663A" w:rsidRDefault="00CD663A">
      <w:r w:rsidRPr="00CD663A">
        <w:lastRenderedPageBreak/>
        <w:drawing>
          <wp:inline distT="0" distB="0" distL="0" distR="0" wp14:anchorId="3A81C60B" wp14:editId="3EF5580B">
            <wp:extent cx="5943600" cy="2371725"/>
            <wp:effectExtent l="0" t="0" r="0"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6"/>
                    <a:stretch>
                      <a:fillRect/>
                    </a:stretch>
                  </pic:blipFill>
                  <pic:spPr>
                    <a:xfrm>
                      <a:off x="0" y="0"/>
                      <a:ext cx="5943600" cy="2371725"/>
                    </a:xfrm>
                    <a:prstGeom prst="rect">
                      <a:avLst/>
                    </a:prstGeom>
                  </pic:spPr>
                </pic:pic>
              </a:graphicData>
            </a:graphic>
          </wp:inline>
        </w:drawing>
      </w:r>
    </w:p>
    <w:p w14:paraId="4DEE008A" w14:textId="77777777" w:rsidR="00CD663A" w:rsidRDefault="00CD663A"/>
    <w:p w14:paraId="00752759" w14:textId="1CC224FF" w:rsidR="00CD663A" w:rsidRDefault="00CD663A">
      <w:r w:rsidRPr="00CD663A">
        <w:drawing>
          <wp:inline distT="0" distB="0" distL="0" distR="0" wp14:anchorId="240EE165" wp14:editId="302529D2">
            <wp:extent cx="5943600" cy="2371090"/>
            <wp:effectExtent l="0" t="0" r="0" b="3810"/>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device&#10;&#10;Description automatically generated"/>
                    <pic:cNvPicPr/>
                  </pic:nvPicPr>
                  <pic:blipFill>
                    <a:blip r:embed="rId7"/>
                    <a:stretch>
                      <a:fillRect/>
                    </a:stretch>
                  </pic:blipFill>
                  <pic:spPr>
                    <a:xfrm>
                      <a:off x="0" y="0"/>
                      <a:ext cx="5943600" cy="2371090"/>
                    </a:xfrm>
                    <a:prstGeom prst="rect">
                      <a:avLst/>
                    </a:prstGeom>
                  </pic:spPr>
                </pic:pic>
              </a:graphicData>
            </a:graphic>
          </wp:inline>
        </w:drawing>
      </w:r>
    </w:p>
    <w:p w14:paraId="5F121DF5" w14:textId="0667FB47" w:rsidR="00CD663A" w:rsidRDefault="00CD663A"/>
    <w:p w14:paraId="5E1F74F5" w14:textId="4EDAF212" w:rsidR="00CD663A" w:rsidRDefault="00710AA6">
      <w:r w:rsidRPr="00710AA6">
        <w:t xml:space="preserve">From these two pictures, we can know the water use situation of each </w:t>
      </w:r>
      <w:r>
        <w:rPr>
          <w:rFonts w:hint="eastAsia"/>
        </w:rPr>
        <w:t>suburb</w:t>
      </w:r>
      <w:r>
        <w:t xml:space="preserve"> </w:t>
      </w:r>
      <w:r w:rsidRPr="00710AA6">
        <w:t>in Melbourne</w:t>
      </w:r>
      <w:r>
        <w:t xml:space="preserve">. Put your pointer on the circle to find out more about the water consumption volume. </w:t>
      </w:r>
    </w:p>
    <w:sectPr w:rsidR="00CD663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DFC"/>
    <w:rsid w:val="00255DFC"/>
    <w:rsid w:val="00710AA6"/>
    <w:rsid w:val="00CD663A"/>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D89A9FB"/>
  <w15:chartTrackingRefBased/>
  <w15:docId w15:val="{C7D9DBCB-CE0D-484B-BFBA-03858A8CF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Pages>
  <Words>124</Words>
  <Characters>712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Jiashu Chen</dc:creator>
  <cp:keywords/>
  <dc:description/>
  <cp:lastModifiedBy>Jiashu Chen</cp:lastModifiedBy>
  <cp:revision>2</cp:revision>
  <dcterms:created xsi:type="dcterms:W3CDTF">2020-08-29T14:32:00Z</dcterms:created>
  <dcterms:modified xsi:type="dcterms:W3CDTF">2020-08-29T14:52:00Z</dcterms:modified>
</cp:coreProperties>
</file>