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jc w:val="center"/>
      </w:pPr>
      <w:r>
        <w:rPr>
          <w:b/>
          <w:bCs/>
          <w:color w:val="888888"/>
          <w:sz w:val="24"/>
          <w:szCs w:val="24"/>
        </w:rPr>
        <w:t xml:space="preserve">ÉCOLE SUPÉRIEURE POLYTECHNIQUE DE DAKAR</w:t>
      </w:r>
    </w:p>
    <w:p>
      <w:pPr>
        <w:spacing w:after="600"/>
        <w:jc w:val="center"/>
      </w:pPr>
      <w:r>
        <w:rPr>
          <w:color w:val="888888"/>
          <w:sz w:val="22"/>
          <w:szCs w:val="22"/>
        </w:rPr>
        <w:t xml:space="preserve">Master CCA — Comptabilité, Contrôle, Audit</w:t>
      </w:r>
    </w:p>
    <w:p>
      <w:pPr>
        <w:spacing w:after="200"/>
        <w:jc w:val="center"/>
      </w:pPr>
      <w:r>
        <w:rPr>
          <w:b/>
          <w:bCs/>
          <w:color w:val="6B4A32"/>
          <w:sz w:val="52"/>
          <w:szCs w:val="52"/>
        </w:rPr>
        <w:t xml:space="preserve">DOCUMENT TECHNIQUE</w:t>
      </w:r>
    </w:p>
    <w:p>
      <w:pPr>
        <w:spacing w:after="100"/>
        <w:jc w:val="center"/>
      </w:pPr>
      <w:r>
        <w:rPr>
          <w:b/>
          <w:bCs/>
          <w:color w:val="3A2C22"/>
          <w:sz w:val="34"/>
          <w:szCs w:val="34"/>
        </w:rPr>
        <w:t xml:space="preserve">Projet 51 — Plateforme web de crowdfunding</w:t>
      </w:r>
    </w:p>
    <w:p>
      <w:pPr>
        <w:spacing w:after="1000"/>
        <w:jc w:val="center"/>
      </w:pPr>
      <w:r>
        <w:rPr>
          <w:i/>
          <w:iCs/>
          <w:color w:val="666666"/>
          <w:sz w:val="26"/>
          <w:szCs w:val="26"/>
        </w:rPr>
        <w:t xml:space="preserve">pour projets entrepreneuriaux avec paiement mobile money</w:t>
      </w:r>
    </w:p>
    <w:p>
      <w:pPr>
        <w:spacing w:after="1600"/>
        <w:jc w:val="center"/>
      </w:pPr>
      <w:r>
        <w:rPr>
          <w:color w:val="666666"/>
          <w:sz w:val="22"/>
          <w:szCs w:val="22"/>
        </w:rPr>
        <w:t xml:space="preserve">Modèle de données · Architecture · Conventions de code</w:t>
      </w:r>
    </w:p>
    <w:p>
      <w:pPr>
        <w:jc w:val="center"/>
      </w:pPr>
      <w:r>
        <w:rPr>
          <w:color w:val="999999"/>
          <w:sz w:val="20"/>
          <w:szCs w:val="20"/>
        </w:rPr>
        <w:t xml:space="preserve">Année universitaire 2025 –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Sommaire</w:t>
      </w:r>
    </w:p>
    <w:p>
      <w:pPr>
        <w:spacing w:after="150"/>
      </w:pPr>
      <w:r>
        <w:t xml:space="preserve">1.  Présentation générale du projet</w:t>
      </w:r>
    </w:p>
    <w:p>
      <w:pPr>
        <w:spacing w:after="150"/>
      </w:pPr>
      <w:r>
        <w:t xml:space="preserve">2.  Architecture technique</w:t>
      </w:r>
    </w:p>
    <w:p>
      <w:pPr>
        <w:spacing w:after="150"/>
      </w:pPr>
      <w:r>
        <w:t xml:space="preserve">3.  Modèle conceptuel de données (MCD)</w:t>
      </w:r>
    </w:p>
    <w:p>
      <w:pPr>
        <w:spacing w:after="150"/>
      </w:pPr>
      <w:r>
        <w:t xml:space="preserve">4.  Dictionnaire des données</w:t>
      </w:r>
    </w:p>
    <w:p>
      <w:pPr>
        <w:spacing w:after="150"/>
      </w:pPr>
      <w:r>
        <w:t xml:space="preserve">5.  Sécurité mise en œuvre</w:t>
      </w:r>
    </w:p>
    <w:p>
      <w:pPr>
        <w:spacing w:after="150"/>
      </w:pPr>
      <w:r>
        <w:t xml:space="preserve">6.  Conventions de code</w:t>
      </w:r>
    </w:p>
    <w:p>
      <w:pPr>
        <w:spacing w:after="150"/>
      </w:pPr>
      <w:r>
        <w:t xml:space="preserve">7.  Comptes de test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Présentation générale du projet</w:t>
      </w:r>
    </w:p>
    <w:p>
      <w:pPr>
        <w:spacing w:after="150"/>
      </w:pPr>
      <w:r>
        <w:t xml:space="preserve">La plateforme permet à des porteurs de projets entrepreneuriaux sénégalais de publier des campagnes de financement participatif (crowdfunding) et à des contributeurs de les soutenir financièrement via les principaux opérateurs de mobile money du marché : Wave, Orange Money et Free Money.</w:t>
      </w:r>
    </w:p>
    <w:p>
      <w:pPr>
        <w:spacing w:after="150"/>
      </w:pPr>
      <w:r>
        <w:t xml:space="preserve">Le système répond à une problématique concrète : démocratiser l'accès au financement pour les porteurs de projets qui n'ont pas accès aux circuits bancaires classiques, tout en offrant aux contributeurs — y compris la diaspora — un moyen simple et sécurisé de participer.</w:t>
      </w:r>
    </w:p>
    <w:p>
      <w:pPr>
        <w:pStyle w:val="Heading2"/>
        <w:spacing w:after="150" w:before="300"/>
      </w:pPr>
      <w:r>
        <w:t xml:space="preserve">1.1 Rôles applicatifs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Administrateur : supervision globale, gestion des utilisateurs et des campagnes, consultation de tous les paiements.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Porteur de projet : création et gestion de ses campagnes, définition des paliers de contrepartie, suivi des contributions reçues.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Contributeur : parcours des campagnes actives, contribution via mobile money, suivi de ses dons.</w:t>
      </w:r>
    </w:p>
    <w:p>
      <w:pPr>
        <w:pStyle w:val="Heading2"/>
        <w:spacing w:after="150" w:before="300"/>
      </w:pPr>
      <w:r>
        <w:t xml:space="preserve">1.2 Cycle de vie d'une campagne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brouillon → en_attente → active → reussie / echouee → cloturee</w:t>
      </w:r>
    </w:p>
    <w:p>
      <w:pPr>
        <w:spacing w:after="150"/>
      </w:pPr>
      <w:r>
        <w:t xml:space="preserve">Une campagne active dont l'objectif est atteint avant la date de fin passe automatiquement au statut « reussie » ; à défaut, elle passe à « echouee » à l'échéance.</w:t>
      </w:r>
    </w:p>
    <w:p>
      <w:pPr>
        <w:pStyle w:val="Heading1"/>
        <w:spacing w:after="200" w:before="400"/>
      </w:pPr>
      <w:r>
        <w:t xml:space="preserve">2. Architecture technique</w:t>
      </w:r>
    </w:p>
    <w:p>
      <w:pPr>
        <w:spacing w:after="150"/>
      </w:pPr>
      <w:r>
        <w:t xml:space="preserve">L'application suit une architecture modulaire en PHP procédural/orienté objet léger, organisée par domaine fonctionnel plutôt que par couche MVC stricte — un choix pragmatique adapté à la taille du projet et à la stack XAMPP imposée.</w:t>
      </w:r>
    </w:p>
    <w:p>
      <w:pPr>
        <w:spacing w:after="200" w:before="200"/>
        <w:jc w:val="center"/>
      </w:pPr>
      <w:r>
        <w:drawing>
          <wp:inline distT="0" distB="0" distL="0" distR="0">
            <wp:extent cx="4572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t xml:space="preserve">2.1 Arborescence du projet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config/ — configuration de l'application et connexion PDO à la base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includes/ — classes et fonctions transverses (Auth, fonctions utilitaires, mailer, en-tête/pied de page, bibliothèque PDF)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modules/ — un sous-dossier par domaine fonctionnel (auth, dashboard, campagnes, paliers, contributions, paiements, admin), chacun avec ses vues et sa logique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public/ — point d'entrée unique (index.php) et ressources statiques (CSS, JS, images)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sql/ — script de création du schéma et script de génération des données de démonstration</w:t>
      </w:r>
    </w:p>
    <w:p>
      <w:pPr>
        <w:pStyle w:val="Heading2"/>
        <w:spacing w:after="150" w:before="300"/>
      </w:pPr>
      <w:r>
        <w:t xml:space="preserve">2.2 Flux d'une requête</w:t>
      </w:r>
    </w:p>
    <w:p>
      <w:pPr>
        <w:spacing w:after="150"/>
      </w:pPr>
      <w:r>
        <w:t xml:space="preserve">Chaque page de module démarre par l'inclusion de config.php (session sécurisée + connexion base), puis appelle Auth::exigerRole([...]) pour vérifier les droits d'accès avant toute exécution. Les données sont récupérées via des requêtes préparées PDO, puis transmises à la vue qui les échappe systématiquement avec la fonction e() (wrapper de htmlspecialchars) avant affichage.</w:t>
      </w:r>
    </w:p>
    <w:p>
      <w:pPr>
        <w:pStyle w:val="Heading1"/>
        <w:spacing w:after="200" w:before="400"/>
      </w:pPr>
      <w:r>
        <w:t xml:space="preserve">3. Modèle conceptuel de données (MCD)</w:t>
      </w:r>
    </w:p>
    <w:p>
      <w:pPr>
        <w:spacing w:after="150"/>
      </w:pPr>
      <w:r>
        <w:t xml:space="preserve">Le schéma relationnel comprend 9 tables liées par clés étrangères, conformément à l'exigence minimale de 5 tables du cahier des charges.</w:t>
      </w:r>
    </w:p>
    <w:p>
      <w:pPr>
        <w:spacing w:after="200" w:before="200"/>
        <w:jc w:val="center"/>
      </w:pPr>
      <w:r>
        <w:drawing>
          <wp:inline distT="0" distB="0" distL="0" distR="0">
            <wp:extent cx="438150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400"/>
      </w:pPr>
      <w:r>
        <w:t xml:space="preserve">4. Dictionnaire des données</w:t>
      </w:r>
    </w:p>
    <w:p>
      <w:pPr>
        <w:spacing w:after="150"/>
      </w:pPr>
      <w:r>
        <w:t xml:space="preserve">Détail des tables les plus significatives du modèle. Les tables secondaires (categories, actualites, notifications) suivent les mêmes conventions de nommage et de typage.</w:t>
      </w:r>
    </w:p>
    <w:p>
      <w:pPr>
        <w:pStyle w:val="Heading2"/>
        <w:spacing w:after="150" w:before="300"/>
      </w:pPr>
      <w:r>
        <w:t xml:space="preserve">utilisateurs</w:t>
      </w:r>
    </w:p>
    <w:p>
      <w:pPr>
        <w:spacing w:after="150"/>
      </w:pPr>
      <w:r>
        <w:t xml:space="preserve">Comptes de la plateforme, avec 3 rôles distincts (admin, porteur, contributeur).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3800"/>
      </w:tblGrid>
      <w:tr>
        <w:trPr>
          <w:tblHeader/>
        </w:trPr>
        <w:tc>
          <w:tcPr>
            <w:tcW w:type="dxa" w:w="2200"/>
            <w:shd w:fill="3A2C22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400"/>
            <w:shd w:fill="3A2C22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shd w:fill="3A2C22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3800"/>
            <w:shd w:fill="3A2C22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INT UNSIGNED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Identifiant de connexion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  <w:sz w:val="20"/>
                <w:szCs w:val="20"/>
              </w:rPr>
              <w:t xml:space="preserve">mot_de_passe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Hash bcrypt (password_hash)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admin / porteur / contributeur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  <w:sz w:val="20"/>
                <w:szCs w:val="20"/>
              </w:rPr>
              <w:t xml:space="preserve">statut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DEFAULT 'actif'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actif / suspendu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  <w:sz w:val="20"/>
                <w:szCs w:val="20"/>
              </w:rPr>
              <w:t xml:space="preserve">kyc_valide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TINYINT(1)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DEFAULT 0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Vérification d'identité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campagnes</w:t>
      </w:r>
    </w:p>
    <w:p>
      <w:pPr>
        <w:spacing w:after="150"/>
      </w:pPr>
      <w:r>
        <w:t xml:space="preserve">Entité principale : un projet entrepreneurial soumis au financement participatif.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3800"/>
      </w:tblGrid>
      <w:tr>
        <w:trPr>
          <w:tblHeader/>
        </w:trPr>
        <w:tc>
          <w:tcPr>
            <w:tcW w:type="dxa" w:w="2200"/>
            <w:shd w:fill="3A2C22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400"/>
            <w:shd w:fill="3A2C22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shd w:fill="3A2C22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3800"/>
            <w:shd w:fill="3A2C22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INT UNSIGNED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  <w:sz w:val="20"/>
                <w:szCs w:val="20"/>
              </w:rPr>
              <w:t xml:space="preserve">porteur_id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INT UNSIGNED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FK → utilisateurs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Créateur de la campagne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  <w:sz w:val="20"/>
                <w:szCs w:val="20"/>
              </w:rPr>
              <w:t xml:space="preserve">categorie_id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INT UNSIGNED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FK → categories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Domaine du projet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  <w:sz w:val="20"/>
                <w:szCs w:val="20"/>
              </w:rPr>
              <w:t xml:space="preserve">objectif_montant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DECIMAL(14,2)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Montant cible (FCFA)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  <w:sz w:val="20"/>
                <w:szCs w:val="20"/>
              </w:rPr>
              <w:t xml:space="preserve">montant_collecte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DECIMAL(14,2)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DEFAULT 0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Cumul des contributions validées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  <w:sz w:val="20"/>
                <w:szCs w:val="20"/>
              </w:rPr>
              <w:t xml:space="preserve">statut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DEFAULT 'brouillon'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brouillon/en_attente/active/reussie/echouee/cloturee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paliers</w:t>
      </w:r>
    </w:p>
    <w:p>
      <w:pPr>
        <w:spacing w:after="150"/>
      </w:pPr>
      <w:r>
        <w:t xml:space="preserve">Contreparties proposées aux contributeurs selon le montant donné.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3800"/>
      </w:tblGrid>
      <w:tr>
        <w:trPr>
          <w:tblHeader/>
        </w:trPr>
        <w:tc>
          <w:tcPr>
            <w:tcW w:type="dxa" w:w="2200"/>
            <w:shd w:fill="3A2C22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400"/>
            <w:shd w:fill="3A2C22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shd w:fill="3A2C22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3800"/>
            <w:shd w:fill="3A2C22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INT UNSIGNED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  <w:sz w:val="20"/>
                <w:szCs w:val="20"/>
              </w:rPr>
              <w:t xml:space="preserve">campagne_id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INT UNSIGNED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FK → campagnes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Campagne concernée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  <w:sz w:val="20"/>
                <w:szCs w:val="20"/>
              </w:rPr>
              <w:t xml:space="preserve">montant_min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Seuil de déclenchement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  <w:sz w:val="20"/>
                <w:szCs w:val="20"/>
              </w:rPr>
              <w:t xml:space="preserve">quantite_disponible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INT UNSIGNED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NULL = illimité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Stock de la contrepartie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contributions</w:t>
      </w:r>
    </w:p>
    <w:p>
      <w:pPr>
        <w:spacing w:after="150"/>
      </w:pPr>
      <w:r>
        <w:t xml:space="preserve">Un don effectué par un contributeur sur une campagne.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3800"/>
      </w:tblGrid>
      <w:tr>
        <w:trPr>
          <w:tblHeader/>
        </w:trPr>
        <w:tc>
          <w:tcPr>
            <w:tcW w:type="dxa" w:w="2200"/>
            <w:shd w:fill="3A2C22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400"/>
            <w:shd w:fill="3A2C22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shd w:fill="3A2C22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3800"/>
            <w:shd w:fill="3A2C22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INT UNSIGNED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  <w:sz w:val="20"/>
                <w:szCs w:val="20"/>
              </w:rPr>
              <w:t xml:space="preserve">campagne_id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INT UNSIGNED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FK → campagnes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Campagne soutenue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  <w:sz w:val="20"/>
                <w:szCs w:val="20"/>
              </w:rPr>
              <w:t xml:space="preserve">contributeur_id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INT UNSIGNED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FK → utilisateurs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Auteur du don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  <w:sz w:val="20"/>
                <w:szCs w:val="20"/>
              </w:rPr>
              <w:t xml:space="preserve">palier_id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INT UNSIGNED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FK → paliers, NULL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Contrepartie choisie (optionnel)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  <w:sz w:val="20"/>
                <w:szCs w:val="20"/>
              </w:rPr>
              <w:t xml:space="preserve">anonyme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TINYINT(1)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DEFAULT 0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Masque le nom du contributeur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  <w:sz w:val="20"/>
                <w:szCs w:val="20"/>
              </w:rPr>
              <w:t xml:space="preserve">statut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DEFAULT 'en_attente'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en_attente/validee/remboursee/echouee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paiements</w:t>
      </w:r>
    </w:p>
    <w:p>
      <w:pPr>
        <w:spacing w:after="150"/>
      </w:pPr>
      <w:r>
        <w:t xml:space="preserve">Transaction mobile money associée à une contribution.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3800"/>
      </w:tblGrid>
      <w:tr>
        <w:trPr>
          <w:tblHeader/>
        </w:trPr>
        <w:tc>
          <w:tcPr>
            <w:tcW w:type="dxa" w:w="2200"/>
            <w:shd w:fill="3A2C22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400"/>
            <w:shd w:fill="3A2C22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shd w:fill="3A2C22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3800"/>
            <w:shd w:fill="3A2C22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INT UNSIGNED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  <w:sz w:val="20"/>
                <w:szCs w:val="20"/>
              </w:rPr>
              <w:t xml:space="preserve">contribution_id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INT UNSIGNED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FK → contributions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Contribution réglée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  <w:sz w:val="20"/>
                <w:szCs w:val="20"/>
              </w:rPr>
              <w:t xml:space="preserve">operateur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wave / orange_money / free_money / carte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  <w:sz w:val="20"/>
                <w:szCs w:val="20"/>
              </w:rPr>
              <w:t xml:space="preserve">reference_transaction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UNIQUE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Référence opérateur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  <w:sz w:val="20"/>
                <w:szCs w:val="20"/>
              </w:rPr>
              <w:t xml:space="preserve">statut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DEFAULT 'en_attente'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en_attente/reussi/echoue/rembourse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journal_audit</w:t>
      </w:r>
    </w:p>
    <w:p>
      <w:pPr>
        <w:spacing w:after="150"/>
      </w:pPr>
      <w:r>
        <w:t xml:space="preserve">Piste d'audit horodatée de toutes les actions sensibles (exigence du cahier des charges).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3800"/>
      </w:tblGrid>
      <w:tr>
        <w:trPr>
          <w:tblHeader/>
        </w:trPr>
        <w:tc>
          <w:tcPr>
            <w:tcW w:type="dxa" w:w="2200"/>
            <w:shd w:fill="3A2C22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400"/>
            <w:shd w:fill="3A2C22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shd w:fill="3A2C22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3800"/>
            <w:shd w:fill="3A2C22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INT UNSIGNED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  <w:sz w:val="20"/>
                <w:szCs w:val="20"/>
              </w:rPr>
              <w:t xml:space="preserve">utilisateur_id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INT UNSIGNED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FK, NULL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Auteur de l'action (si connu)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Ex : CONNEXION, INSCRIPTION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  <w:sz w:val="20"/>
                <w:szCs w:val="20"/>
              </w:rPr>
              <w:t xml:space="preserve">date_action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Horodatage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5. Sécurité mise en œuvre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Mots de passe hachés avec password_hash() (bcrypt) — jamais stockés en clair.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Authentification : password_verify() + régénération de l'identifiant de session à la connexion (protection contre la fixation de session).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Message d'erreur de connexion volontairement générique (« Email ou mot de passe incorrect ») pour ne pas révéler l'existence d'un compte.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Requêtes préparées PDO systématiques — aucune concaténation de variables dans les requêtes SQL (protection injection SQL).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Échappement systématique des sorties via la fonction e() = htmlspecialchars() (protection XSS).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Cookies de session en httponly + samesite=Lax.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Expiration automatique de session après 30 minutes d'inactivité (SESSION_TIMEOUT), avec redirection et message explicite.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Contrôle d'accès par rôle à l'entrée de chaque module via Auth::exigerRole().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Journal d'audit horodaté (table journal_audit) des actions sensibles : connexion, déconnexion, inscription.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Validation des formulaires en double : côté client (JavaScript, validation.js) pour l'expérience utilisateur, et côté serveur (PHP) pour la sécurité réelle — le serveur ne fait jamais confiance au client.</w:t>
      </w:r>
    </w:p>
    <w:p>
      <w:pPr>
        <w:pStyle w:val="Heading1"/>
        <w:spacing w:after="200" w:before="400"/>
      </w:pPr>
      <w:r>
        <w:t xml:space="preserve">6. Conventions de code</w:t>
      </w:r>
    </w:p>
    <w:p>
      <w:pPr>
        <w:pStyle w:val="Heading2"/>
        <w:spacing w:after="150" w:before="300"/>
      </w:pPr>
      <w:r>
        <w:t xml:space="preserve">6.1 Nommage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Noms de tables et colonnes en français, en minuscules, séparés par underscore (snake_case) : montant_collecte, date_creation.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Fonctions et méthodes PHP en français, en camelCase : formatMontant(), tauxAvancement(), exigerRole().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Fichiers de vue nommés selon l'action CRUD : liste.php, creer.php, modifier.php, detail.php, supprimer.php.</w:t>
      </w:r>
    </w:p>
    <w:p>
      <w:pPr>
        <w:pStyle w:val="Heading2"/>
        <w:spacing w:after="150" w:before="300"/>
      </w:pPr>
      <w:r>
        <w:t xml:space="preserve">6.2 Conventions de sécurité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Toute variable affichée dans une vue passe par e() avant impression.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Toute requête SQL utilise des paramètres nommés PDO (:param) plutôt que des positions (?), pour la lisibilité.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Chaque module vérifie les droits d'accès en première ligne, avant tout traitement métier.</w:t>
      </w:r>
    </w:p>
    <w:p>
      <w:pPr>
        <w:pStyle w:val="Heading2"/>
        <w:spacing w:after="150" w:before="300"/>
      </w:pPr>
      <w:r>
        <w:t xml:space="preserve">6.3 Palette et identité visuelle</w:t>
      </w:r>
    </w:p>
    <w:p>
      <w:pPr>
        <w:spacing w:after="150"/>
      </w:pPr>
      <w:r>
        <w:t xml:space="preserve">L'interface utilise une palette personnalisée « Atelier » (cacao / crème / sauge / or), la police Fraunces pour les titres et Plus Jakarta Sans pour le texte courant, définie via variables CSS dans public/assets/css/style.css. Ce choix évite l'apparence Bootstrap par défaut et ancre la plateforme dans une identité visuelle sénégalaise chaleureuse.</w:t>
      </w:r>
    </w:p>
    <w:p>
      <w:pPr>
        <w:pStyle w:val="Heading1"/>
        <w:spacing w:after="200" w:before="400"/>
      </w:pPr>
      <w:r>
        <w:t xml:space="preserve">7. Comptes de test</w:t>
      </w:r>
    </w:p>
    <w:p>
      <w:pPr>
        <w:spacing w:after="150"/>
      </w:pPr>
      <w:r>
        <w:t xml:space="preserve">Générés par le script sql/seed_demo.php (mots de passe hachés dynamiquement avec la version de PHP de la machine d'exécution) 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Administrateur — admin@crowdfunding.sn / Admin@2026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Porteur de projet — porteur@crowdfunding.sn / Porteur@2026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Contributeur — contributeur@crowdfunding.sn / Contrib@2026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Projet 51 — Crowdfunding — Document technique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08D57" w:sz="6" w:space="4"/>
      </w:pBdr>
      <w:spacing w:after="200" w:before="400"/>
    </w:pPr>
    <w:rPr>
      <w:rFonts w:ascii="Calibri" w:cs="Calibri" w:eastAsia="Calibri" w:hAnsi="Calibri"/>
      <w:b/>
      <w:bCs/>
      <w:color w:val="6B4A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3A2C2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881cf6e0476a0c782c220555b01cc56ee0f358a.png"/><Relationship Id="rId10" Type="http://schemas.openxmlformats.org/officeDocument/2006/relationships/image" Target="media/48cc136498585d03f2b56690e822764585b8291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2026-08-13T19:48:35.150Z</dcterms:created>
  <dcterms:modified xsi:type="dcterms:W3CDTF">2026-08-13T19:48:35.150Z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