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4295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acifico" w:cs="Pacifico" w:eastAsia="Pacifico" w:hAnsi="Pacifico"/>
          <w:sz w:val="24"/>
          <w:szCs w:val="24"/>
        </w:rPr>
      </w:pPr>
      <w:r w:rsidDel="00000000" w:rsidR="00000000" w:rsidRPr="00000000">
        <w:rPr>
          <w:rFonts w:ascii="Pacifico" w:cs="Pacifico" w:eastAsia="Pacifico" w:hAnsi="Pacifico"/>
          <w:sz w:val="24"/>
          <w:szCs w:val="24"/>
          <w:rtl w:val="0"/>
        </w:rPr>
        <w:t xml:space="preserve">Artist Statement: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Within the past three months of my college experience in a very different environment, there have been people who have been able to cheer me on and contribute to my growth either on an intimate and personal level or in a general and casual manner. The images above are a reflection of these individuals and how valuable each of their personalities is. This is a representation of the warmth I’ve felt be it through a simple “good morning” or a collective mental breakdown at 4 am.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acifico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2" Type="http://schemas.openxmlformats.org/officeDocument/2006/relationships/image" Target="media/image5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