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rPr>
          <w:b/>
          <w:bCs/>
          <w:color w:val="0369A1"/>
          <w:sz w:val="30"/>
          <w:szCs w:val="30"/>
        </w:rPr>
        <w:t xml:space="preserve">Providence Auto</w:t>
      </w:r>
    </w:p>
    <w:p>
      <w:pPr>
        <w:spacing w:after="0" w:before="80"/>
      </w:pPr>
      <w:r>
        <w:rPr>
          <w:b/>
          <w:bCs/>
          <w:color w:val="0B1F33"/>
          <w:sz w:val="56"/>
          <w:szCs w:val="56"/>
        </w:rPr>
        <w:t xml:space="preserve">Branch Change Summary</w:t>
      </w:r>
    </w:p>
    <w:p>
      <w:pPr>
        <w:spacing w:after="0" w:before="160"/>
      </w:pPr>
      <w:r>
        <w:rPr>
          <w:rFonts w:ascii="Consolas" w:cs="Consolas" w:eastAsia="Consolas" w:hAnsi="Consolas"/>
          <w:color w:val="5B6573"/>
          <w:sz w:val="30"/>
          <w:szCs w:val="30"/>
        </w:rPr>
        <w:t xml:space="preserve">feature/ireland-cost-calculator</w:t>
      </w:r>
    </w:p>
    <w:p>
      <w:pPr>
        <w:pBdr>
          <w:top w:val="single" w:color="0369A1" w:sz="6" w:space="6"/>
        </w:pBdr>
        <w:spacing w:after="0" w:before="480"/>
      </w:pPr>
      <w:r>
        <w:rPr>
          <w:sz w:val="2"/>
          <w:szCs w:val="2"/>
        </w:rPr>
        <w:t xml:space="preserve"/>
      </w:r>
    </w:p>
    <w:p>
      <w:pPr>
        <w:spacing w:after="80" w:before="360"/>
      </w:pPr>
      <w:r>
        <w:rPr>
          <w:b/>
          <w:bCs/>
        </w:rPr>
        <w:t xml:space="preserve">Purpose: </w:t>
      </w:r>
      <w:r>
        <w:t xml:space="preserve">Hand-over reference for the developer taking over this codebase. Summarises every change made on this branch relative to </w:t>
      </w:r>
      <w:r>
        <w:rPr>
          <w:rFonts w:ascii="Consolas" w:cs="Consolas" w:eastAsia="Consolas" w:hAnsi="Consolas"/>
          <w:sz w:val="18"/>
          <w:szCs w:val="18"/>
        </w:rPr>
        <w:t xml:space="preserve">master</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D4DC" w:sz="1"/>
              <w:left w:val="single" w:color="CCD4DC" w:sz="1"/>
              <w:bottom w:val="single" w:color="CCD4DC" w:sz="1"/>
              <w:right w:val="single" w:color="CCD4DC" w:sz="1"/>
            </w:tcBorders>
            <w:shd w:fill="EAF2F8" w:val="clear"/>
            <w:tcMar>
              <w:top w:type="dxa" w:w="70"/>
              <w:left w:type="dxa" w:w="120"/>
              <w:bottom w:type="dxa" w:w="70"/>
              <w:right w:type="dxa" w:w="120"/>
            </w:tcMar>
          </w:tcPr>
          <w:p>
            <w:r>
              <w:rPr>
                <w:b/>
                <w:bCs/>
                <w:color w:val="0B1F33"/>
              </w:rPr>
              <w:t xml:space="preserve">Branch</w:t>
            </w:r>
          </w:p>
        </w:tc>
        <w:tc>
          <w:tcPr>
            <w:tcW w:type="dxa" w:w="6360"/>
            <w:tcBorders>
              <w:top w:val="single" w:color="CCD4DC" w:sz="1"/>
              <w:left w:val="single" w:color="CCD4DC" w:sz="1"/>
              <w:bottom w:val="single" w:color="CCD4DC" w:sz="1"/>
              <w:right w:val="single" w:color="CCD4DC" w:sz="1"/>
            </w:tcBorders>
            <w:tcMar>
              <w:top w:type="dxa" w:w="70"/>
              <w:left w:type="dxa" w:w="120"/>
              <w:bottom w:type="dxa" w:w="70"/>
              <w:right w:type="dxa" w:w="120"/>
            </w:tcMar>
          </w:tcPr>
          <w:p>
            <w:r>
              <w:t xml:space="preserve">feature/ireland-cost-calculator</w:t>
            </w:r>
          </w:p>
        </w:tc>
      </w:tr>
      <w:tr>
        <w:tc>
          <w:tcPr>
            <w:tcW w:type="dxa" w:w="3000"/>
            <w:tcBorders>
              <w:top w:val="single" w:color="CCD4DC" w:sz="1"/>
              <w:left w:val="single" w:color="CCD4DC" w:sz="1"/>
              <w:bottom w:val="single" w:color="CCD4DC" w:sz="1"/>
              <w:right w:val="single" w:color="CCD4DC" w:sz="1"/>
            </w:tcBorders>
            <w:shd w:fill="EAF2F8" w:val="clear"/>
            <w:tcMar>
              <w:top w:type="dxa" w:w="70"/>
              <w:left w:type="dxa" w:w="120"/>
              <w:bottom w:type="dxa" w:w="70"/>
              <w:right w:type="dxa" w:w="120"/>
            </w:tcMar>
          </w:tcPr>
          <w:p>
            <w:r>
              <w:rPr>
                <w:b/>
                <w:bCs/>
                <w:color w:val="0B1F33"/>
              </w:rPr>
              <w:t xml:space="preserve">Base branch</w:t>
            </w:r>
          </w:p>
        </w:tc>
        <w:tc>
          <w:tcPr>
            <w:tcW w:type="dxa" w:w="6360"/>
            <w:tcBorders>
              <w:top w:val="single" w:color="CCD4DC" w:sz="1"/>
              <w:left w:val="single" w:color="CCD4DC" w:sz="1"/>
              <w:bottom w:val="single" w:color="CCD4DC" w:sz="1"/>
              <w:right w:val="single" w:color="CCD4DC" w:sz="1"/>
            </w:tcBorders>
            <w:tcMar>
              <w:top w:type="dxa" w:w="70"/>
              <w:left w:type="dxa" w:w="120"/>
              <w:bottom w:type="dxa" w:w="70"/>
              <w:right w:type="dxa" w:w="120"/>
            </w:tcMar>
          </w:tcPr>
          <w:p>
            <w:r>
              <w:t xml:space="preserve">master</w:t>
            </w:r>
          </w:p>
        </w:tc>
      </w:tr>
      <w:tr>
        <w:tc>
          <w:tcPr>
            <w:tcW w:type="dxa" w:w="3000"/>
            <w:tcBorders>
              <w:top w:val="single" w:color="CCD4DC" w:sz="1"/>
              <w:left w:val="single" w:color="CCD4DC" w:sz="1"/>
              <w:bottom w:val="single" w:color="CCD4DC" w:sz="1"/>
              <w:right w:val="single" w:color="CCD4DC" w:sz="1"/>
            </w:tcBorders>
            <w:shd w:fill="EAF2F8" w:val="clear"/>
            <w:tcMar>
              <w:top w:type="dxa" w:w="70"/>
              <w:left w:type="dxa" w:w="120"/>
              <w:bottom w:type="dxa" w:w="70"/>
              <w:right w:type="dxa" w:w="120"/>
            </w:tcMar>
          </w:tcPr>
          <w:p>
            <w:r>
              <w:rPr>
                <w:b/>
                <w:bCs/>
                <w:color w:val="0B1F33"/>
              </w:rPr>
              <w:t xml:space="preserve">Commits ahead of master</w:t>
            </w:r>
          </w:p>
        </w:tc>
        <w:tc>
          <w:tcPr>
            <w:tcW w:type="dxa" w:w="6360"/>
            <w:tcBorders>
              <w:top w:val="single" w:color="CCD4DC" w:sz="1"/>
              <w:left w:val="single" w:color="CCD4DC" w:sz="1"/>
              <w:bottom w:val="single" w:color="CCD4DC" w:sz="1"/>
              <w:right w:val="single" w:color="CCD4DC" w:sz="1"/>
            </w:tcBorders>
            <w:tcMar>
              <w:top w:type="dxa" w:w="70"/>
              <w:left w:type="dxa" w:w="120"/>
              <w:bottom w:type="dxa" w:w="70"/>
              <w:right w:type="dxa" w:w="120"/>
            </w:tcMar>
          </w:tcPr>
          <w:p>
            <w:r>
              <w:t xml:space="preserve">32</w:t>
            </w:r>
          </w:p>
        </w:tc>
      </w:tr>
      <w:tr>
        <w:tc>
          <w:tcPr>
            <w:tcW w:type="dxa" w:w="3000"/>
            <w:tcBorders>
              <w:top w:val="single" w:color="CCD4DC" w:sz="1"/>
              <w:left w:val="single" w:color="CCD4DC" w:sz="1"/>
              <w:bottom w:val="single" w:color="CCD4DC" w:sz="1"/>
              <w:right w:val="single" w:color="CCD4DC" w:sz="1"/>
            </w:tcBorders>
            <w:shd w:fill="EAF2F8" w:val="clear"/>
            <w:tcMar>
              <w:top w:type="dxa" w:w="70"/>
              <w:left w:type="dxa" w:w="120"/>
              <w:bottom w:type="dxa" w:w="70"/>
              <w:right w:type="dxa" w:w="120"/>
            </w:tcMar>
          </w:tcPr>
          <w:p>
            <w:r>
              <w:rPr>
                <w:b/>
                <w:bCs/>
                <w:color w:val="0B1F33"/>
              </w:rPr>
              <w:t xml:space="preserve">Files changed</w:t>
            </w:r>
          </w:p>
        </w:tc>
        <w:tc>
          <w:tcPr>
            <w:tcW w:type="dxa" w:w="6360"/>
            <w:tcBorders>
              <w:top w:val="single" w:color="CCD4DC" w:sz="1"/>
              <w:left w:val="single" w:color="CCD4DC" w:sz="1"/>
              <w:bottom w:val="single" w:color="CCD4DC" w:sz="1"/>
              <w:right w:val="single" w:color="CCD4DC" w:sz="1"/>
            </w:tcBorders>
            <w:tcMar>
              <w:top w:type="dxa" w:w="70"/>
              <w:left w:type="dxa" w:w="120"/>
              <w:bottom w:type="dxa" w:w="70"/>
              <w:right w:type="dxa" w:w="120"/>
            </w:tcMar>
          </w:tcPr>
          <w:p>
            <w:r>
              <w:t xml:space="preserve">34  (+3,250 / −1,178 lines)</w:t>
            </w:r>
          </w:p>
        </w:tc>
      </w:tr>
      <w:tr>
        <w:tc>
          <w:tcPr>
            <w:tcW w:type="dxa" w:w="3000"/>
            <w:tcBorders>
              <w:top w:val="single" w:color="CCD4DC" w:sz="1"/>
              <w:left w:val="single" w:color="CCD4DC" w:sz="1"/>
              <w:bottom w:val="single" w:color="CCD4DC" w:sz="1"/>
              <w:right w:val="single" w:color="CCD4DC" w:sz="1"/>
            </w:tcBorders>
            <w:shd w:fill="EAF2F8" w:val="clear"/>
            <w:tcMar>
              <w:top w:type="dxa" w:w="70"/>
              <w:left w:type="dxa" w:w="120"/>
              <w:bottom w:type="dxa" w:w="70"/>
              <w:right w:type="dxa" w:w="120"/>
            </w:tcMar>
          </w:tcPr>
          <w:p>
            <w:r>
              <w:rPr>
                <w:b/>
                <w:bCs/>
                <w:color w:val="0B1F33"/>
              </w:rPr>
              <w:t xml:space="preserve">Date range</w:t>
            </w:r>
          </w:p>
        </w:tc>
        <w:tc>
          <w:tcPr>
            <w:tcW w:type="dxa" w:w="6360"/>
            <w:tcBorders>
              <w:top w:val="single" w:color="CCD4DC" w:sz="1"/>
              <w:left w:val="single" w:color="CCD4DC" w:sz="1"/>
              <w:bottom w:val="single" w:color="CCD4DC" w:sz="1"/>
              <w:right w:val="single" w:color="CCD4DC" w:sz="1"/>
            </w:tcBorders>
            <w:tcMar>
              <w:top w:type="dxa" w:w="70"/>
              <w:left w:type="dxa" w:w="120"/>
              <w:bottom w:type="dxa" w:w="70"/>
              <w:right w:type="dxa" w:w="120"/>
            </w:tcMar>
          </w:tcPr>
          <w:p>
            <w:r>
              <w:t xml:space="preserve">28 May 2026 – 01 Jun 2026</w:t>
            </w:r>
          </w:p>
        </w:tc>
      </w:tr>
      <w:tr>
        <w:tc>
          <w:tcPr>
            <w:tcW w:type="dxa" w:w="3000"/>
            <w:tcBorders>
              <w:top w:val="single" w:color="CCD4DC" w:sz="1"/>
              <w:left w:val="single" w:color="CCD4DC" w:sz="1"/>
              <w:bottom w:val="single" w:color="CCD4DC" w:sz="1"/>
              <w:right w:val="single" w:color="CCD4DC" w:sz="1"/>
            </w:tcBorders>
            <w:shd w:fill="EAF2F8" w:val="clear"/>
            <w:tcMar>
              <w:top w:type="dxa" w:w="70"/>
              <w:left w:type="dxa" w:w="120"/>
              <w:bottom w:type="dxa" w:w="70"/>
              <w:right w:type="dxa" w:w="120"/>
            </w:tcMar>
          </w:tcPr>
          <w:p>
            <w:r>
              <w:rPr>
                <w:b/>
                <w:bCs/>
                <w:color w:val="0B1F33"/>
              </w:rPr>
              <w:t xml:space="preserve">Prepared</w:t>
            </w:r>
          </w:p>
        </w:tc>
        <w:tc>
          <w:tcPr>
            <w:tcW w:type="dxa" w:w="6360"/>
            <w:tcBorders>
              <w:top w:val="single" w:color="CCD4DC" w:sz="1"/>
              <w:left w:val="single" w:color="CCD4DC" w:sz="1"/>
              <w:bottom w:val="single" w:color="CCD4DC" w:sz="1"/>
              <w:right w:val="single" w:color="CCD4DC" w:sz="1"/>
            </w:tcBorders>
            <w:tcMar>
              <w:top w:type="dxa" w:w="70"/>
              <w:left w:type="dxa" w:w="120"/>
              <w:bottom w:type="dxa" w:w="70"/>
              <w:right w:type="dxa" w:w="120"/>
            </w:tcMar>
          </w:tcPr>
          <w:p>
            <w:r>
              <w:t xml:space="preserve">06 Jun 2026</w:t>
            </w:r>
          </w:p>
        </w:tc>
      </w:tr>
    </w:tbl>
    <w:p>
      <w:pPr>
        <w:spacing w:before="200"/>
      </w:pPr>
      <w:r>
        <w:rPr>
          <w:i/>
          <w:iCs/>
          <w:color w:val="5B6573"/>
          <w:sz w:val="19"/>
          <w:szCs w:val="19"/>
        </w:rPr>
        <w:t xml:space="preserve">Note on the branch name: despite the name, the bulk of this branch is a lead-capture / inquiry-flow overhaul and a marketing-site design refresh. The Ireland cost calculator itself received only incidental UI changes (see §7).</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Executive Summary</w:t>
      </w:r>
    </w:p>
    <w:p>
      <w:pPr>
        <w:spacing w:after="120" w:line="276"/>
      </w:pPr>
      <w:r>
        <w:t xml:space="preserve">This branch delivers five connected pieces of work. They were built incrementally over the dates above and ship together:</w:t>
      </w:r>
    </w:p>
    <w:p>
      <w:pPr>
        <w:pStyle w:val="ListParagraph"/>
        <w:numPr>
          <w:ilvl w:val="0"/>
          <w:numId w:val="2"/>
        </w:numPr>
        <w:spacing w:after="60"/>
      </w:pPr>
      <w:r>
        <w:rPr>
          <w:b/>
          <w:bCs/>
        </w:rPr>
        <w:t xml:space="preserve">Three-step inquiry flow. </w:t>
      </w:r>
      <w:r>
        <w:t xml:space="preserve">The customer car-request form was restructured into vehicle → delivery details → contact preferences. A new “contact preferences” step captures how and when the customer wants to be reached, in their own timezone.</w:t>
      </w:r>
    </w:p>
    <w:p>
      <w:pPr>
        <w:pStyle w:val="ListParagraph"/>
        <w:numPr>
          <w:ilvl w:val="0"/>
          <w:numId w:val="2"/>
        </w:numPr>
        <w:spacing w:after="60"/>
      </w:pPr>
      <w:r>
        <w:rPr>
          <w:b/>
          <w:bCs/>
        </w:rPr>
        <w:t xml:space="preserve">Draft-lead lifecycle. </w:t>
      </w:r>
      <w:r>
        <w:t xml:space="preserve">A lead is now saved as a hidden draft as soon as delivery details are entered, and only “promoted” to a live lead once contact preferences are submitted. Abandoned drafts are purged automatically and on tab-close, so the sales pipeline stays clean.</w:t>
      </w:r>
    </w:p>
    <w:p>
      <w:pPr>
        <w:pStyle w:val="ListParagraph"/>
        <w:numPr>
          <w:ilvl w:val="0"/>
          <w:numId w:val="2"/>
        </w:numPr>
        <w:spacing w:after="60"/>
      </w:pPr>
      <w:r>
        <w:rPr>
          <w:b/>
          <w:bCs/>
        </w:rPr>
        <w:t xml:space="preserve">Deferred, agent-branded emails. </w:t>
      </w:r>
      <w:r>
        <w:t xml:space="preserve">Customer and staff emails are no longer sent on the first step. They fire only once the lead is complete, and the customer email is styled to come from the assigned sales agent (From + reply-to), with WhatsApp / Email call-to-action buttons.</w:t>
      </w:r>
    </w:p>
    <w:p>
      <w:pPr>
        <w:pStyle w:val="ListParagraph"/>
        <w:numPr>
          <w:ilvl w:val="0"/>
          <w:numId w:val="2"/>
        </w:numPr>
        <w:spacing w:after="60"/>
      </w:pPr>
      <w:r>
        <w:rPr>
          <w:b/>
          <w:bCs/>
        </w:rPr>
        <w:t xml:space="preserve">Lead-management tooling. </w:t>
      </w:r>
      <w:r>
        <w:t xml:space="preserve">A follow-up countdown timer, a “Contact due” filter, a “My Leads” toggle, lead-source attribution from the landing page, and a contact-preference badge were added to the admin dashboard.</w:t>
      </w:r>
    </w:p>
    <w:p>
      <w:pPr>
        <w:pStyle w:val="ListParagraph"/>
        <w:numPr>
          <w:ilvl w:val="0"/>
          <w:numId w:val="2"/>
        </w:numPr>
        <w:spacing w:after="60"/>
      </w:pPr>
      <w:r>
        <w:rPr>
          <w:b/>
          <w:bCs/>
        </w:rPr>
        <w:t xml:space="preserve">Marketing-site design refresh. </w:t>
      </w:r>
      <w:r>
        <w:t xml:space="preserve">A Stripe-inspired visual pass across the landing pages, plus a new shared scroll-reveal animation system that fixes mobile pop-in / scroll-jank by decoupling reveals from React hydration.</w:t>
      </w:r>
    </w:p>
    <w:p>
      <w:pPr>
        <w:pStyle w:val="Heading3"/>
      </w:pPr>
      <w:r>
        <w:t xml:space="preserve">New files added (8)</w:t>
      </w:r>
    </w:p>
    <w:p>
      <w:pPr>
        <w:pStyle w:val="ListParagraph"/>
        <w:numPr>
          <w:ilvl w:val="0"/>
          <w:numId w:val="2"/>
        </w:numPr>
        <w:spacing w:after="60"/>
      </w:pPr>
      <w:r>
        <w:t xml:space="preserve">src/lib/contactScheduling.ts — timezone + contact-window scheduling helpers</w:t>
      </w:r>
    </w:p>
    <w:p>
      <w:pPr>
        <w:pStyle w:val="ListParagraph"/>
        <w:numPr>
          <w:ilvl w:val="0"/>
          <w:numId w:val="2"/>
        </w:numPr>
        <w:spacing w:after="60"/>
      </w:pPr>
      <w:r>
        <w:t xml:space="preserve">src/actions  changes — submitContactPreferences + follow-up timer actions</w:t>
      </w:r>
    </w:p>
    <w:p>
      <w:pPr>
        <w:pStyle w:val="ListParagraph"/>
        <w:numPr>
          <w:ilvl w:val="0"/>
          <w:numId w:val="2"/>
        </w:numPr>
        <w:spacing w:after="60"/>
      </w:pPr>
      <w:r>
        <w:t xml:space="preserve">src/app/api/v1/leads/discard/route.ts — abandoned-draft cleanup endpoint</w:t>
      </w:r>
    </w:p>
    <w:p>
      <w:pPr>
        <w:pStyle w:val="ListParagraph"/>
        <w:numPr>
          <w:ilvl w:val="0"/>
          <w:numId w:val="2"/>
        </w:numPr>
        <w:spacing w:after="60"/>
      </w:pPr>
      <w:r>
        <w:t xml:space="preserve">src/emails/contact-scheduled.tsx — agent-branded confirmation email</w:t>
      </w:r>
    </w:p>
    <w:p>
      <w:pPr>
        <w:pStyle w:val="ListParagraph"/>
        <w:numPr>
          <w:ilvl w:val="0"/>
          <w:numId w:val="2"/>
        </w:numPr>
        <w:spacing w:after="60"/>
      </w:pPr>
      <w:r>
        <w:t xml:space="preserve">src/components/FollowUpTimer.tsx — admin countdown-ring timer</w:t>
      </w:r>
    </w:p>
    <w:p>
      <w:pPr>
        <w:pStyle w:val="ListParagraph"/>
        <w:numPr>
          <w:ilvl w:val="0"/>
          <w:numId w:val="2"/>
        </w:numPr>
        <w:spacing w:after="60"/>
      </w:pPr>
      <w:r>
        <w:t xml:space="preserve">src/components/ContactPreferenceBadge.tsx — contact-window badge for the pipeline</w:t>
      </w:r>
    </w:p>
    <w:p>
      <w:pPr>
        <w:pStyle w:val="ListParagraph"/>
        <w:numPr>
          <w:ilvl w:val="0"/>
          <w:numId w:val="2"/>
        </w:numPr>
        <w:spacing w:after="60"/>
      </w:pPr>
      <w:r>
        <w:t xml:space="preserve">src/components/Reveal.tsx — shared scroll-reveal animation primitive</w:t>
      </w:r>
    </w:p>
    <w:p>
      <w:pPr>
        <w:pStyle w:val="ListParagraph"/>
        <w:numPr>
          <w:ilvl w:val="0"/>
          <w:numId w:val="2"/>
        </w:numPr>
        <w:spacing w:after="60"/>
      </w:pPr>
      <w:r>
        <w:t xml:space="preserve">src/components/MotionProvider.tsx + GradientMesh.tsx — animation / background helpers</w:t>
      </w:r>
    </w:p>
    <w:p>
      <w:pPr>
        <w:pStyle w:val="Heading1"/>
      </w:pPr>
      <w:r>
        <w:t xml:space="preserve">2. Data Model Changes</w:t>
      </w:r>
    </w:p>
    <w:p>
      <w:pPr>
        <w:spacing w:after="120" w:line="276"/>
      </w:pPr>
      <w:r>
        <w:t xml:space="preserve">All changes are additive to the </w:t>
      </w:r>
      <w:r>
        <w:rPr>
          <w:rFonts w:ascii="Consolas" w:cs="Consolas" w:eastAsia="Consolas" w:hAnsi="Consolas"/>
          <w:sz w:val="18"/>
          <w:szCs w:val="18"/>
        </w:rPr>
        <w:t xml:space="preserve">Request</w:t>
      </w:r>
      <w:r>
        <w:t xml:space="preserve"> Mongoose model (</w:t>
      </w:r>
      <w:r>
        <w:rPr>
          <w:rFonts w:ascii="Consolas" w:cs="Consolas" w:eastAsia="Consolas" w:hAnsi="Consolas"/>
          <w:sz w:val="18"/>
          <w:szCs w:val="18"/>
        </w:rPr>
        <w:t xml:space="preserve">src/models/Request.ts</w:t>
      </w:r>
      <w:r>
        <w:t xml:space="preserve">). No existing fields were removed or renamed, so the change is backward-compatible with existing documents.</w:t>
      </w:r>
    </w:p>
    <w:p>
      <w:pPr>
        <w:pStyle w:val="Heading3"/>
      </w:pPr>
      <w:r>
        <w:t xml:space="preserve">New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D4DC" w:sz="1"/>
              <w:left w:val="single" w:color="CCD4DC" w:sz="1"/>
              <w:bottom w:val="single" w:color="CCD4DC" w:sz="1"/>
              <w:right w:val="single" w:color="CCD4DC" w:sz="1"/>
            </w:tcBorders>
            <w:shd w:fill="0369A1" w:val="clear"/>
            <w:tcMar>
              <w:top w:type="dxa" w:w="80"/>
              <w:left w:type="dxa" w:w="120"/>
              <w:bottom w:type="dxa" w:w="80"/>
              <w:right w:type="dxa" w:w="120"/>
            </w:tcMar>
            <w:vAlign w:val="center"/>
          </w:tcPr>
          <w:p>
            <w:r>
              <w:rPr>
                <w:b/>
                <w:bCs/>
                <w:color w:val="FFFFFF"/>
              </w:rPr>
              <w:t xml:space="preserve">File / Area</w:t>
            </w:r>
          </w:p>
        </w:tc>
        <w:tc>
          <w:tcPr>
            <w:tcW w:type="dxa" w:w="6160"/>
            <w:tcBorders>
              <w:top w:val="single" w:color="CCD4DC" w:sz="1"/>
              <w:left w:val="single" w:color="CCD4DC" w:sz="1"/>
              <w:bottom w:val="single" w:color="CCD4DC" w:sz="1"/>
              <w:right w:val="single" w:color="CCD4DC" w:sz="1"/>
            </w:tcBorders>
            <w:shd w:fill="0369A1" w:val="clear"/>
            <w:tcMar>
              <w:top w:type="dxa" w:w="80"/>
              <w:left w:type="dxa" w:w="120"/>
              <w:bottom w:type="dxa" w:w="80"/>
              <w:right w:type="dxa" w:w="120"/>
            </w:tcMar>
            <w:vAlign w:val="center"/>
          </w:tcPr>
          <w:p>
            <w:r>
              <w:rPr>
                <w:b/>
                <w:bCs/>
                <w:color w:val="FFFFFF"/>
              </w:rPr>
              <w:t xml:space="preserve">What changed</w:t>
            </w:r>
          </w:p>
        </w:tc>
      </w:tr>
      <w:tr>
        <w:tc>
          <w:tcPr>
            <w:tcW w:type="dxa" w:w="3200"/>
            <w:tcBorders>
              <w:top w:val="single" w:color="CCD4DC" w:sz="1"/>
              <w:left w:val="single" w:color="CCD4DC" w:sz="1"/>
              <w:bottom w:val="single" w:color="CCD4DC" w:sz="1"/>
              <w:right w:val="single" w:color="CCD4DC" w:sz="1"/>
            </w:tcBorders>
            <w:shd w:fill="FFFFFF" w:val="clear"/>
            <w:tcMar>
              <w:top w:type="dxa" w:w="70"/>
              <w:left w:type="dxa" w:w="120"/>
              <w:bottom w:type="dxa" w:w="70"/>
              <w:right w:type="dxa" w:w="120"/>
            </w:tcMar>
          </w:tcPr>
          <w:p>
            <w:pPr>
              <w:spacing w:after="40"/>
            </w:pPr>
            <w:r>
              <w:rPr>
                <w:rFonts w:ascii="Consolas" w:cs="Consolas" w:eastAsia="Consolas" w:hAnsi="Consolas"/>
                <w:sz w:val="18"/>
                <w:szCs w:val="18"/>
              </w:rPr>
              <w:t xml:space="preserve">contactMethods: string[]</w:t>
            </w:r>
          </w:p>
        </w:tc>
        <w:tc>
          <w:tcPr>
            <w:tcW w:type="dxa" w:w="6160"/>
            <w:tcBorders>
              <w:top w:val="single" w:color="CCD4DC" w:sz="1"/>
              <w:left w:val="single" w:color="CCD4DC" w:sz="1"/>
              <w:bottom w:val="single" w:color="CCD4DC" w:sz="1"/>
              <w:right w:val="single" w:color="CCD4DC" w:sz="1"/>
            </w:tcBorders>
            <w:shd w:fill="FFFFFF" w:val="clear"/>
            <w:tcMar>
              <w:top w:type="dxa" w:w="70"/>
              <w:left w:type="dxa" w:w="120"/>
              <w:bottom w:type="dxa" w:w="70"/>
              <w:right w:type="dxa" w:w="120"/>
            </w:tcMar>
          </w:tcPr>
          <w:p>
            <w:pPr>
              <w:spacing w:after="40"/>
            </w:pPr>
            <w:r>
              <w:rPr>
                <w:rFonts w:ascii="Arial" w:cs="Arial" w:eastAsia="Arial" w:hAnsi="Arial"/>
                <w:sz w:val="20"/>
                <w:szCs w:val="20"/>
              </w:rPr>
              <w:t xml:space="preserve">One or more of WhatsApp / Call / WhatsApp Call / Email.</w:t>
            </w:r>
          </w:p>
        </w:tc>
      </w:tr>
      <w:tr>
        <w:tc>
          <w:tcPr>
            <w:tcW w:type="dxa" w:w="3200"/>
            <w:tcBorders>
              <w:top w:val="single" w:color="CCD4DC" w:sz="1"/>
              <w:left w:val="single" w:color="CCD4DC" w:sz="1"/>
              <w:bottom w:val="single" w:color="CCD4DC" w:sz="1"/>
              <w:right w:val="single" w:color="CCD4DC" w:sz="1"/>
            </w:tcBorders>
            <w:shd w:fill="F5F8FA" w:val="clear"/>
            <w:tcMar>
              <w:top w:type="dxa" w:w="70"/>
              <w:left w:type="dxa" w:w="120"/>
              <w:bottom w:type="dxa" w:w="70"/>
              <w:right w:type="dxa" w:w="120"/>
            </w:tcMar>
          </w:tcPr>
          <w:p>
            <w:pPr>
              <w:spacing w:after="40"/>
            </w:pPr>
            <w:r>
              <w:rPr>
                <w:rFonts w:ascii="Consolas" w:cs="Consolas" w:eastAsia="Consolas" w:hAnsi="Consolas"/>
                <w:sz w:val="18"/>
                <w:szCs w:val="18"/>
              </w:rPr>
              <w:t xml:space="preserve">contactDays: string[]</w:t>
            </w:r>
          </w:p>
        </w:tc>
        <w:tc>
          <w:tcPr>
            <w:tcW w:type="dxa" w:w="6160"/>
            <w:tcBorders>
              <w:top w:val="single" w:color="CCD4DC" w:sz="1"/>
              <w:left w:val="single" w:color="CCD4DC" w:sz="1"/>
              <w:bottom w:val="single" w:color="CCD4DC" w:sz="1"/>
              <w:right w:val="single" w:color="CCD4DC" w:sz="1"/>
            </w:tcBorders>
            <w:shd w:fill="F5F8FA" w:val="clear"/>
            <w:tcMar>
              <w:top w:type="dxa" w:w="70"/>
              <w:left w:type="dxa" w:w="120"/>
              <w:bottom w:type="dxa" w:w="70"/>
              <w:right w:type="dxa" w:w="120"/>
            </w:tcMar>
          </w:tcPr>
          <w:p>
            <w:pPr>
              <w:spacing w:after="40"/>
            </w:pPr>
            <w:r>
              <w:rPr>
                <w:rFonts w:ascii="Arial" w:cs="Arial" w:eastAsia="Arial" w:hAnsi="Arial"/>
                <w:sz w:val="20"/>
                <w:szCs w:val="20"/>
              </w:rPr>
              <w:t xml:space="preserve">e.g. ["Today"], ["Weekdays"], ["Monday","Wednesday"].</w:t>
            </w:r>
          </w:p>
        </w:tc>
      </w:tr>
      <w:tr>
        <w:tc>
          <w:tcPr>
            <w:tcW w:type="dxa" w:w="3200"/>
            <w:tcBorders>
              <w:top w:val="single" w:color="CCD4DC" w:sz="1"/>
              <w:left w:val="single" w:color="CCD4DC" w:sz="1"/>
              <w:bottom w:val="single" w:color="CCD4DC" w:sz="1"/>
              <w:right w:val="single" w:color="CCD4DC" w:sz="1"/>
            </w:tcBorders>
            <w:shd w:fill="FFFFFF" w:val="clear"/>
            <w:tcMar>
              <w:top w:type="dxa" w:w="70"/>
              <w:left w:type="dxa" w:w="120"/>
              <w:bottom w:type="dxa" w:w="70"/>
              <w:right w:type="dxa" w:w="120"/>
            </w:tcMar>
          </w:tcPr>
          <w:p>
            <w:pPr>
              <w:spacing w:after="40"/>
            </w:pPr>
            <w:r>
              <w:rPr>
                <w:rFonts w:ascii="Consolas" w:cs="Consolas" w:eastAsia="Consolas" w:hAnsi="Consolas"/>
                <w:sz w:val="18"/>
                <w:szCs w:val="18"/>
              </w:rPr>
              <w:t xml:space="preserve">contactTimeWindow: string</w:t>
            </w:r>
          </w:p>
        </w:tc>
        <w:tc>
          <w:tcPr>
            <w:tcW w:type="dxa" w:w="6160"/>
            <w:tcBorders>
              <w:top w:val="single" w:color="CCD4DC" w:sz="1"/>
              <w:left w:val="single" w:color="CCD4DC" w:sz="1"/>
              <w:bottom w:val="single" w:color="CCD4DC" w:sz="1"/>
              <w:right w:val="single" w:color="CCD4DC" w:sz="1"/>
            </w:tcBorders>
            <w:shd w:fill="FFFFFF" w:val="clear"/>
            <w:tcMar>
              <w:top w:type="dxa" w:w="70"/>
              <w:left w:type="dxa" w:w="120"/>
              <w:bottom w:type="dxa" w:w="70"/>
              <w:right w:type="dxa" w:w="120"/>
            </w:tcMar>
          </w:tcPr>
          <w:p>
            <w:pPr>
              <w:spacing w:after="40"/>
            </w:pPr>
            <w:r>
              <w:rPr>
                <w:rFonts w:ascii="Arial" w:cs="Arial" w:eastAsia="Arial" w:hAnsi="Arial"/>
                <w:sz w:val="20"/>
                <w:szCs w:val="20"/>
              </w:rPr>
              <w:t xml:space="preserve">Morning (9–12) / Afternoon (12–5) / Evening (5–8). May hold several comma-separated windows.</w:t>
            </w:r>
          </w:p>
        </w:tc>
      </w:tr>
      <w:tr>
        <w:tc>
          <w:tcPr>
            <w:tcW w:type="dxa" w:w="3200"/>
            <w:tcBorders>
              <w:top w:val="single" w:color="CCD4DC" w:sz="1"/>
              <w:left w:val="single" w:color="CCD4DC" w:sz="1"/>
              <w:bottom w:val="single" w:color="CCD4DC" w:sz="1"/>
              <w:right w:val="single" w:color="CCD4DC" w:sz="1"/>
            </w:tcBorders>
            <w:shd w:fill="F5F8FA" w:val="clear"/>
            <w:tcMar>
              <w:top w:type="dxa" w:w="70"/>
              <w:left w:type="dxa" w:w="120"/>
              <w:bottom w:type="dxa" w:w="70"/>
              <w:right w:type="dxa" w:w="120"/>
            </w:tcMar>
          </w:tcPr>
          <w:p>
            <w:pPr>
              <w:spacing w:after="40"/>
            </w:pPr>
            <w:r>
              <w:rPr>
                <w:rFonts w:ascii="Consolas" w:cs="Consolas" w:eastAsia="Consolas" w:hAnsi="Consolas"/>
                <w:sz w:val="18"/>
                <w:szCs w:val="18"/>
              </w:rPr>
              <w:t xml:space="preserve">contactTimezone: string</w:t>
            </w:r>
          </w:p>
        </w:tc>
        <w:tc>
          <w:tcPr>
            <w:tcW w:type="dxa" w:w="6160"/>
            <w:tcBorders>
              <w:top w:val="single" w:color="CCD4DC" w:sz="1"/>
              <w:left w:val="single" w:color="CCD4DC" w:sz="1"/>
              <w:bottom w:val="single" w:color="CCD4DC" w:sz="1"/>
              <w:right w:val="single" w:color="CCD4DC" w:sz="1"/>
            </w:tcBorders>
            <w:shd w:fill="F5F8FA" w:val="clear"/>
            <w:tcMar>
              <w:top w:type="dxa" w:w="70"/>
              <w:left w:type="dxa" w:w="120"/>
              <w:bottom w:type="dxa" w:w="70"/>
              <w:right w:type="dxa" w:w="120"/>
            </w:tcMar>
          </w:tcPr>
          <w:p>
            <w:pPr>
              <w:spacing w:after="40"/>
            </w:pPr>
            <w:r>
              <w:rPr>
                <w:rFonts w:ascii="Arial" w:cs="Arial" w:eastAsia="Arial" w:hAnsi="Arial"/>
                <w:sz w:val="20"/>
                <w:szCs w:val="20"/>
              </w:rPr>
              <w:t xml:space="preserve">IANA zone the customer selected, e.g. Europe/Dublin.</w:t>
            </w:r>
          </w:p>
        </w:tc>
      </w:tr>
      <w:tr>
        <w:tc>
          <w:tcPr>
            <w:tcW w:type="dxa" w:w="3200"/>
            <w:tcBorders>
              <w:top w:val="single" w:color="CCD4DC" w:sz="1"/>
              <w:left w:val="single" w:color="CCD4DC" w:sz="1"/>
              <w:bottom w:val="single" w:color="CCD4DC" w:sz="1"/>
              <w:right w:val="single" w:color="CCD4DC" w:sz="1"/>
            </w:tcBorders>
            <w:shd w:fill="FFFFFF" w:val="clear"/>
            <w:tcMar>
              <w:top w:type="dxa" w:w="70"/>
              <w:left w:type="dxa" w:w="120"/>
              <w:bottom w:type="dxa" w:w="70"/>
              <w:right w:type="dxa" w:w="120"/>
            </w:tcMar>
          </w:tcPr>
          <w:p>
            <w:pPr>
              <w:spacing w:after="40"/>
            </w:pPr>
            <w:r>
              <w:rPr>
                <w:rFonts w:ascii="Consolas" w:cs="Consolas" w:eastAsia="Consolas" w:hAnsi="Consolas"/>
                <w:sz w:val="18"/>
                <w:szCs w:val="18"/>
              </w:rPr>
              <w:t xml:space="preserve">contactTimezoneLabel: string</w:t>
            </w:r>
          </w:p>
        </w:tc>
        <w:tc>
          <w:tcPr>
            <w:tcW w:type="dxa" w:w="6160"/>
            <w:tcBorders>
              <w:top w:val="single" w:color="CCD4DC" w:sz="1"/>
              <w:left w:val="single" w:color="CCD4DC" w:sz="1"/>
              <w:bottom w:val="single" w:color="CCD4DC" w:sz="1"/>
              <w:right w:val="single" w:color="CCD4DC" w:sz="1"/>
            </w:tcBorders>
            <w:shd w:fill="FFFFFF" w:val="clear"/>
            <w:tcMar>
              <w:top w:type="dxa" w:w="70"/>
              <w:left w:type="dxa" w:w="120"/>
              <w:bottom w:type="dxa" w:w="70"/>
              <w:right w:type="dxa" w:w="120"/>
            </w:tcMar>
          </w:tcPr>
          <w:p>
            <w:pPr>
              <w:spacing w:after="40"/>
            </w:pPr>
            <w:r>
              <w:rPr>
                <w:rFonts w:ascii="Arial" w:cs="Arial" w:eastAsia="Arial" w:hAnsi="Arial"/>
                <w:sz w:val="20"/>
                <w:szCs w:val="20"/>
              </w:rPr>
              <w:t xml:space="preserve">Human-readable label shown to the customer.</w:t>
            </w:r>
          </w:p>
        </w:tc>
      </w:tr>
      <w:tr>
        <w:tc>
          <w:tcPr>
            <w:tcW w:type="dxa" w:w="3200"/>
            <w:tcBorders>
              <w:top w:val="single" w:color="CCD4DC" w:sz="1"/>
              <w:left w:val="single" w:color="CCD4DC" w:sz="1"/>
              <w:bottom w:val="single" w:color="CCD4DC" w:sz="1"/>
              <w:right w:val="single" w:color="CCD4DC" w:sz="1"/>
            </w:tcBorders>
            <w:shd w:fill="F5F8FA" w:val="clear"/>
            <w:tcMar>
              <w:top w:type="dxa" w:w="70"/>
              <w:left w:type="dxa" w:w="120"/>
              <w:bottom w:type="dxa" w:w="70"/>
              <w:right w:type="dxa" w:w="120"/>
            </w:tcMar>
          </w:tcPr>
          <w:p>
            <w:pPr>
              <w:spacing w:after="40"/>
            </w:pPr>
            <w:r>
              <w:rPr>
                <w:rFonts w:ascii="Consolas" w:cs="Consolas" w:eastAsia="Consolas" w:hAnsi="Consolas"/>
                <w:sz w:val="18"/>
                <w:szCs w:val="18"/>
              </w:rPr>
              <w:t xml:space="preserve">preferredContactAt: Date</w:t>
            </w:r>
          </w:p>
        </w:tc>
        <w:tc>
          <w:tcPr>
            <w:tcW w:type="dxa" w:w="6160"/>
            <w:tcBorders>
              <w:top w:val="single" w:color="CCD4DC" w:sz="1"/>
              <w:left w:val="single" w:color="CCD4DC" w:sz="1"/>
              <w:bottom w:val="single" w:color="CCD4DC" w:sz="1"/>
              <w:right w:val="single" w:color="CCD4DC" w:sz="1"/>
            </w:tcBorders>
            <w:shd w:fill="F5F8FA" w:val="clear"/>
            <w:tcMar>
              <w:top w:type="dxa" w:w="70"/>
              <w:left w:type="dxa" w:w="120"/>
              <w:bottom w:type="dxa" w:w="70"/>
              <w:right w:type="dxa" w:w="120"/>
            </w:tcMar>
          </w:tcPr>
          <w:p>
            <w:pPr>
              <w:spacing w:after="40"/>
            </w:pPr>
            <w:r>
              <w:rPr>
                <w:rFonts w:ascii="Arial" w:cs="Arial" w:eastAsia="Arial" w:hAnsi="Arial"/>
                <w:sz w:val="20"/>
                <w:szCs w:val="20"/>
              </w:rPr>
              <w:t xml:space="preserve">Concrete UTC instant computed from day + window + timezone.</w:t>
            </w:r>
          </w:p>
        </w:tc>
      </w:tr>
      <w:tr>
        <w:tc>
          <w:tcPr>
            <w:tcW w:type="dxa" w:w="3200"/>
            <w:tcBorders>
              <w:top w:val="single" w:color="CCD4DC" w:sz="1"/>
              <w:left w:val="single" w:color="CCD4DC" w:sz="1"/>
              <w:bottom w:val="single" w:color="CCD4DC" w:sz="1"/>
              <w:right w:val="single" w:color="CCD4DC" w:sz="1"/>
            </w:tcBorders>
            <w:shd w:fill="FFFFFF" w:val="clear"/>
            <w:tcMar>
              <w:top w:type="dxa" w:w="70"/>
              <w:left w:type="dxa" w:w="120"/>
              <w:bottom w:type="dxa" w:w="70"/>
              <w:right w:type="dxa" w:w="120"/>
            </w:tcMar>
          </w:tcPr>
          <w:p>
            <w:pPr>
              <w:spacing w:after="40"/>
            </w:pPr>
            <w:r>
              <w:rPr>
                <w:rFonts w:ascii="Consolas" w:cs="Consolas" w:eastAsia="Consolas" w:hAnsi="Consolas"/>
                <w:sz w:val="18"/>
                <w:szCs w:val="18"/>
              </w:rPr>
              <w:t xml:space="preserve">isDraft: boolean</w:t>
            </w:r>
          </w:p>
        </w:tc>
        <w:tc>
          <w:tcPr>
            <w:tcW w:type="dxa" w:w="6160"/>
            <w:tcBorders>
              <w:top w:val="single" w:color="CCD4DC" w:sz="1"/>
              <w:left w:val="single" w:color="CCD4DC" w:sz="1"/>
              <w:bottom w:val="single" w:color="CCD4DC" w:sz="1"/>
              <w:right w:val="single" w:color="CCD4DC" w:sz="1"/>
            </w:tcBorders>
            <w:shd w:fill="FFFFFF" w:val="clear"/>
            <w:tcMar>
              <w:top w:type="dxa" w:w="70"/>
              <w:left w:type="dxa" w:w="120"/>
              <w:bottom w:type="dxa" w:w="70"/>
              <w:right w:type="dxa" w:w="120"/>
            </w:tcMar>
          </w:tcPr>
          <w:p>
            <w:pPr>
              <w:spacing w:after="40"/>
            </w:pPr>
            <w:r>
              <w:rPr>
                <w:rFonts w:ascii="Arial" w:cs="Arial" w:eastAsia="Arial" w:hAnsi="Arial"/>
                <w:sz w:val="20"/>
                <w:szCs w:val="20"/>
              </w:rPr>
              <w:t xml:space="preserve">True while the lead exists but contact prefs are not yet submitted. Drafts are hidden from the pipeline and purged if abandoned. Defaults to false.</w:t>
            </w:r>
          </w:p>
        </w:tc>
      </w:tr>
      <w:tr>
        <w:tc>
          <w:tcPr>
            <w:tcW w:type="dxa" w:w="3200"/>
            <w:tcBorders>
              <w:top w:val="single" w:color="CCD4DC" w:sz="1"/>
              <w:left w:val="single" w:color="CCD4DC" w:sz="1"/>
              <w:bottom w:val="single" w:color="CCD4DC" w:sz="1"/>
              <w:right w:val="single" w:color="CCD4DC" w:sz="1"/>
            </w:tcBorders>
            <w:shd w:fill="F5F8FA" w:val="clear"/>
            <w:tcMar>
              <w:top w:type="dxa" w:w="70"/>
              <w:left w:type="dxa" w:w="120"/>
              <w:bottom w:type="dxa" w:w="70"/>
              <w:right w:type="dxa" w:w="120"/>
            </w:tcMar>
          </w:tcPr>
          <w:p>
            <w:pPr>
              <w:spacing w:after="40"/>
            </w:pPr>
            <w:r>
              <w:rPr>
                <w:rFonts w:ascii="Consolas" w:cs="Consolas" w:eastAsia="Consolas" w:hAnsi="Consolas"/>
                <w:sz w:val="18"/>
                <w:szCs w:val="18"/>
              </w:rPr>
              <w:t xml:space="preserve">source: string</w:t>
            </w:r>
          </w:p>
        </w:tc>
        <w:tc>
          <w:tcPr>
            <w:tcW w:type="dxa" w:w="6160"/>
            <w:tcBorders>
              <w:top w:val="single" w:color="CCD4DC" w:sz="1"/>
              <w:left w:val="single" w:color="CCD4DC" w:sz="1"/>
              <w:bottom w:val="single" w:color="CCD4DC" w:sz="1"/>
              <w:right w:val="single" w:color="CCD4DC" w:sz="1"/>
            </w:tcBorders>
            <w:shd w:fill="F5F8FA" w:val="clear"/>
            <w:tcMar>
              <w:top w:type="dxa" w:w="70"/>
              <w:left w:type="dxa" w:w="120"/>
              <w:bottom w:type="dxa" w:w="70"/>
              <w:right w:type="dxa" w:w="120"/>
            </w:tcMar>
          </w:tcPr>
          <w:p>
            <w:pPr>
              <w:spacing w:after="40"/>
            </w:pPr>
            <w:r>
              <w:rPr>
                <w:rFonts w:ascii="Arial" w:cs="Arial" w:eastAsia="Arial" w:hAnsi="Arial"/>
                <w:sz w:val="20"/>
                <w:szCs w:val="20"/>
              </w:rPr>
              <w:t xml:space="preserve">Lead-source slug captured from the landing page the inquiry came from.</w:t>
            </w:r>
          </w:p>
        </w:tc>
      </w:tr>
      <w:tr>
        <w:tc>
          <w:tcPr>
            <w:tcW w:type="dxa" w:w="3200"/>
            <w:tcBorders>
              <w:top w:val="single" w:color="CCD4DC" w:sz="1"/>
              <w:left w:val="single" w:color="CCD4DC" w:sz="1"/>
              <w:bottom w:val="single" w:color="CCD4DC" w:sz="1"/>
              <w:right w:val="single" w:color="CCD4DC" w:sz="1"/>
            </w:tcBorders>
            <w:shd w:fill="FFFFFF" w:val="clear"/>
            <w:tcMar>
              <w:top w:type="dxa" w:w="70"/>
              <w:left w:type="dxa" w:w="120"/>
              <w:bottom w:type="dxa" w:w="70"/>
              <w:right w:type="dxa" w:w="120"/>
            </w:tcMar>
          </w:tcPr>
          <w:p>
            <w:pPr>
              <w:spacing w:after="40"/>
            </w:pPr>
            <w:r>
              <w:rPr>
                <w:rFonts w:ascii="Consolas" w:cs="Consolas" w:eastAsia="Consolas" w:hAnsi="Consolas"/>
                <w:sz w:val="18"/>
                <w:szCs w:val="18"/>
              </w:rPr>
              <w:t xml:space="preserve">followUpAt / followUpSetAt: Date</w:t>
            </w:r>
          </w:p>
        </w:tc>
        <w:tc>
          <w:tcPr>
            <w:tcW w:type="dxa" w:w="6160"/>
            <w:tcBorders>
              <w:top w:val="single" w:color="CCD4DC" w:sz="1"/>
              <w:left w:val="single" w:color="CCD4DC" w:sz="1"/>
              <w:bottom w:val="single" w:color="CCD4DC" w:sz="1"/>
              <w:right w:val="single" w:color="CCD4DC" w:sz="1"/>
            </w:tcBorders>
            <w:shd w:fill="FFFFFF" w:val="clear"/>
            <w:tcMar>
              <w:top w:type="dxa" w:w="70"/>
              <w:left w:type="dxa" w:w="120"/>
              <w:bottom w:type="dxa" w:w="70"/>
              <w:right w:type="dxa" w:w="120"/>
            </w:tcMar>
          </w:tcPr>
          <w:p>
            <w:pPr>
              <w:spacing w:after="40"/>
            </w:pPr>
            <w:r>
              <w:rPr>
                <w:rFonts w:ascii="Arial" w:cs="Arial" w:eastAsia="Arial" w:hAnsi="Arial"/>
                <w:sz w:val="20"/>
                <w:szCs w:val="20"/>
              </w:rPr>
              <w:t xml:space="preserve">Drive the admin follow-up countdown timer.</w:t>
            </w:r>
          </w:p>
        </w:tc>
      </w:tr>
    </w:tbl>
    <w:p>
      <w:pPr>
        <w:spacing w:after="120" w:line="276"/>
      </w:pPr>
      <w:r>
        <w:rPr>
          <w:i/>
          <w:iCs/>
          <w:color w:val="5B6573"/>
          <w:sz w:val="19"/>
          <w:szCs w:val="19"/>
        </w:rPr>
        <w:t xml:space="preserve">Two defaults changed: leadStatus now defaults to "Action required" (was previously different), reflecting the new pipeline entry state.</w:t>
      </w:r>
    </w:p>
    <w:p>
      <w:pPr>
        <w:pStyle w:val="Heading1"/>
      </w:pPr>
      <w:r>
        <w:t xml:space="preserve">3. Three-Step Inquiry Flow</w:t>
      </w:r>
    </w:p>
    <w:p>
      <w:pPr>
        <w:spacing w:after="120" w:line="276"/>
      </w:pPr>
      <w:r>
        <w:t xml:space="preserve">The customer request form (src/components/requestForm.tsx, the largest single change at ~620 lines) was reorganised into three steps, with server logic split across two server actions in src/actions/request-actions.ts.</w:t>
      </w:r>
    </w:p>
    <w:p>
      <w:pPr>
        <w:pStyle w:val="Heading2"/>
      </w:pPr>
      <w:r>
        <w:t xml:space="preserve">3.1 Step structure</w:t>
      </w:r>
    </w:p>
    <w:p>
      <w:pPr>
        <w:pStyle w:val="ListParagraph"/>
        <w:numPr>
          <w:ilvl w:val="0"/>
          <w:numId w:val="2"/>
        </w:numPr>
        <w:spacing w:after="60"/>
      </w:pPr>
      <w:r>
        <w:rPr>
          <w:b/>
          <w:bCs/>
        </w:rPr>
        <w:t xml:space="preserve">Step 1 — Vehicle. </w:t>
      </w:r>
      <w:r>
        <w:t xml:space="preserve">Make, model, condition (now mandatory), year range (preset chips), mileage (range slider), specs.</w:t>
      </w:r>
    </w:p>
    <w:p>
      <w:pPr>
        <w:pStyle w:val="ListParagraph"/>
        <w:numPr>
          <w:ilvl w:val="0"/>
          <w:numId w:val="2"/>
        </w:numPr>
        <w:spacing w:after="60"/>
      </w:pPr>
      <w:r>
        <w:rPr>
          <w:b/>
          <w:bCs/>
        </w:rPr>
        <w:t xml:space="preserve">Step 2 — Delivery details. </w:t>
      </w:r>
      <w:r>
        <w:t xml:space="preserve">Name, email, phone (+ country code), country of import, import timeline (now mandatory). Submitting this step creates the draft lead.</w:t>
      </w:r>
    </w:p>
    <w:p>
      <w:pPr>
        <w:pStyle w:val="ListParagraph"/>
        <w:numPr>
          <w:ilvl w:val="0"/>
          <w:numId w:val="2"/>
        </w:numPr>
        <w:spacing w:after="60"/>
      </w:pPr>
      <w:r>
        <w:rPr>
          <w:b/>
          <w:bCs/>
        </w:rPr>
        <w:t xml:space="preserve">Step 3 — Contact preferences. </w:t>
      </w:r>
      <w:r>
        <w:t xml:space="preserve">Multiple contact methods, one or more preferred days, multi-select best time of day, and timezone (pre-selected from the destination country). Submitting completes the lead.</w:t>
      </w:r>
    </w:p>
    <w:p>
      <w:pPr>
        <w:pStyle w:val="Heading2"/>
      </w:pPr>
      <w:r>
        <w:t xml:space="preserve">3.2 submitCarRequest — create / update + draft</w:t>
      </w:r>
    </w:p>
    <w:p>
      <w:pPr>
        <w:pStyle w:val="ListParagraph"/>
        <w:numPr>
          <w:ilvl w:val="0"/>
          <w:numId w:val="2"/>
        </w:numPr>
        <w:spacing w:after="60"/>
      </w:pPr>
      <w:r>
        <w:t xml:space="preserve">Now accepts an optional id. If present (the customer stepped Back to edit), it updates the existing lead instead of creating a duplicate, keeping the assigned agent, source and tracking intact.</w:t>
      </w:r>
    </w:p>
    <w:p>
      <w:pPr>
        <w:pStyle w:val="ListParagraph"/>
        <w:numPr>
          <w:ilvl w:val="0"/>
          <w:numId w:val="2"/>
        </w:numPr>
        <w:spacing w:after="60"/>
      </w:pPr>
      <w:r>
        <w:t xml:space="preserve">New leads are created with isDraft: true and an agent assigned round-robin, so step 3 can show who will handle the inquiry.</w:t>
      </w:r>
    </w:p>
    <w:p>
      <w:pPr>
        <w:pStyle w:val="ListParagraph"/>
        <w:numPr>
          <w:ilvl w:val="0"/>
          <w:numId w:val="2"/>
        </w:numPr>
        <w:spacing w:after="60"/>
      </w:pPr>
      <w:r>
        <w:rPr>
          <w:b/>
          <w:bCs/>
        </w:rPr>
        <w:t xml:space="preserve">No emails are sent at this stage</w:t>
      </w:r>
      <w:r>
        <w:t xml:space="preserve"> — both the staff alert and customer thank-you are deferred to step 3 so abandoned leads never generate noise.</w:t>
      </w:r>
    </w:p>
    <w:p>
      <w:pPr>
        <w:pStyle w:val="Heading2"/>
      </w:pPr>
      <w:r>
        <w:t xml:space="preserve">3.3 submitContactPreferences — the new step-3 action</w:t>
      </w:r>
    </w:p>
    <w:p>
      <w:pPr>
        <w:pStyle w:val="ListParagraph"/>
        <w:numPr>
          <w:ilvl w:val="0"/>
          <w:numId w:val="2"/>
        </w:numPr>
        <w:spacing w:after="60"/>
      </w:pPr>
      <w:r>
        <w:t xml:space="preserve">Computes the concrete reminder instant from the customer's day(s) + window + timezone, anchored to the earliest selected window.</w:t>
      </w:r>
    </w:p>
    <w:p>
      <w:pPr>
        <w:pStyle w:val="ListParagraph"/>
        <w:numPr>
          <w:ilvl w:val="0"/>
          <w:numId w:val="2"/>
        </w:numPr>
        <w:spacing w:after="60"/>
      </w:pPr>
      <w:r>
        <w:t xml:space="preserve">Persists preferences, sets followUpAt / followUpSetAt (lights up the dashboard countdown), flips isDraft → false, and appends a statusHistory entry.</w:t>
      </w:r>
    </w:p>
    <w:p>
      <w:pPr>
        <w:pStyle w:val="ListParagraph"/>
        <w:numPr>
          <w:ilvl w:val="0"/>
          <w:numId w:val="2"/>
        </w:numPr>
        <w:spacing w:after="60"/>
      </w:pPr>
      <w:r>
        <w:t xml:space="preserve">Resolves the assigned agent and fires both emails (staff alert + agent-branded customer confirmation).</w:t>
      </w:r>
    </w:p>
    <w:p>
      <w:pPr>
        <w:pStyle w:val="Heading2"/>
      </w:pPr>
      <w:r>
        <w:t xml:space="preserve">3.4 contactScheduling.ts — timezone engine</w:t>
      </w:r>
    </w:p>
    <w:p>
      <w:pPr>
        <w:spacing w:after="120" w:line="276"/>
      </w:pPr>
      <w:r>
        <w:t xml:space="preserve">A new client+server-safe helper module. Highlights for whoever maintains it:</w:t>
      </w:r>
    </w:p>
    <w:p>
      <w:pPr>
        <w:pStyle w:val="ListParagraph"/>
        <w:numPr>
          <w:ilvl w:val="0"/>
          <w:numId w:val="2"/>
        </w:numPr>
        <w:spacing w:after="60"/>
      </w:pPr>
      <w:r>
        <w:t xml:space="preserve">DST-correct timezone math using native Intl.DateTimeFormat only — no extra dependencies.</w:t>
      </w:r>
    </w:p>
    <w:p>
      <w:pPr>
        <w:pStyle w:val="ListParagraph"/>
        <w:numPr>
          <w:ilvl w:val="0"/>
          <w:numId w:val="2"/>
        </w:numPr>
        <w:spacing w:after="60"/>
      </w:pPr>
      <w:r>
        <w:t xml:space="preserve">A curated list of ~50 IANA zones (one per distinct offset+DST behaviour), each labelled "(GMT±off) ABBR — Countries" so the dropdown is searchable by country, abbreviation or offset.</w:t>
      </w:r>
    </w:p>
    <w:p>
      <w:pPr>
        <w:pStyle w:val="ListParagraph"/>
        <w:numPr>
          <w:ilvl w:val="0"/>
          <w:numId w:val="2"/>
        </w:numPr>
        <w:spacing w:after="60"/>
      </w:pPr>
      <w:r>
        <w:t xml:space="preserve">COUNTRY_TO_TZ maps the form's import-country names to a zone, so timezone pre-selects from the chosen destination.</w:t>
      </w:r>
    </w:p>
    <w:p>
      <w:pPr>
        <w:pStyle w:val="ListParagraph"/>
        <w:numPr>
          <w:ilvl w:val="0"/>
          <w:numId w:val="2"/>
        </w:numPr>
        <w:spacing w:after="60"/>
      </w:pPr>
      <w:r>
        <w:rPr>
          <w:b/>
          <w:bCs/>
        </w:rPr>
        <w:t xml:space="preserve">Sales team works in IST. </w:t>
      </w:r>
      <w:r>
        <w:t xml:space="preserve">All display helpers (formatInIST) and the “Contact due” filter buckets (contactDueMatches) are evaluated in Asia/Kolkata; the customer's own zone is used only to interpret the day/window into a UTC instant.</w:t>
      </w:r>
    </w:p>
    <w:p>
      <w:pPr>
        <w:pStyle w:val="Heading1"/>
      </w:pPr>
      <w:r>
        <w:t xml:space="preserve">4. Draft-Lead Lifecycle &amp; Cleanup</w:t>
      </w:r>
    </w:p>
    <w:p>
      <w:pPr>
        <w:spacing w:after="120" w:line="276"/>
      </w:pPr>
      <w:r>
        <w:t xml:space="preserve">Drafts keep the pipeline clean while still capturing partial leads. Three mechanisms remove abandoned drafts:</w:t>
      </w:r>
    </w:p>
    <w:p>
      <w:pPr>
        <w:pStyle w:val="ListParagraph"/>
        <w:numPr>
          <w:ilvl w:val="0"/>
          <w:numId w:val="2"/>
        </w:numPr>
        <w:spacing w:after="60"/>
      </w:pPr>
      <w:r>
        <w:rPr>
          <w:b/>
          <w:bCs/>
        </w:rPr>
        <w:t xml:space="preserve">On admin load. </w:t>
      </w:r>
      <w:r>
        <w:t xml:space="preserve">getRequests() deletes drafts older than a 30-minute TTL, and returns only live leads (isDraft != true). getDashboardData() likewise excludes drafts from all aggregates.</w:t>
      </w:r>
    </w:p>
    <w:p>
      <w:pPr>
        <w:pStyle w:val="ListParagraph"/>
        <w:numPr>
          <w:ilvl w:val="0"/>
          <w:numId w:val="2"/>
        </w:numPr>
        <w:spacing w:after="60"/>
      </w:pPr>
      <w:r>
        <w:rPr>
          <w:b/>
          <w:bCs/>
        </w:rPr>
        <w:t xml:space="preserve">On tab close. </w:t>
      </w:r>
      <w:r>
        <w:t xml:space="preserve">POST /api/v1/leads/discard is called via navigator.sendBeacon when a customer closes the tab on step 3. It deletes the row only if it is still a draft — live leads are never touched.</w:t>
      </w:r>
    </w:p>
    <w:p>
      <w:pPr>
        <w:pStyle w:val="ListParagraph"/>
        <w:numPr>
          <w:ilvl w:val="0"/>
          <w:numId w:val="2"/>
        </w:numPr>
        <w:spacing w:after="60"/>
      </w:pPr>
      <w:r>
        <w:rPr>
          <w:b/>
          <w:bCs/>
        </w:rPr>
        <w:t xml:space="preserve">On completion. </w:t>
      </w:r>
      <w:r>
        <w:t xml:space="preserve">Submitting contact preferences promotes the draft to a live lead (isDraft = false), so it appears in the pipeline.</w:t>
      </w:r>
    </w:p>
    <w:p>
      <w:pPr>
        <w:pBdr>
          <w:left w:val="single" w:color="0369A1" w:sz="18" w:space="8"/>
        </w:pBdr>
        <w:shd w:fill="EAF2F8" w:val="clear"/>
        <w:spacing w:before="100"/>
      </w:pPr>
      <w:r>
        <w:rPr>
          <w:sz w:val="19"/>
          <w:szCs w:val="19"/>
        </w:rPr>
        <w:t xml:space="preserve">Heads-up for the next dev: the 30-minute draft TTL (DRAFT_TTL_MS in admin-actions.ts) is enforced lazily on the next admin page load, not by a background job. If no admin loads the dashboard, stale drafts persist until one does.</w:t>
      </w:r>
    </w:p>
    <w:p>
      <w:pPr>
        <w:pStyle w:val="Heading1"/>
      </w:pPr>
      <w:r>
        <w:t xml:space="preserve">5. Email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D4DC" w:sz="1"/>
              <w:left w:val="single" w:color="CCD4DC" w:sz="1"/>
              <w:bottom w:val="single" w:color="CCD4DC" w:sz="1"/>
              <w:right w:val="single" w:color="CCD4DC" w:sz="1"/>
            </w:tcBorders>
            <w:shd w:fill="0369A1" w:val="clear"/>
            <w:tcMar>
              <w:top w:type="dxa" w:w="80"/>
              <w:left w:type="dxa" w:w="120"/>
              <w:bottom w:type="dxa" w:w="80"/>
              <w:right w:type="dxa" w:w="120"/>
            </w:tcMar>
            <w:vAlign w:val="center"/>
          </w:tcPr>
          <w:p>
            <w:r>
              <w:rPr>
                <w:b/>
                <w:bCs/>
                <w:color w:val="FFFFFF"/>
              </w:rPr>
              <w:t xml:space="preserve">File / Area</w:t>
            </w:r>
          </w:p>
        </w:tc>
        <w:tc>
          <w:tcPr>
            <w:tcW w:type="dxa" w:w="6160"/>
            <w:tcBorders>
              <w:top w:val="single" w:color="CCD4DC" w:sz="1"/>
              <w:left w:val="single" w:color="CCD4DC" w:sz="1"/>
              <w:bottom w:val="single" w:color="CCD4DC" w:sz="1"/>
              <w:right w:val="single" w:color="CCD4DC" w:sz="1"/>
            </w:tcBorders>
            <w:shd w:fill="0369A1" w:val="clear"/>
            <w:tcMar>
              <w:top w:type="dxa" w:w="80"/>
              <w:left w:type="dxa" w:w="120"/>
              <w:bottom w:type="dxa" w:w="80"/>
              <w:right w:type="dxa" w:w="120"/>
            </w:tcMar>
            <w:vAlign w:val="center"/>
          </w:tcPr>
          <w:p>
            <w:r>
              <w:rPr>
                <w:b/>
                <w:bCs/>
                <w:color w:val="FFFFFF"/>
              </w:rPr>
              <w:t xml:space="preserve">What changed</w:t>
            </w:r>
          </w:p>
        </w:tc>
      </w:tr>
      <w:tr>
        <w:tc>
          <w:tcPr>
            <w:tcW w:type="dxa" w:w="3200"/>
            <w:tcBorders>
              <w:top w:val="single" w:color="CCD4DC" w:sz="1"/>
              <w:left w:val="single" w:color="CCD4DC" w:sz="1"/>
              <w:bottom w:val="single" w:color="CCD4DC" w:sz="1"/>
              <w:right w:val="single" w:color="CCD4DC" w:sz="1"/>
            </w:tcBorders>
            <w:shd w:fill="FFFFFF" w:val="clear"/>
            <w:tcMar>
              <w:top w:type="dxa" w:w="70"/>
              <w:left w:type="dxa" w:w="120"/>
              <w:bottom w:type="dxa" w:w="70"/>
              <w:right w:type="dxa" w:w="120"/>
            </w:tcMar>
          </w:tcPr>
          <w:p>
            <w:pPr>
              <w:spacing w:after="40"/>
            </w:pPr>
            <w:r>
              <w:rPr>
                <w:rFonts w:ascii="Consolas" w:cs="Consolas" w:eastAsia="Consolas" w:hAnsi="Consolas"/>
                <w:sz w:val="18"/>
                <w:szCs w:val="18"/>
              </w:rPr>
              <w:t xml:space="preserve">src/lib/email.ts</w:t>
            </w:r>
          </w:p>
        </w:tc>
        <w:tc>
          <w:tcPr>
            <w:tcW w:type="dxa" w:w="6160"/>
            <w:tcBorders>
              <w:top w:val="single" w:color="CCD4DC" w:sz="1"/>
              <w:left w:val="single" w:color="CCD4DC" w:sz="1"/>
              <w:bottom w:val="single" w:color="CCD4DC" w:sz="1"/>
              <w:right w:val="single" w:color="CCD4DC" w:sz="1"/>
            </w:tcBorders>
            <w:shd w:fill="FFFFFF" w:val="clear"/>
            <w:tcMar>
              <w:top w:type="dxa" w:w="70"/>
              <w:left w:type="dxa" w:w="120"/>
              <w:bottom w:type="dxa" w:w="70"/>
              <w:right w:type="dxa" w:w="120"/>
            </w:tcMar>
          </w:tcPr>
          <w:p>
            <w:pPr>
              <w:spacing w:after="40"/>
            </w:pPr>
            <w:r>
              <w:rPr>
                <w:rFonts w:ascii="Arial" w:cs="Arial" w:eastAsia="Arial" w:hAnsi="Arial"/>
                <w:sz w:val="20"/>
                <w:szCs w:val="20"/>
              </w:rPr>
              <w:t xml:space="preserve">New sendContactScheduledConfirmation() helper.</w:t>
            </w:r>
          </w:p>
          <w:p>
            <w:pPr>
              <w:spacing w:after="40"/>
            </w:pPr>
            <w:r>
              <w:rPr>
                <w:rFonts w:ascii="Arial" w:cs="Arial" w:eastAsia="Arial" w:hAnsi="Arial"/>
                <w:sz w:val="20"/>
                <w:szCs w:val="20"/>
              </w:rPr>
              <w:t xml:space="preserve">agentFrom() builds a “{Agent} via Providence Auto &lt;verified-domain&gt;” From header; sanitises the name.</w:t>
            </w:r>
          </w:p>
          <w:p>
            <w:pPr>
              <w:spacing w:after="40"/>
            </w:pPr>
            <w:r>
              <w:rPr>
                <w:rFonts w:ascii="Arial" w:cs="Arial" w:eastAsia="Arial" w:hAnsi="Arial"/>
                <w:sz w:val="20"/>
                <w:szCs w:val="20"/>
              </w:rPr>
              <w:t xml:space="preserve">sendEmail() now supports from + replyTo overrides.</w:t>
            </w:r>
          </w:p>
        </w:tc>
      </w:tr>
      <w:tr>
        <w:tc>
          <w:tcPr>
            <w:tcW w:type="dxa" w:w="3200"/>
            <w:tcBorders>
              <w:top w:val="single" w:color="CCD4DC" w:sz="1"/>
              <w:left w:val="single" w:color="CCD4DC" w:sz="1"/>
              <w:bottom w:val="single" w:color="CCD4DC" w:sz="1"/>
              <w:right w:val="single" w:color="CCD4DC" w:sz="1"/>
            </w:tcBorders>
            <w:shd w:fill="F5F8FA" w:val="clear"/>
            <w:tcMar>
              <w:top w:type="dxa" w:w="70"/>
              <w:left w:type="dxa" w:w="120"/>
              <w:bottom w:type="dxa" w:w="70"/>
              <w:right w:type="dxa" w:w="120"/>
            </w:tcMar>
          </w:tcPr>
          <w:p>
            <w:pPr>
              <w:spacing w:after="40"/>
            </w:pPr>
            <w:r>
              <w:rPr>
                <w:rFonts w:ascii="Consolas" w:cs="Consolas" w:eastAsia="Consolas" w:hAnsi="Consolas"/>
                <w:sz w:val="18"/>
                <w:szCs w:val="18"/>
              </w:rPr>
              <w:t xml:space="preserve">src/emails/contact-scheduled.tsx (new)</w:t>
            </w:r>
          </w:p>
        </w:tc>
        <w:tc>
          <w:tcPr>
            <w:tcW w:type="dxa" w:w="6160"/>
            <w:tcBorders>
              <w:top w:val="single" w:color="CCD4DC" w:sz="1"/>
              <w:left w:val="single" w:color="CCD4DC" w:sz="1"/>
              <w:bottom w:val="single" w:color="CCD4DC" w:sz="1"/>
              <w:right w:val="single" w:color="CCD4DC" w:sz="1"/>
            </w:tcBorders>
            <w:shd w:fill="F5F8FA" w:val="clear"/>
            <w:tcMar>
              <w:top w:type="dxa" w:w="70"/>
              <w:left w:type="dxa" w:w="120"/>
              <w:bottom w:type="dxa" w:w="70"/>
              <w:right w:type="dxa" w:w="120"/>
            </w:tcMar>
          </w:tcPr>
          <w:p>
            <w:pPr>
              <w:spacing w:after="40"/>
            </w:pPr>
            <w:r>
              <w:rPr>
                <w:rFonts w:ascii="Arial" w:cs="Arial" w:eastAsia="Arial" w:hAnsi="Arial"/>
                <w:sz w:val="20"/>
                <w:szCs w:val="20"/>
              </w:rPr>
              <w:t xml:space="preserve">Agent-branded confirmation email sent after step 3. Includes a summary of how/when we'll be in touch and WhatsApp + Email-me call-to-action buttons.</w:t>
            </w:r>
          </w:p>
        </w:tc>
      </w:tr>
      <w:tr>
        <w:tc>
          <w:tcPr>
            <w:tcW w:type="dxa" w:w="3200"/>
            <w:tcBorders>
              <w:top w:val="single" w:color="CCD4DC" w:sz="1"/>
              <w:left w:val="single" w:color="CCD4DC" w:sz="1"/>
              <w:bottom w:val="single" w:color="CCD4DC" w:sz="1"/>
              <w:right w:val="single" w:color="CCD4DC" w:sz="1"/>
            </w:tcBorders>
            <w:shd w:fill="FFFFFF" w:val="clear"/>
            <w:tcMar>
              <w:top w:type="dxa" w:w="70"/>
              <w:left w:type="dxa" w:w="120"/>
              <w:bottom w:type="dxa" w:w="70"/>
              <w:right w:type="dxa" w:w="120"/>
            </w:tcMar>
          </w:tcPr>
          <w:p>
            <w:pPr>
              <w:spacing w:after="40"/>
            </w:pPr>
            <w:r>
              <w:rPr>
                <w:rFonts w:ascii="Consolas" w:cs="Consolas" w:eastAsia="Consolas" w:hAnsi="Consolas"/>
                <w:sz w:val="18"/>
                <w:szCs w:val="18"/>
              </w:rPr>
              <w:t xml:space="preserve">src/emails/staff-alert.tsx</w:t>
            </w:r>
          </w:p>
        </w:tc>
        <w:tc>
          <w:tcPr>
            <w:tcW w:type="dxa" w:w="6160"/>
            <w:tcBorders>
              <w:top w:val="single" w:color="CCD4DC" w:sz="1"/>
              <w:left w:val="single" w:color="CCD4DC" w:sz="1"/>
              <w:bottom w:val="single" w:color="CCD4DC" w:sz="1"/>
              <w:right w:val="single" w:color="CCD4DC" w:sz="1"/>
            </w:tcBorders>
            <w:shd w:fill="FFFFFF" w:val="clear"/>
            <w:tcMar>
              <w:top w:type="dxa" w:w="70"/>
              <w:left w:type="dxa" w:w="120"/>
              <w:bottom w:type="dxa" w:w="70"/>
              <w:right w:type="dxa" w:w="120"/>
            </w:tcMar>
          </w:tcPr>
          <w:p>
            <w:pPr>
              <w:spacing w:after="40"/>
            </w:pPr>
            <w:r>
              <w:rPr>
                <w:rFonts w:ascii="Arial" w:cs="Arial" w:eastAsia="Arial" w:hAnsi="Arial"/>
                <w:sz w:val="20"/>
                <w:szCs w:val="20"/>
              </w:rPr>
              <w:t xml:space="preserve">Staff alert enriched with a “Preferred Contact” block: method, window/days, “Follow up by” in IST, and the customer's timezone.</w:t>
            </w:r>
          </w:p>
        </w:tc>
      </w:tr>
    </w:tbl>
    <w:p>
      <w:pPr>
        <w:spacing w:after="120" w:line="276"/>
      </w:pPr>
      <w:r>
        <w:rPr>
          <w:i/>
          <w:iCs/>
          <w:color w:val="5B6573"/>
          <w:sz w:val="19"/>
          <w:szCs w:val="19"/>
        </w:rPr>
        <w:t xml:space="preserve">Behavioural change to flag: emails moved from step-1 submission to step-3 completion. A half-completed inquiry now sends zero emails (previously it sent a confirmation + staff alert).</w:t>
      </w:r>
    </w:p>
    <w:p>
      <w:pPr>
        <w:pStyle w:val="Heading1"/>
      </w:pPr>
      <w:r>
        <w:t xml:space="preserve">6. Admin &amp; Lead-Management Tooling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D4DC" w:sz="1"/>
              <w:left w:val="single" w:color="CCD4DC" w:sz="1"/>
              <w:bottom w:val="single" w:color="CCD4DC" w:sz="1"/>
              <w:right w:val="single" w:color="CCD4DC" w:sz="1"/>
            </w:tcBorders>
            <w:shd w:fill="0369A1" w:val="clear"/>
            <w:tcMar>
              <w:top w:type="dxa" w:w="80"/>
              <w:left w:type="dxa" w:w="120"/>
              <w:bottom w:type="dxa" w:w="80"/>
              <w:right w:type="dxa" w:w="120"/>
            </w:tcMar>
            <w:vAlign w:val="center"/>
          </w:tcPr>
          <w:p>
            <w:r>
              <w:rPr>
                <w:b/>
                <w:bCs/>
                <w:color w:val="FFFFFF"/>
              </w:rPr>
              <w:t xml:space="preserve">File / Area</w:t>
            </w:r>
          </w:p>
        </w:tc>
        <w:tc>
          <w:tcPr>
            <w:tcW w:type="dxa" w:w="6160"/>
            <w:tcBorders>
              <w:top w:val="single" w:color="CCD4DC" w:sz="1"/>
              <w:left w:val="single" w:color="CCD4DC" w:sz="1"/>
              <w:bottom w:val="single" w:color="CCD4DC" w:sz="1"/>
              <w:right w:val="single" w:color="CCD4DC" w:sz="1"/>
            </w:tcBorders>
            <w:shd w:fill="0369A1" w:val="clear"/>
            <w:tcMar>
              <w:top w:type="dxa" w:w="80"/>
              <w:left w:type="dxa" w:w="120"/>
              <w:bottom w:type="dxa" w:w="80"/>
              <w:right w:type="dxa" w:w="120"/>
            </w:tcMar>
            <w:vAlign w:val="center"/>
          </w:tcPr>
          <w:p>
            <w:r>
              <w:rPr>
                <w:b/>
                <w:bCs/>
                <w:color w:val="FFFFFF"/>
              </w:rPr>
              <w:t xml:space="preserve">What changed</w:t>
            </w:r>
          </w:p>
        </w:tc>
      </w:tr>
      <w:tr>
        <w:tc>
          <w:tcPr>
            <w:tcW w:type="dxa" w:w="3200"/>
            <w:tcBorders>
              <w:top w:val="single" w:color="CCD4DC" w:sz="1"/>
              <w:left w:val="single" w:color="CCD4DC" w:sz="1"/>
              <w:bottom w:val="single" w:color="CCD4DC" w:sz="1"/>
              <w:right w:val="single" w:color="CCD4DC" w:sz="1"/>
            </w:tcBorders>
            <w:shd w:fill="FFFFFF" w:val="clear"/>
            <w:tcMar>
              <w:top w:type="dxa" w:w="70"/>
              <w:left w:type="dxa" w:w="120"/>
              <w:bottom w:type="dxa" w:w="70"/>
              <w:right w:type="dxa" w:w="120"/>
            </w:tcMar>
          </w:tcPr>
          <w:p>
            <w:pPr>
              <w:spacing w:after="40"/>
            </w:pPr>
            <w:r>
              <w:rPr>
                <w:rFonts w:ascii="Consolas" w:cs="Consolas" w:eastAsia="Consolas" w:hAnsi="Consolas"/>
                <w:sz w:val="18"/>
                <w:szCs w:val="18"/>
              </w:rPr>
              <w:t xml:space="preserve">admin-actions.ts</w:t>
            </w:r>
          </w:p>
        </w:tc>
        <w:tc>
          <w:tcPr>
            <w:tcW w:type="dxa" w:w="6160"/>
            <w:tcBorders>
              <w:top w:val="single" w:color="CCD4DC" w:sz="1"/>
              <w:left w:val="single" w:color="CCD4DC" w:sz="1"/>
              <w:bottom w:val="single" w:color="CCD4DC" w:sz="1"/>
              <w:right w:val="single" w:color="CCD4DC" w:sz="1"/>
            </w:tcBorders>
            <w:shd w:fill="FFFFFF" w:val="clear"/>
            <w:tcMar>
              <w:top w:type="dxa" w:w="70"/>
              <w:left w:type="dxa" w:w="120"/>
              <w:bottom w:type="dxa" w:w="70"/>
              <w:right w:type="dxa" w:w="120"/>
            </w:tcMar>
          </w:tcPr>
          <w:p>
            <w:pPr>
              <w:spacing w:after="40"/>
            </w:pPr>
            <w:r>
              <w:rPr>
                <w:rFonts w:ascii="Arial" w:cs="Arial" w:eastAsia="Arial" w:hAnsi="Arial"/>
                <w:sz w:val="20"/>
                <w:szCs w:val="20"/>
              </w:rPr>
              <w:t xml:space="preserve">New setFollowUpTimer / clearFollowUpTimer / expireFollowUpTimer actions.</w:t>
            </w:r>
          </w:p>
          <w:p>
            <w:pPr>
              <w:spacing w:after="40"/>
            </w:pPr>
            <w:r>
              <w:rPr>
                <w:rFonts w:ascii="Arial" w:cs="Arial" w:eastAsia="Arial" w:hAnsi="Arial"/>
                <w:sz w:val="20"/>
                <w:szCs w:val="20"/>
              </w:rPr>
              <w:t xml:space="preserve">Draft purge + draft exclusion in getRequests().</w:t>
            </w:r>
          </w:p>
          <w:p>
            <w:pPr>
              <w:spacing w:after="40"/>
            </w:pPr>
            <w:r>
              <w:rPr>
                <w:rFonts w:ascii="Arial" w:cs="Arial" w:eastAsia="Arial" w:hAnsi="Arial"/>
                <w:sz w:val="20"/>
                <w:szCs w:val="20"/>
              </w:rPr>
              <w:t xml:space="preserve">expireFollowUpTimer flips the lead back to “Action required” and logs to statusHistory.</w:t>
            </w:r>
          </w:p>
        </w:tc>
      </w:tr>
      <w:tr>
        <w:tc>
          <w:tcPr>
            <w:tcW w:type="dxa" w:w="3200"/>
            <w:tcBorders>
              <w:top w:val="single" w:color="CCD4DC" w:sz="1"/>
              <w:left w:val="single" w:color="CCD4DC" w:sz="1"/>
              <w:bottom w:val="single" w:color="CCD4DC" w:sz="1"/>
              <w:right w:val="single" w:color="CCD4DC" w:sz="1"/>
            </w:tcBorders>
            <w:shd w:fill="F5F8FA" w:val="clear"/>
            <w:tcMar>
              <w:top w:type="dxa" w:w="70"/>
              <w:left w:type="dxa" w:w="120"/>
              <w:bottom w:type="dxa" w:w="70"/>
              <w:right w:type="dxa" w:w="120"/>
            </w:tcMar>
          </w:tcPr>
          <w:p>
            <w:pPr>
              <w:spacing w:after="40"/>
            </w:pPr>
            <w:r>
              <w:rPr>
                <w:rFonts w:ascii="Consolas" w:cs="Consolas" w:eastAsia="Consolas" w:hAnsi="Consolas"/>
                <w:sz w:val="18"/>
                <w:szCs w:val="18"/>
              </w:rPr>
              <w:t xml:space="preserve">FollowUpTimer.tsx (new)</w:t>
            </w:r>
          </w:p>
        </w:tc>
        <w:tc>
          <w:tcPr>
            <w:tcW w:type="dxa" w:w="6160"/>
            <w:tcBorders>
              <w:top w:val="single" w:color="CCD4DC" w:sz="1"/>
              <w:left w:val="single" w:color="CCD4DC" w:sz="1"/>
              <w:bottom w:val="single" w:color="CCD4DC" w:sz="1"/>
              <w:right w:val="single" w:color="CCD4DC" w:sz="1"/>
            </w:tcBorders>
            <w:shd w:fill="F5F8FA" w:val="clear"/>
            <w:tcMar>
              <w:top w:type="dxa" w:w="70"/>
              <w:left w:type="dxa" w:w="120"/>
              <w:bottom w:type="dxa" w:w="70"/>
              <w:right w:type="dxa" w:w="120"/>
            </w:tcMar>
          </w:tcPr>
          <w:p>
            <w:pPr>
              <w:spacing w:after="40"/>
            </w:pPr>
            <w:r>
              <w:rPr>
                <w:rFonts w:ascii="Arial" w:cs="Arial" w:eastAsia="Arial" w:hAnsi="Arial"/>
                <w:sz w:val="20"/>
                <w:szCs w:val="20"/>
              </w:rPr>
              <w:t xml:space="preserve">Countdown-ring component for the dashboard; auto-expires via the server action when the timer runs out.</w:t>
            </w:r>
          </w:p>
        </w:tc>
      </w:tr>
      <w:tr>
        <w:tc>
          <w:tcPr>
            <w:tcW w:type="dxa" w:w="3200"/>
            <w:tcBorders>
              <w:top w:val="single" w:color="CCD4DC" w:sz="1"/>
              <w:left w:val="single" w:color="CCD4DC" w:sz="1"/>
              <w:bottom w:val="single" w:color="CCD4DC" w:sz="1"/>
              <w:right w:val="single" w:color="CCD4DC" w:sz="1"/>
            </w:tcBorders>
            <w:shd w:fill="FFFFFF" w:val="clear"/>
            <w:tcMar>
              <w:top w:type="dxa" w:w="70"/>
              <w:left w:type="dxa" w:w="120"/>
              <w:bottom w:type="dxa" w:w="70"/>
              <w:right w:type="dxa" w:w="120"/>
            </w:tcMar>
          </w:tcPr>
          <w:p>
            <w:pPr>
              <w:spacing w:after="40"/>
            </w:pPr>
            <w:r>
              <w:rPr>
                <w:rFonts w:ascii="Consolas" w:cs="Consolas" w:eastAsia="Consolas" w:hAnsi="Consolas"/>
                <w:sz w:val="18"/>
                <w:szCs w:val="18"/>
              </w:rPr>
              <w:t xml:space="preserve">ContactPreferenceBadge.tsx (new)</w:t>
            </w:r>
          </w:p>
        </w:tc>
        <w:tc>
          <w:tcPr>
            <w:tcW w:type="dxa" w:w="6160"/>
            <w:tcBorders>
              <w:top w:val="single" w:color="CCD4DC" w:sz="1"/>
              <w:left w:val="single" w:color="CCD4DC" w:sz="1"/>
              <w:bottom w:val="single" w:color="CCD4DC" w:sz="1"/>
              <w:right w:val="single" w:color="CCD4DC" w:sz="1"/>
            </w:tcBorders>
            <w:shd w:fill="FFFFFF" w:val="clear"/>
            <w:tcMar>
              <w:top w:type="dxa" w:w="70"/>
              <w:left w:type="dxa" w:w="120"/>
              <w:bottom w:type="dxa" w:w="70"/>
              <w:right w:type="dxa" w:w="120"/>
            </w:tcMar>
          </w:tcPr>
          <w:p>
            <w:pPr>
              <w:spacing w:after="40"/>
            </w:pPr>
            <w:r>
              <w:rPr>
                <w:rFonts w:ascii="Arial" w:cs="Arial" w:eastAsia="Arial" w:hAnsi="Arial"/>
                <w:sz w:val="20"/>
                <w:szCs w:val="20"/>
              </w:rPr>
              <w:t xml:space="preserve">Compact badge showing the customer's preferred contact method + window in the pipeline.</w:t>
            </w:r>
          </w:p>
        </w:tc>
      </w:tr>
      <w:tr>
        <w:tc>
          <w:tcPr>
            <w:tcW w:type="dxa" w:w="3200"/>
            <w:tcBorders>
              <w:top w:val="single" w:color="CCD4DC" w:sz="1"/>
              <w:left w:val="single" w:color="CCD4DC" w:sz="1"/>
              <w:bottom w:val="single" w:color="CCD4DC" w:sz="1"/>
              <w:right w:val="single" w:color="CCD4DC" w:sz="1"/>
            </w:tcBorders>
            <w:shd w:fill="F5F8FA" w:val="clear"/>
            <w:tcMar>
              <w:top w:type="dxa" w:w="70"/>
              <w:left w:type="dxa" w:w="120"/>
              <w:bottom w:type="dxa" w:w="70"/>
              <w:right w:type="dxa" w:w="120"/>
            </w:tcMar>
          </w:tcPr>
          <w:p>
            <w:pPr>
              <w:spacing w:after="40"/>
            </w:pPr>
            <w:r>
              <w:rPr>
                <w:rFonts w:ascii="Consolas" w:cs="Consolas" w:eastAsia="Consolas" w:hAnsi="Consolas"/>
                <w:sz w:val="18"/>
                <w:szCs w:val="18"/>
              </w:rPr>
              <w:t xml:space="preserve">DashboardClient.tsx / RequestTableClient.tsx</w:t>
            </w:r>
          </w:p>
        </w:tc>
        <w:tc>
          <w:tcPr>
            <w:tcW w:type="dxa" w:w="6160"/>
            <w:tcBorders>
              <w:top w:val="single" w:color="CCD4DC" w:sz="1"/>
              <w:left w:val="single" w:color="CCD4DC" w:sz="1"/>
              <w:bottom w:val="single" w:color="CCD4DC" w:sz="1"/>
              <w:right w:val="single" w:color="CCD4DC" w:sz="1"/>
            </w:tcBorders>
            <w:shd w:fill="F5F8FA" w:val="clear"/>
            <w:tcMar>
              <w:top w:type="dxa" w:w="70"/>
              <w:left w:type="dxa" w:w="120"/>
              <w:bottom w:type="dxa" w:w="70"/>
              <w:right w:type="dxa" w:w="120"/>
            </w:tcMar>
          </w:tcPr>
          <w:p>
            <w:pPr>
              <w:spacing w:after="40"/>
            </w:pPr>
            <w:r>
              <w:rPr>
                <w:rFonts w:ascii="Arial" w:cs="Arial" w:eastAsia="Arial" w:hAnsi="Arial"/>
                <w:sz w:val="20"/>
                <w:szCs w:val="20"/>
              </w:rPr>
              <w:t xml:space="preserve">“Contact due” filter (Overdue / Next 2h / Today / Tomorrow / This week, computed in IST).</w:t>
            </w:r>
          </w:p>
          <w:p>
            <w:pPr>
              <w:spacing w:after="40"/>
            </w:pPr>
            <w:r>
              <w:rPr>
                <w:rFonts w:ascii="Arial" w:cs="Arial" w:eastAsia="Arial" w:hAnsi="Arial"/>
                <w:sz w:val="20"/>
                <w:szCs w:val="20"/>
              </w:rPr>
              <w:t xml:space="preserve">“My Leads” filter toggle.</w:t>
            </w:r>
          </w:p>
          <w:p>
            <w:pPr>
              <w:spacing w:after="40"/>
            </w:pPr>
            <w:r>
              <w:rPr>
                <w:rFonts w:ascii="Arial" w:cs="Arial" w:eastAsia="Arial" w:hAnsi="Arial"/>
                <w:sz w:val="20"/>
                <w:szCs w:val="20"/>
              </w:rPr>
              <w:t xml:space="preserve">Clickable lead-source chip linking back to the originating landing page.</w:t>
            </w:r>
          </w:p>
          <w:p>
            <w:pPr>
              <w:spacing w:after="40"/>
            </w:pPr>
            <w:r>
              <w:rPr>
                <w:rFonts w:ascii="Arial" w:cs="Arial" w:eastAsia="Arial" w:hAnsi="Arial"/>
                <w:sz w:val="20"/>
                <w:szCs w:val="20"/>
              </w:rPr>
              <w:t xml:space="preserve">Quick-access contact icons.</w:t>
            </w:r>
          </w:p>
        </w:tc>
      </w:tr>
      <w:tr>
        <w:tc>
          <w:tcPr>
            <w:tcW w:type="dxa" w:w="3200"/>
            <w:tcBorders>
              <w:top w:val="single" w:color="CCD4DC" w:sz="1"/>
              <w:left w:val="single" w:color="CCD4DC" w:sz="1"/>
              <w:bottom w:val="single" w:color="CCD4DC" w:sz="1"/>
              <w:right w:val="single" w:color="CCD4DC" w:sz="1"/>
            </w:tcBorders>
            <w:shd w:fill="FFFFFF" w:val="clear"/>
            <w:tcMar>
              <w:top w:type="dxa" w:w="70"/>
              <w:left w:type="dxa" w:w="120"/>
              <w:bottom w:type="dxa" w:w="70"/>
              <w:right w:type="dxa" w:w="120"/>
            </w:tcMar>
          </w:tcPr>
          <w:p>
            <w:pPr>
              <w:spacing w:after="40"/>
            </w:pPr>
            <w:r>
              <w:rPr>
                <w:rFonts w:ascii="Consolas" w:cs="Consolas" w:eastAsia="Consolas" w:hAnsi="Consolas"/>
                <w:sz w:val="18"/>
                <w:szCs w:val="18"/>
              </w:rPr>
              <w:t xml:space="preserve">RequestActionModal.tsx</w:t>
            </w:r>
          </w:p>
        </w:tc>
        <w:tc>
          <w:tcPr>
            <w:tcW w:type="dxa" w:w="6160"/>
            <w:tcBorders>
              <w:top w:val="single" w:color="CCD4DC" w:sz="1"/>
              <w:left w:val="single" w:color="CCD4DC" w:sz="1"/>
              <w:bottom w:val="single" w:color="CCD4DC" w:sz="1"/>
              <w:right w:val="single" w:color="CCD4DC" w:sz="1"/>
            </w:tcBorders>
            <w:shd w:fill="FFFFFF" w:val="clear"/>
            <w:tcMar>
              <w:top w:type="dxa" w:w="70"/>
              <w:left w:type="dxa" w:w="120"/>
              <w:bottom w:type="dxa" w:w="70"/>
              <w:right w:type="dxa" w:w="120"/>
            </w:tcMar>
          </w:tcPr>
          <w:p>
            <w:pPr>
              <w:spacing w:after="40"/>
            </w:pPr>
            <w:r>
              <w:rPr>
                <w:rFonts w:ascii="Arial" w:cs="Arial" w:eastAsia="Arial" w:hAnsi="Arial"/>
                <w:sz w:val="20"/>
                <w:szCs w:val="20"/>
              </w:rPr>
              <w:t xml:space="preserve">Retry on Safari “Load failed” network error when saving.</w:t>
            </w:r>
          </w:p>
        </w:tc>
      </w:tr>
    </w:tbl>
    <w:p>
      <w:pPr>
        <w:pStyle w:val="Heading1"/>
      </w:pPr>
      <w:r>
        <w:t xml:space="preserve">7. Marketing Site, Animations &amp; Calculator</w:t>
      </w:r>
    </w:p>
    <w:p>
      <w:pPr>
        <w:pStyle w:val="Heading2"/>
      </w:pPr>
      <w:r>
        <w:t xml:space="preserve">7.1 Shared scroll-reveal system</w:t>
      </w:r>
    </w:p>
    <w:p>
      <w:pPr>
        <w:pStyle w:val="ListParagraph"/>
        <w:numPr>
          <w:ilvl w:val="0"/>
          <w:numId w:val="2"/>
        </w:numPr>
        <w:spacing w:after="60"/>
      </w:pPr>
      <w:r>
        <w:rPr>
          <w:b/>
          <w:bCs/>
        </w:rPr>
        <w:t xml:space="preserve">Reveal.tsx (new) </w:t>
      </w:r>
      <w:r>
        <w:t xml:space="preserve">replaces scattered inline framer-motion usage with one primitive driven by a CSS animation + a shared IntersectionObserver. This fixes mobile pop-in and scroll-jank by decoupling reveals from React hydration.</w:t>
      </w:r>
    </w:p>
    <w:p>
      <w:pPr>
        <w:pStyle w:val="ListParagraph"/>
        <w:numPr>
          <w:ilvl w:val="0"/>
          <w:numId w:val="2"/>
        </w:numPr>
        <w:spacing w:after="60"/>
      </w:pPr>
      <w:r>
        <w:t xml:space="preserve">MotionProvider.tsx and GradientMesh.tsx support the refreshed visuals; globals.css carries the new keyframes / easing.</w:t>
      </w:r>
    </w:p>
    <w:p>
      <w:pPr>
        <w:pBdr>
          <w:left w:val="single" w:color="0369A1" w:sz="18" w:space="8"/>
        </w:pBdr>
        <w:shd w:fill="EAF2F8" w:val="clear"/>
        <w:spacing w:before="80"/>
      </w:pPr>
      <w:r>
        <w:rPr>
          <w:sz w:val="19"/>
          <w:szCs w:val="19"/>
        </w:rPr>
        <w:t xml:space="preserve">Convention to keep: appearance animations should use the shared &lt;Reveal&gt;, not new inline framer-motion. Note also that IntersectionObserver / whileInView reads opacity:0 inside the hidden preview pane — verify reveals with screenshots, not the DOM.</w:t>
      </w:r>
    </w:p>
    <w:p>
      <w:pPr>
        <w:pStyle w:val="Heading2"/>
      </w:pPr>
      <w:r>
        <w:t xml:space="preserve">7.2 Landing pages &amp; home</w:t>
      </w:r>
    </w:p>
    <w:p>
      <w:pPr>
        <w:pStyle w:val="ListParagraph"/>
        <w:numPr>
          <w:ilvl w:val="0"/>
          <w:numId w:val="2"/>
        </w:numPr>
        <w:spacing w:after="60"/>
      </w:pPr>
      <w:r>
        <w:t xml:space="preserve">Stripe-inspired design refresh across b2b / b2c / saas pages, the home page, campaign pages and the layout (hero images restored, grid overlay removed, mobile/animation polish).</w:t>
      </w:r>
    </w:p>
    <w:p>
      <w:pPr>
        <w:pStyle w:val="ListParagraph"/>
        <w:numPr>
          <w:ilvl w:val="0"/>
          <w:numId w:val="2"/>
        </w:numPr>
        <w:spacing w:after="60"/>
      </w:pPr>
      <w:r>
        <w:t xml:space="preserve">Lead-source attribution: every submission records the landing-page slug it came from; a smart “Begin Inquiry” button scrolls on-page or navigates with a ref attribution.</w:t>
      </w:r>
    </w:p>
    <w:p>
      <w:pPr>
        <w:pStyle w:val="Heading2"/>
      </w:pPr>
      <w:r>
        <w:t xml:space="preserve">7.3 Ireland cost calculator</w:t>
      </w:r>
    </w:p>
    <w:p>
      <w:pPr>
        <w:pStyle w:val="ListParagraph"/>
        <w:numPr>
          <w:ilvl w:val="0"/>
          <w:numId w:val="2"/>
        </w:numPr>
        <w:spacing w:after="60"/>
      </w:pPr>
      <w:r>
        <w:t xml:space="preserve">Added a labelled, swipeable sticky bar whose values update live during drag (€50 increments), with a first-time hint banner.</w:t>
      </w:r>
    </w:p>
    <w:p>
      <w:pPr>
        <w:pStyle w:val="ListParagraph"/>
        <w:numPr>
          <w:ilvl w:val="0"/>
          <w:numId w:val="2"/>
        </w:numPr>
        <w:spacing w:after="60"/>
      </w:pPr>
      <w:r>
        <w:t xml:space="preserve">Reduced MinimalHeader height and fixed sticky-bar vertical centering.</w:t>
      </w:r>
    </w:p>
    <w:p>
      <w:pPr>
        <w:pStyle w:val="ListParagraph"/>
        <w:numPr>
          <w:ilvl w:val="0"/>
          <w:numId w:val="2"/>
        </w:numPr>
        <w:spacing w:after="60"/>
      </w:pPr>
      <w:r>
        <w:t xml:space="preserve">Calculator call-to-action now points to the import landing page; manifesto copy broadened.</w:t>
      </w:r>
    </w:p>
    <w:p>
      <w:pPr>
        <w:pStyle w:val="Heading1"/>
      </w:pPr>
      <w:r>
        <w:t xml:space="preserve">8. How to Review This Branch</w:t>
      </w:r>
    </w:p>
    <w:p>
      <w:pPr>
        <w:spacing w:after="120" w:line="276"/>
      </w:pPr>
      <w:r>
        <w:t xml:space="preserve">Suggested commands for the incoming developer:</w:t>
      </w:r>
    </w:p>
    <w:p>
      <w:pPr>
        <w:shd w:fill="F2F4F6" w:val="clear"/>
        <w:spacing w:after="80"/>
      </w:pPr>
      <w:r>
        <w:rPr>
          <w:rFonts w:ascii="Consolas" w:cs="Consolas" w:eastAsia="Consolas" w:hAnsi="Consolas"/>
          <w:sz w:val="18"/>
          <w:szCs w:val="18"/>
        </w:rPr>
        <w:t xml:space="preserve">git log master..feature/ireland-cost-calculator --oneline</w:t>
      </w:r>
    </w:p>
    <w:p>
      <w:pPr>
        <w:shd w:fill="F2F4F6" w:val="clear"/>
        <w:spacing w:after="80"/>
      </w:pPr>
      <w:r>
        <w:rPr>
          <w:rFonts w:ascii="Consolas" w:cs="Consolas" w:eastAsia="Consolas" w:hAnsi="Consolas"/>
          <w:sz w:val="18"/>
          <w:szCs w:val="18"/>
        </w:rPr>
        <w:t xml:space="preserve">git diff master...feature/ireland-cost-calculator --stat</w:t>
      </w:r>
    </w:p>
    <w:p>
      <w:pPr>
        <w:shd w:fill="F2F4F6" w:val="clear"/>
        <w:spacing w:after="80"/>
      </w:pPr>
      <w:r>
        <w:rPr>
          <w:rFonts w:ascii="Consolas" w:cs="Consolas" w:eastAsia="Consolas" w:hAnsi="Consolas"/>
          <w:sz w:val="18"/>
          <w:szCs w:val="18"/>
        </w:rPr>
        <w:t xml:space="preserve">git diff master...feature/ireland-cost-calculator -- src/models/Request.ts</w:t>
      </w:r>
    </w:p>
    <w:p>
      <w:pPr>
        <w:spacing w:after="120" w:line="276"/>
      </w:pPr>
      <w:r>
        <w:t xml:space="preserve">Recommended reading order:</w:t>
      </w:r>
    </w:p>
    <w:p>
      <w:pPr>
        <w:pStyle w:val="ListParagraph"/>
        <w:numPr>
          <w:ilvl w:val="0"/>
          <w:numId w:val="2"/>
        </w:numPr>
        <w:spacing w:after="60"/>
      </w:pPr>
      <w:r>
        <w:t xml:space="preserve">src/models/Request.ts — the new fields anchor everything else.</w:t>
      </w:r>
    </w:p>
    <w:p>
      <w:pPr>
        <w:pStyle w:val="ListParagraph"/>
        <w:numPr>
          <w:ilvl w:val="0"/>
          <w:numId w:val="2"/>
        </w:numPr>
        <w:spacing w:after="60"/>
      </w:pPr>
      <w:r>
        <w:t xml:space="preserve">src/lib/contactScheduling.ts — the scheduling / timezone engine.</w:t>
      </w:r>
    </w:p>
    <w:p>
      <w:pPr>
        <w:pStyle w:val="ListParagraph"/>
        <w:numPr>
          <w:ilvl w:val="0"/>
          <w:numId w:val="2"/>
        </w:numPr>
        <w:spacing w:after="60"/>
      </w:pPr>
      <w:r>
        <w:t xml:space="preserve">src/actions/request-actions.ts — the two-action submit flow + draft logic.</w:t>
      </w:r>
    </w:p>
    <w:p>
      <w:pPr>
        <w:pStyle w:val="ListParagraph"/>
        <w:numPr>
          <w:ilvl w:val="0"/>
          <w:numId w:val="2"/>
        </w:numPr>
        <w:spacing w:after="60"/>
      </w:pPr>
      <w:r>
        <w:t xml:space="preserve">src/actions/admin-actions.ts + FollowUpTimer.tsx — the admin side.</w:t>
      </w:r>
    </w:p>
    <w:p>
      <w:pPr>
        <w:pStyle w:val="ListParagraph"/>
        <w:numPr>
          <w:ilvl w:val="0"/>
          <w:numId w:val="2"/>
        </w:numPr>
        <w:spacing w:after="60"/>
      </w:pPr>
      <w:r>
        <w:t xml:space="preserve">src/components/requestForm.tsx — the UI that ties the steps together.</w:t>
      </w:r>
    </w:p>
    <w:p>
      <w:pPr>
        <w:pStyle w:val="ListParagraph"/>
        <w:numPr>
          <w:ilvl w:val="0"/>
          <w:numId w:val="2"/>
        </w:numPr>
        <w:spacing w:after="60"/>
      </w:pPr>
      <w:r>
        <w:t xml:space="preserve">src/components/Reveal.tsx + globals.css — the animation refresh.</w:t>
      </w:r>
    </w:p>
    <w:p>
      <w:pPr>
        <w:pStyle w:val="Heading3"/>
      </w:pPr>
      <w:r>
        <w:t xml:space="preserve">Open items / watch-outs</w:t>
      </w:r>
    </w:p>
    <w:p>
      <w:pPr>
        <w:pStyle w:val="ListParagraph"/>
        <w:numPr>
          <w:ilvl w:val="0"/>
          <w:numId w:val="2"/>
        </w:numPr>
        <w:spacing w:after="60"/>
      </w:pPr>
      <w:r>
        <w:t xml:space="preserve">Draft TTL purge is lazy (runs on admin load only) — see §4.</w:t>
      </w:r>
    </w:p>
    <w:p>
      <w:pPr>
        <w:pStyle w:val="ListParagraph"/>
        <w:numPr>
          <w:ilvl w:val="0"/>
          <w:numId w:val="2"/>
        </w:numPr>
        <w:spacing w:after="60"/>
      </w:pPr>
      <w:r>
        <w:t xml:space="preserve">Emails depend on the Resend From-domain being verified; agentFrom() always sends from that verified domain with the agent name as display only.</w:t>
      </w:r>
    </w:p>
    <w:p>
      <w:pPr>
        <w:pStyle w:val="ListParagraph"/>
        <w:numPr>
          <w:ilvl w:val="0"/>
          <w:numId w:val="2"/>
        </w:numPr>
        <w:spacing w:after="60"/>
      </w:pPr>
      <w:r>
        <w:t xml:space="preserve">All sales-facing times are rendered in IST (Asia/Kolkata) by design — not the server or customer locale.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5B6573"/>
        <w:sz w:val="16"/>
        <w:szCs w:val="16"/>
      </w:rPr>
      <w:t xml:space="preserve">Branch change summary — internal handover</w:t>
    </w:r>
    <w:r>
      <w:rPr>
        <w:color w:val="5B6573"/>
        <w:sz w:val="16"/>
        <w:szCs w:val="16"/>
      </w:rPr>
      <w:t xml:space="preserve">	Page </w:t>
    </w:r>
    <w:r>
      <w:rPr>
        <w:color w:val="5B6573"/>
        <w:sz w:val="16"/>
        <w:szCs w:val="16"/>
      </w:rPr>
      <w:fldChar w:fldCharType="begin"/>
      <w:instrText xml:space="preserve">PAGE</w:instrText>
      <w:fldChar w:fldCharType="separate"/>
      <w:fldChar w:fldCharType="end"/>
    </w:r>
    <w:r>
      <w:rPr>
        <w:color w:val="5B6573"/>
        <w:sz w:val="16"/>
        <w:szCs w:val="16"/>
      </w:rPr>
      <w:t xml:space="preserve"> of </w:t>
    </w:r>
    <w:r>
      <w:rPr>
        <w:color w:val="5B6573"/>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D4DC" w:sz="4" w:space="4"/>
      </w:pBdr>
      <w:tabs>
        <w:tab w:val="right" w:pos="9360"/>
      </w:tabs>
    </w:pPr>
    <w:r>
      <w:rPr>
        <w:b/>
        <w:bCs/>
        <w:color w:val="0369A1"/>
        <w:sz w:val="18"/>
        <w:szCs w:val="18"/>
      </w:rPr>
      <w:t xml:space="preserve">Providence Auto</w:t>
    </w:r>
    <w:r>
      <w:rPr>
        <w:color w:val="5B6573"/>
        <w:sz w:val="18"/>
        <w:szCs w:val="18"/>
      </w:rPr>
      <w:t xml:space="preserve">	feature/ireland-cost-calculator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lvl w:ilvl="1" w15:tentative="1">
      <w:start w:val="1"/>
      <w:numFmt w:val="bullet"/>
      <w:lvlText w:val="–"/>
      <w:lvlJc w:val="left"/>
      <w:pPr>
        <w:ind w:left="108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369A1" w:sz="6" w:space="4"/>
      </w:pBdr>
      <w:spacing w:after="160" w:before="320"/>
      <w:outlineLvl w:val="0"/>
    </w:pPr>
    <w:rPr>
      <w:rFonts w:ascii="Arial" w:cs="Arial" w:eastAsia="Arial" w:hAnsi="Arial"/>
      <w:b/>
      <w:bCs/>
      <w:color w:val="0B1F33"/>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0369A1"/>
      <w:sz w:val="25"/>
      <w:szCs w:val="25"/>
    </w:rPr>
  </w:style>
  <w:style w:type="paragraph" w:styleId="Heading3">
    <w:name w:val="Heading 3"/>
    <w:basedOn w:val="Normal"/>
    <w:next w:val="Normal"/>
    <w:qFormat/>
    <w:pPr>
      <w:spacing w:after="80" w:before="160"/>
      <w:outlineLvl w:val="2"/>
    </w:pPr>
    <w:rPr>
      <w:rFonts w:ascii="Arial" w:cs="Arial" w:eastAsia="Arial" w:hAnsi="Arial"/>
      <w:b/>
      <w:bCs/>
      <w:color w:val="0B1F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feature/ireland-cost-calculator — Change Summary</dc:title>
  <dc:creator>Providence Auto Engineering</dc:creator>
  <cp:lastModifiedBy>Un-named</cp:lastModifiedBy>
  <cp:revision>1</cp:revision>
  <dcterms:created xsi:type="dcterms:W3CDTF">2026-06-06T00:59:38.012Z</dcterms:created>
  <dcterms:modified xsi:type="dcterms:W3CDTF">2026-06-06T00:59:38.014Z</dcterms:modified>
</cp:coreProperties>
</file>

<file path=docProps/custom.xml><?xml version="1.0" encoding="utf-8"?>
<Properties xmlns="http://schemas.openxmlformats.org/officeDocument/2006/custom-properties" xmlns:vt="http://schemas.openxmlformats.org/officeDocument/2006/docPropsVTypes"/>
</file>