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Volume I: The State of AI in Ethiopia</w:t>
      </w:r>
    </w:p>
    <w:p>
      <w:pPr>
        <w:pStyle w:val="Subtitle"/>
      </w:pPr>
      <w:r>
        <w:t xml:space="preserve">Chapter template and evidence map, AI-MAP Ethiopia research series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use-this-template"/>
    <w:p>
      <w:pPr>
        <w:pStyle w:val="Heading1"/>
      </w:pPr>
      <w:r>
        <w:t xml:space="preserve">How to use this template</w:t>
      </w:r>
    </w:p>
    <w:p>
      <w:pPr>
        <w:pStyle w:val="FirstParagraph"/>
      </w:pPr>
      <w:r>
        <w:t xml:space="preserve">This document is a chapter-by-chapter working outline for Volume I, not a finished report. Every bullet below is marked with one of three labels, so a contributor can see at a glance what to do with it.</w:t>
      </w:r>
    </w:p>
    <w:p>
      <w:pPr>
        <w:pStyle w:val="Compact"/>
        <w:numPr>
          <w:ilvl w:val="0"/>
          <w:numId w:val="1001"/>
        </w:numPr>
      </w:pPr>
      <w:r>
        <w:rPr>
          <w:b/>
          <w:bCs/>
        </w:rPr>
        <w:t xml:space="preserve">Existing evidence:</w:t>
      </w:r>
      <w:r>
        <w:t xml:space="preserve"> </w:t>
      </w:r>
      <w:r>
        <w:t xml:space="preserve">a specific file, chapter, or section that already answers or substantially supports the point. Use it to draft the paragraph now.</w:t>
      </w:r>
    </w:p>
    <w:p>
      <w:pPr>
        <w:pStyle w:val="Compact"/>
        <w:numPr>
          <w:ilvl w:val="0"/>
          <w:numId w:val="1001"/>
        </w:numPr>
      </w:pPr>
      <w:r>
        <w:rPr>
          <w:b/>
          <w:bCs/>
        </w:rPr>
        <w:t xml:space="preserve">Survey (not yet fielded):</w:t>
      </w:r>
      <w:r>
        <w:t xml:space="preserve"> </w:t>
      </w:r>
      <w:r>
        <w:t xml:space="preserve">the specific question id or ids in the AI-MAP questionnaire that will answer the point once the survey runs. Nothing can be written here until fielding is complete; the placeholder should say so explicitly in any draft text.</w:t>
      </w:r>
    </w:p>
    <w:p>
      <w:pPr>
        <w:pStyle w:val="Compact"/>
        <w:numPr>
          <w:ilvl w:val="0"/>
          <w:numId w:val="1001"/>
        </w:numPr>
      </w:pPr>
      <w:r>
        <w:rPr>
          <w:b/>
          <w:bCs/>
        </w:rPr>
        <w:t xml:space="preserve">Evidence gap:</w:t>
      </w:r>
      <w:r>
        <w:t xml:space="preserve"> </w:t>
      </w:r>
      <w:r>
        <w:t xml:space="preserve">no existing source and no survey question covers the point. The responsible workstream is named, following the five workstreams in the workstreams planning document (research coordination and synthesis; policy and institutional landscape; research talent and technical foundations; applications and organizational activity; professional perspectives and survey research).</w:t>
      </w:r>
    </w:p>
    <w:p>
      <w:pPr>
        <w:pStyle w:val="FirstParagraph"/>
      </w:pPr>
      <w:r>
        <w:t xml:space="preserve">Two resources are used throughout and abbreviated after first mention:</w:t>
      </w:r>
    </w:p>
    <w:p>
      <w:pPr>
        <w:pStyle w:val="Compact"/>
        <w:numPr>
          <w:ilvl w:val="0"/>
          <w:numId w:val="1002"/>
        </w:numPr>
      </w:pPr>
      <w:r>
        <w:t xml:space="preserve">The existing academic paper at</w:t>
      </w:r>
      <w:r>
        <w:t xml:space="preserve"> </w:t>
      </w:r>
      <w:r>
        <w:rPr>
          <w:rStyle w:val="VerbatimChar"/>
        </w:rPr>
        <w:t xml:space="preserve">paper/chapters/</w:t>
      </w:r>
      <w:r>
        <w:t xml:space="preserve"> </w:t>
      </w:r>
      <w:r>
        <w:t xml:space="preserve">(six chapters: abstract, introduction, framework, current state, value creation, challenges) and its annexes, referred to below as</w:t>
      </w:r>
      <w:r>
        <w:t xml:space="preserve"> </w:t>
      </w:r>
      <w:r>
        <w:t xml:space="preserve">“the paper.”</w:t>
      </w:r>
    </w:p>
    <w:p>
      <w:pPr>
        <w:pStyle w:val="Compact"/>
        <w:numPr>
          <w:ilvl w:val="0"/>
          <w:numId w:val="1002"/>
        </w:numPr>
      </w:pPr>
      <w:r>
        <w:t xml:space="preserve">The prior mapping draft at</w:t>
      </w:r>
      <w:r>
        <w:t xml:space="preserve"> </w:t>
      </w:r>
      <w:r>
        <w:rPr>
          <w:rStyle w:val="VerbatimChar"/>
        </w:rPr>
        <w:t xml:space="preserve">AI-Landscape-Assessment/mapping paper_v1.docx</w:t>
      </w:r>
      <w:r>
        <w:t xml:space="preserve">, referred to below as</w:t>
      </w:r>
      <w:r>
        <w:t xml:space="preserve"> </w:t>
      </w:r>
      <w:r>
        <w:t xml:space="preserve">“the prior mapping draft.”</w:t>
      </w:r>
      <w:r>
        <w:t xml:space="preserve"> </w:t>
      </w:r>
      <w:r>
        <w:t xml:space="preserve">It already organizes its own section 5 around the same five actor groups used here, so it is the direct precedent for the actor-group chapters.</w:t>
      </w:r>
    </w:p>
    <w:p>
      <w:pPr>
        <w:pStyle w:val="FirstParagraph"/>
      </w:pPr>
      <w:r>
        <w:t xml:space="preserve">The paper is itself a draft with many values still marked as pending primary data (tagged</w:t>
      </w:r>
      <w:r>
        <w:t xml:space="preserve"> </w:t>
      </w:r>
      <w:r>
        <w:rPr>
          <w:rStyle w:val="VerbatimChar"/>
        </w:rPr>
        <w:t xml:space="preserve">\sv{...}</w:t>
      </w:r>
      <w:r>
        <w:t xml:space="preserve"> </w:t>
      </w:r>
      <w:r>
        <w:t xml:space="preserve">in the source), and several claims in it are themselves flagged as unverified pending a documentary check or a key-informant interview. Where this template points to the paper, it means the paper’s existing synthesis and citation trail, not a finished, confirmed number. That distinction matters for Volume I’s own</w:t>
      </w:r>
      <w:r>
        <w:t xml:space="preserve"> </w:t>
      </w:r>
      <w:r>
        <w:t xml:space="preserve">“what remains uncertain”</w:t>
      </w:r>
      <w:r>
        <w:t xml:space="preserve"> </w:t>
      </w:r>
      <w:r>
        <w:t xml:space="preserve">question.</w:t>
      </w:r>
    </w:p>
    <w:bookmarkEnd w:id="20"/>
    <w:bookmarkStart w:id="21" w:name="overview-purpose-and-guiding-questions"/>
    <w:p>
      <w:pPr>
        <w:pStyle w:val="Heading1"/>
      </w:pPr>
      <w:r>
        <w:t xml:space="preserve">1. Overview: purpose and guiding questions</w:t>
      </w:r>
    </w:p>
    <w:p>
      <w:pPr>
        <w:pStyle w:val="FirstParagraph"/>
      </w:pPr>
      <w:r>
        <w:rPr>
          <w:b/>
          <w:bCs/>
        </w:rPr>
        <w:t xml:space="preserve">Purpose.</w:t>
      </w:r>
      <w:r>
        <w:t xml:space="preserve"> </w:t>
      </w:r>
      <w:r>
        <w:t xml:space="preserve">Volume I brings together existing mapping and analysis with further documentary research, selected survey modules, and targeted conversations. Its contribution is an accessible account of AI activity, capabilities, and perspectives in Ethiopia, including areas where information remains limited, and it should help identify cases and questions for later volumes. The emphasis is on describing the landscape and drawing together available evidence; detailed adoption explanations, public-experience assessment, and policy-option comparison belong to Volumes II through IV.</w:t>
      </w:r>
    </w:p>
    <w:p>
      <w:pPr>
        <w:pStyle w:val="BodyText"/>
      </w:pPr>
      <w:r>
        <w:rPr>
          <w:b/>
          <w:bCs/>
        </w:rPr>
        <w:t xml:space="preserve">Central question.</w:t>
      </w:r>
      <w:r>
        <w:t xml:space="preserve"> </w:t>
      </w:r>
      <w:r>
        <w:t xml:space="preserve">What activity and capabilities exist, and what can available evidence establish?</w:t>
      </w:r>
    </w:p>
    <w:p>
      <w:pPr>
        <w:pStyle w:val="BodyText"/>
      </w:pPr>
      <w:r>
        <w:rPr>
          <w:b/>
          <w:bCs/>
        </w:rPr>
        <w:t xml:space="preserve">Main contribution.</w:t>
      </w:r>
      <w:r>
        <w:t xml:space="preserve"> </w:t>
      </w:r>
      <w:r>
        <w:t xml:space="preserve">A landscape assessment and an agenda for deeper research.</w:t>
      </w:r>
    </w:p>
    <w:p>
      <w:pPr>
        <w:pStyle w:val="BodyText"/>
      </w:pPr>
      <w:r>
        <w:rPr>
          <w:b/>
          <w:bCs/>
        </w:rPr>
        <w:t xml:space="preserve">Three guiding questions for the whole study, all three bearing on Volume I:</w:t>
      </w:r>
    </w:p>
    <w:p>
      <w:pPr>
        <w:pStyle w:val="Compact"/>
        <w:numPr>
          <w:ilvl w:val="0"/>
          <w:numId w:val="1003"/>
        </w:numPr>
      </w:pPr>
      <w:r>
        <w:t xml:space="preserve">What exists? Which actors, capabilities, policies, and applications make up the AI landscape?</w:t>
      </w:r>
    </w:p>
    <w:p>
      <w:pPr>
        <w:pStyle w:val="Compact"/>
        <w:numPr>
          <w:ilvl w:val="0"/>
          <w:numId w:val="1003"/>
        </w:numPr>
      </w:pPr>
      <w:r>
        <w:t xml:space="preserve">What are people observing? What experiences, opportunities, constraints, and priorities emerge from available research and engagement?</w:t>
      </w:r>
    </w:p>
    <w:p>
      <w:pPr>
        <w:pStyle w:val="Compact"/>
        <w:numPr>
          <w:ilvl w:val="0"/>
          <w:numId w:val="1003"/>
        </w:numPr>
      </w:pPr>
      <w:r>
        <w:t xml:space="preserve">What remains uncertain? Where would further evidence or a more focused study help?</w:t>
      </w:r>
    </w:p>
    <w:p>
      <w:pPr>
        <w:pStyle w:val="FirstParagraph"/>
      </w:pPr>
      <w:r>
        <w:rPr>
          <w:b/>
          <w:bCs/>
        </w:rPr>
        <w:t xml:space="preserve">Coverage.</w:t>
      </w:r>
      <w:r>
        <w:t xml:space="preserve"> </w:t>
      </w:r>
      <w:r>
        <w:t xml:space="preserve">Five actor groups: start-ups; SMEs and established firms; public institutions; funders and development partners; and research communities. Applications coverage should distinguish plans, experiments, operational use, and reported outcomes, rather than treating any announcement as evidence of deployment.</w:t>
      </w:r>
    </w:p>
    <w:p>
      <w:pPr>
        <w:pStyle w:val="Compact"/>
        <w:numPr>
          <w:ilvl w:val="0"/>
          <w:numId w:val="1004"/>
        </w:numPr>
      </w:pPr>
      <w:r>
        <w:rPr>
          <w:b/>
          <w:bCs/>
        </w:rPr>
        <w:t xml:space="preserve">Existing evidence:</w:t>
      </w:r>
      <w:r>
        <w:t xml:space="preserve"> </w:t>
      </w:r>
      <w:r>
        <w:t xml:space="preserve">the paper’s framework chapter sets out a closely related distinction formally, as a six-level adoption maturity ladder (unaware, aware/exploring, piloting, deployed, scaled, core) gated on behavioural evidence rather than self-report, plus a separate technical-depth ladder (consume, configure, adapt, produce).</w:t>
      </w:r>
      <w:r>
        <w:t xml:space="preserve"> </w:t>
      </w:r>
      <w:r>
        <w:rPr>
          <w:rStyle w:val="VerbatimChar"/>
        </w:rPr>
        <w:t xml:space="preserve">paper/chapters/02-framework.tex</w:t>
      </w:r>
      <w:r>
        <w:t xml:space="preserve">,</w:t>
      </w:r>
      <w:r>
        <w:t xml:space="preserve"> </w:t>
      </w:r>
      <w:r>
        <w:t xml:space="preserve">“The AI-MAP adoption maturity ladder”</w:t>
      </w:r>
      <w:r>
        <w:t xml:space="preserve"> </w:t>
      </w:r>
      <w:r>
        <w:t xml:space="preserve">and</w:t>
      </w:r>
      <w:r>
        <w:t xml:space="preserve"> </w:t>
      </w:r>
      <w:r>
        <w:t xml:space="preserve">“The technical-depth ladder”</w:t>
      </w:r>
      <w:r>
        <w:t xml:space="preserve"> </w:t>
      </w:r>
      <w:r>
        <w:t xml:space="preserve">sections. Volume I can borrow the plans/experiments/operational-use/outcomes framing in plain language while pointing readers to the fuller ladder for Volume II.</w:t>
      </w:r>
    </w:p>
    <w:p>
      <w:pPr>
        <w:pStyle w:val="Compact"/>
        <w:numPr>
          <w:ilvl w:val="0"/>
          <w:numId w:val="1004"/>
        </w:numPr>
      </w:pPr>
      <w:r>
        <w:rPr>
          <w:b/>
          <w:bCs/>
        </w:rPr>
        <w:t xml:space="preserve">Existing evidence:</w:t>
      </w:r>
      <w:r>
        <w:t xml:space="preserve"> </w:t>
      </w:r>
      <w:r>
        <w:t xml:space="preserve">the prior mapping draft frames four parallel research questions (who are the actors; where is AI actually used and on what technical basis; what policy, funding, and infrastructure support exists; what holds organizations back) that map closely onto Volume I’s three guiding questions.</w:t>
      </w:r>
      <w:r>
        <w:t xml:space="preserve"> </w:t>
      </w:r>
      <w:r>
        <w:rPr>
          <w:rStyle w:val="VerbatimChar"/>
        </w:rPr>
        <w:t xml:space="preserve">AI-Landscape-Assessment/mapping paper_v1.docx</w:t>
      </w:r>
      <w:r>
        <w:t xml:space="preserve">, section 1.1.</w:t>
      </w:r>
    </w:p>
    <w:p>
      <w:pPr>
        <w:pStyle w:val="Compact"/>
        <w:numPr>
          <w:ilvl w:val="0"/>
          <w:numId w:val="1004"/>
        </w:numPr>
      </w:pPr>
      <w:r>
        <w:rPr>
          <w:b/>
          <w:bCs/>
        </w:rPr>
        <w:t xml:space="preserve">Evidence gap (research coordination and synthesis):</w:t>
      </w:r>
      <w:r>
        <w:t xml:space="preserve"> </w:t>
      </w:r>
      <w:r>
        <w:t xml:space="preserve">a single agreed statement, for use in the finished Volume I introduction, of how</w:t>
      </w:r>
      <w:r>
        <w:t xml:space="preserve"> </w:t>
      </w:r>
      <w:r>
        <w:t xml:space="preserve">“plans / experiments / operational use / reported outcomes”</w:t>
      </w:r>
      <w:r>
        <w:t xml:space="preserve"> </w:t>
      </w:r>
      <w:r>
        <w:t xml:space="preserve">in this volume relates to the paper’s six-level maturity ladder, so the two documents do not describe adoption depth with incompatible vocabularies.</w:t>
      </w:r>
    </w:p>
    <w:bookmarkEnd w:id="21"/>
    <w:bookmarkStart w:id="27" w:name="the-policy-and-governance-landscape"/>
    <w:p>
      <w:pPr>
        <w:pStyle w:val="Heading1"/>
      </w:pPr>
      <w:r>
        <w:t xml:space="preserve">2. The policy and governance landscape</w:t>
      </w:r>
    </w:p>
    <w:p>
      <w:pPr>
        <w:pStyle w:val="FirstParagraph"/>
      </w:pPr>
      <w:r>
        <w:t xml:space="preserve">This chapter answers</w:t>
      </w:r>
      <w:r>
        <w:t xml:space="preserve"> </w:t>
      </w:r>
      <w:r>
        <w:t xml:space="preserve">“what exists”</w:t>
      </w:r>
      <w:r>
        <w:t xml:space="preserve"> </w:t>
      </w:r>
      <w:r>
        <w:t xml:space="preserve">for the rules, institutions, and funding architecture that the rest of the volume’s actor groups operate inside.</w:t>
      </w:r>
    </w:p>
    <w:bookmarkStart w:id="22" w:name="X298404969878e8867e9282b67ccac78c989a83f"/>
    <w:p>
      <w:pPr>
        <w:pStyle w:val="Heading2"/>
      </w:pPr>
      <w:r>
        <w:t xml:space="preserve">2.1 The National AI Policy and its implementing institution</w:t>
      </w:r>
    </w:p>
    <w:p>
      <w:pPr>
        <w:pStyle w:val="Compact"/>
        <w:numPr>
          <w:ilvl w:val="0"/>
          <w:numId w:val="1005"/>
        </w:numPr>
      </w:pPr>
      <w:r>
        <w:rPr>
          <w:b/>
          <w:bCs/>
        </w:rPr>
        <w:t xml:space="preserve">Existing evidence:</w:t>
      </w:r>
      <w:r>
        <w:t xml:space="preserve"> </w:t>
      </w:r>
      <w:r>
        <w:t xml:space="preserve">the National AI Policy, adopted by the Council of Ministers in June 2024 under Regulation No. 510/2022, its eight policy areas, five key results, and four implementation programmes, including the finding that it sets no quantified targets, no budget envelope, and no dated milestones beyond a three-year evaluation cycle.</w:t>
      </w:r>
      <w:r>
        <w:t xml:space="preserve"> </w:t>
      </w:r>
      <w:r>
        <w:rPr>
          <w:rStyle w:val="VerbatimChar"/>
        </w:rPr>
        <w:t xml:space="preserve">paper/chapters/03-current-state.tex</w:t>
      </w:r>
      <w:r>
        <w:t xml:space="preserve">,</w:t>
      </w:r>
      <w:r>
        <w:t xml:space="preserve"> </w:t>
      </w:r>
      <w:r>
        <w:t xml:space="preserve">“The National AI Policy (June 2024)”</w:t>
      </w:r>
      <w:r>
        <w:t xml:space="preserve"> </w:t>
      </w:r>
      <w:r>
        <w:t xml:space="preserve">section. Primary text available at</w:t>
      </w:r>
      <w:r>
        <w:t xml:space="preserve"> </w:t>
      </w:r>
      <w:r>
        <w:rPr>
          <w:rStyle w:val="VerbatimChar"/>
        </w:rPr>
        <w:t xml:space="preserve">sources/ethiopia-national-ai-policy.pdf</w:t>
      </w:r>
      <w:r>
        <w:t xml:space="preserve"> </w:t>
      </w:r>
      <w:r>
        <w:t xml:space="preserve">(bilingual) and</w:t>
      </w:r>
      <w:r>
        <w:t xml:space="preserve"> </w:t>
      </w:r>
      <w:r>
        <w:rPr>
          <w:rStyle w:val="VerbatimChar"/>
        </w:rPr>
        <w:t xml:space="preserve">AI-Landscape-Assessment/Related_materials/gov-ethiopia-national-ai-policy-draft-2020.pdf</w:t>
      </w:r>
      <w:r>
        <w:t xml:space="preserve"> </w:t>
      </w:r>
      <w:r>
        <w:t xml:space="preserve">(the earlier 2020 draft, useful for showing how the policy changed between draft and adoption).</w:t>
      </w:r>
    </w:p>
    <w:p>
      <w:pPr>
        <w:pStyle w:val="Compact"/>
        <w:numPr>
          <w:ilvl w:val="0"/>
          <w:numId w:val="1005"/>
        </w:numPr>
      </w:pPr>
      <w:r>
        <w:rPr>
          <w:b/>
          <w:bCs/>
        </w:rPr>
        <w:t xml:space="preserve">Existing evidence:</w:t>
      </w:r>
      <w:r>
        <w:t xml:space="preserve"> </w:t>
      </w:r>
      <w:r>
        <w:t xml:space="preserve">the finding that the policy’s first named infrastructure priority is surveillance infrastructure, preceding the data-centre and computing-capacity provision in the same section.</w:t>
      </w:r>
      <w:r>
        <w:t xml:space="preserve"> </w:t>
      </w:r>
      <w:r>
        <w:rPr>
          <w:rStyle w:val="VerbatimChar"/>
        </w:rPr>
        <w:t xml:space="preserve">paper/chapters/03-current-state.tex</w:t>
      </w:r>
      <w:r>
        <w:t xml:space="preserve">, same section, and</w:t>
      </w:r>
      <w:r>
        <w:t xml:space="preserve"> </w:t>
      </w:r>
      <w:r>
        <w:rPr>
          <w:rStyle w:val="VerbatimChar"/>
        </w:rPr>
        <w:t xml:space="preserve">paper/chapters/05-challenges.tex</w:t>
      </w:r>
      <w:r>
        <w:t xml:space="preserve">,</w:t>
      </w:r>
      <w:r>
        <w:t xml:space="preserve"> </w:t>
      </w:r>
      <w:r>
        <w:t xml:space="preserve">“Ethical, rights and political-economy risks.”</w:t>
      </w:r>
    </w:p>
    <w:p>
      <w:pPr>
        <w:pStyle w:val="Compact"/>
        <w:numPr>
          <w:ilvl w:val="0"/>
          <w:numId w:val="1005"/>
        </w:numPr>
      </w:pPr>
      <w:r>
        <w:rPr>
          <w:b/>
          <w:bCs/>
        </w:rPr>
        <w:t xml:space="preserve">Existing evidence:</w:t>
      </w:r>
      <w:r>
        <w:t xml:space="preserve"> </w:t>
      </w:r>
      <w:r>
        <w:t xml:space="preserve">the Ethiopian AI Institute’s founding regulation.</w:t>
      </w:r>
      <w:r>
        <w:t xml:space="preserve"> </w:t>
      </w:r>
      <w:r>
        <w:rPr>
          <w:rStyle w:val="VerbatimChar"/>
        </w:rPr>
        <w:t xml:space="preserve">AI-Landscape-Assessment/Related_materials/gov-eaii-establishment-regulation-510-2022.pdf</w:t>
      </w:r>
      <w:r>
        <w:t xml:space="preserve">.</w:t>
      </w:r>
    </w:p>
    <w:p>
      <w:pPr>
        <w:pStyle w:val="Compact"/>
        <w:numPr>
          <w:ilvl w:val="0"/>
          <w:numId w:val="1005"/>
        </w:numPr>
      </w:pPr>
      <w:r>
        <w:rPr>
          <w:b/>
          <w:bCs/>
        </w:rPr>
        <w:t xml:space="preserve">Existing evidence:</w:t>
      </w:r>
      <w:r>
        <w:t xml:space="preserve"> </w:t>
      </w:r>
      <w:r>
        <w:t xml:space="preserve">the Institute’s own 2023 landscape assessment (three Institute staff, 32 organizations, interview and physical inspection) as the closest thing to an official institutional baseline, and its scope limits: infrastructure and institutional mapping only, no diffusion measurement, no individual or citizen layer.</w:t>
      </w:r>
      <w:r>
        <w:t xml:space="preserve"> </w:t>
      </w:r>
      <w:r>
        <w:rPr>
          <w:rStyle w:val="VerbatimChar"/>
        </w:rPr>
        <w:t xml:space="preserve">sources/asric-ai-landscape-ethiopia.pdf</w:t>
      </w:r>
      <w:r>
        <w:t xml:space="preserve"> </w:t>
      </w:r>
      <w:r>
        <w:t xml:space="preserve">and</w:t>
      </w:r>
      <w:r>
        <w:t xml:space="preserve"> </w:t>
      </w:r>
      <w:r>
        <w:rPr>
          <w:rStyle w:val="VerbatimChar"/>
        </w:rPr>
        <w:t xml:space="preserve">sources/README.md</w:t>
      </w:r>
      <w:r>
        <w:t xml:space="preserve">; also</w:t>
      </w:r>
      <w:r>
        <w:t xml:space="preserve"> </w:t>
      </w:r>
      <w:r>
        <w:rPr>
          <w:rStyle w:val="VerbatimChar"/>
        </w:rPr>
        <w:t xml:space="preserve">AI-Landscape-Assessment/Related_materials/research-ai-implementation-landscape-ethiopia-2023.pdf</w:t>
      </w:r>
      <w:r>
        <w:t xml:space="preserve">. Discussed at length in</w:t>
      </w:r>
      <w:r>
        <w:t xml:space="preserve"> </w:t>
      </w:r>
      <w:r>
        <w:rPr>
          <w:rStyle w:val="VerbatimChar"/>
        </w:rPr>
        <w:t xml:space="preserve">paper/chapters/03-current-state.tex</w:t>
      </w:r>
      <w:r>
        <w:t xml:space="preserve">,</w:t>
      </w:r>
      <w:r>
        <w:t xml:space="preserve"> </w:t>
      </w:r>
      <w:r>
        <w:t xml:space="preserve">“How this study stands in relation to the Institute,”</w:t>
      </w:r>
      <w:r>
        <w:t xml:space="preserve"> </w:t>
      </w:r>
      <w:r>
        <w:t xml:space="preserve">with an explicit overlap/non-overlap table.</w:t>
      </w:r>
    </w:p>
    <w:p>
      <w:pPr>
        <w:pStyle w:val="Compact"/>
        <w:numPr>
          <w:ilvl w:val="0"/>
          <w:numId w:val="1005"/>
        </w:numPr>
      </w:pPr>
      <w:r>
        <w:rPr>
          <w:b/>
          <w:bCs/>
        </w:rPr>
        <w:t xml:space="preserve">Existing evidence:</w:t>
      </w:r>
      <w:r>
        <w:t xml:space="preserve"> </w:t>
      </w:r>
      <w:r>
        <w:t xml:space="preserve">the Institute’s six concentrated functions (policy author, coordinator, licensor, certifier, evaluator, performer) and the stated risks of that concentration (player and referee, crowding out, licensing as entry barrier, self-evaluation, monoculture, surveillance adjacency).</w:t>
      </w:r>
      <w:r>
        <w:t xml:space="preserve"> </w:t>
      </w:r>
      <w:r>
        <w:rPr>
          <w:rStyle w:val="VerbatimChar"/>
        </w:rPr>
        <w:t xml:space="preserve">paper/chapters/03-current-state.tex</w:t>
      </w:r>
      <w:r>
        <w:t xml:space="preserve">,</w:t>
      </w:r>
      <w:r>
        <w:t xml:space="preserve"> </w:t>
      </w:r>
      <w:r>
        <w:t xml:space="preserve">“Institutional landscape and the concentration question.”</w:t>
      </w:r>
    </w:p>
    <w:p>
      <w:pPr>
        <w:pStyle w:val="Compact"/>
        <w:numPr>
          <w:ilvl w:val="0"/>
          <w:numId w:val="1005"/>
        </w:numPr>
      </w:pPr>
      <w:r>
        <w:rPr>
          <w:b/>
          <w:bCs/>
        </w:rPr>
        <w:t xml:space="preserve">Survey (not yet fielded):</w:t>
      </w:r>
      <w:r>
        <w:t xml:space="preserve"> </w:t>
      </w:r>
      <w:r>
        <w:t xml:space="preserve">whether the sector itself wants the Institute as regulator, whether licensing would help or hinder, and whether the Institute has been practically useful, is a direct question to policy-mandated organizations (screened by S6, outside the Volume I section list but the trigger for it) and measured in the organizational sample more generally through</w:t>
      </w:r>
      <w:r>
        <w:t xml:space="preserve"> </w:t>
      </w:r>
      <w:r>
        <w:rPr>
          <w:rStyle w:val="VerbatimChar"/>
        </w:rPr>
        <w:t xml:space="preserve">D1</w:t>
      </w:r>
      <w:r>
        <w:t xml:space="preserve"> </w:t>
      </w:r>
      <w:r>
        <w:t xml:space="preserve">to</w:t>
      </w:r>
      <w:r>
        <w:t xml:space="preserve"> </w:t>
      </w:r>
      <w:r>
        <w:rPr>
          <w:rStyle w:val="VerbatimChar"/>
        </w:rPr>
        <w:t xml:space="preserve">D16</w:t>
      </w:r>
      <w:r>
        <w:t xml:space="preserve"> </w:t>
      </w:r>
      <w:r>
        <w:t xml:space="preserve">for behaviour and perception items; the Institute-specific opinion items (</w:t>
      </w:r>
      <w:r>
        <w:rPr>
          <w:rStyle w:val="VerbatimChar"/>
        </w:rPr>
        <w:t xml:space="preserve">org I5</w:t>
      </w:r>
      <w:r>
        <w:t xml:space="preserve"> </w:t>
      </w:r>
      <w:r>
        <w:t xml:space="preserve">to</w:t>
      </w:r>
      <w:r>
        <w:t xml:space="preserve"> </w:t>
      </w:r>
      <w:r>
        <w:rPr>
          <w:rStyle w:val="VerbatimChar"/>
        </w:rPr>
        <w:t xml:space="preserve">I7</w:t>
      </w:r>
      <w:r>
        <w:t xml:space="preserve"> </w:t>
      </w:r>
      <w:r>
        <w:t xml:space="preserve">in the paper’s own citations) sit in the IV-mapped</w:t>
      </w:r>
      <w:r>
        <w:t xml:space="preserve"> </w:t>
      </w:r>
      <w:r>
        <w:t xml:space="preserve">“I”</w:t>
      </w:r>
      <w:r>
        <w:t xml:space="preserve"> </w:t>
      </w:r>
      <w:r>
        <w:t xml:space="preserve">section and are therefore a Volume IV deliverable, not a Volume I one. Volume I should state this boundary explicitly rather than imply the opinion data arrives in this volume.</w:t>
      </w:r>
    </w:p>
    <w:p>
      <w:pPr>
        <w:pStyle w:val="Compact"/>
        <w:numPr>
          <w:ilvl w:val="0"/>
          <w:numId w:val="1005"/>
        </w:numPr>
      </w:pPr>
      <w:r>
        <w:rPr>
          <w:b/>
          <w:bCs/>
        </w:rPr>
        <w:t xml:space="preserve">Evidence gap (policy and institutional landscape):</w:t>
      </w:r>
      <w:r>
        <w:t xml:space="preserve"> </w:t>
      </w:r>
      <w:r>
        <w:t xml:space="preserve">an independent, documented org-chart-level map of which bodies (EAII, MInT, Ethiopian Communications Authority, INSA, the National ID Programme, Ethiopian Statistical Service, EIAR, the Biotechnology Institute, sector ministries, regional bureaus) hold which specific AI-relevant powers today, beyond the</w:t>
      </w:r>
      <w:r>
        <w:t xml:space="preserve"> </w:t>
      </w:r>
      <w:r>
        <w:t xml:space="preserve">“synthesised from a desk review of roughly 120 documents”</w:t>
      </w:r>
      <w:r>
        <w:t xml:space="preserve"> </w:t>
      </w:r>
      <w:r>
        <w:t xml:space="preserve">statement the paper itself flags as not independently verified in a single consolidated roster.</w:t>
      </w:r>
      <w:r>
        <w:t xml:space="preserve"> </w:t>
      </w:r>
      <w:r>
        <w:rPr>
          <w:rStyle w:val="VerbatimChar"/>
        </w:rPr>
        <w:t xml:space="preserve">paper/chapters/03-current-state.tex</w:t>
      </w:r>
      <w:r>
        <w:t xml:space="preserve">,</w:t>
      </w:r>
      <w:r>
        <w:t xml:space="preserve"> </w:t>
      </w:r>
      <w:r>
        <w:t xml:space="preserve">“Map of actors”</w:t>
      </w:r>
      <w:r>
        <w:t xml:space="preserve"> </w:t>
      </w:r>
      <w:r>
        <w:t xml:space="preserve">footnote, states this directly as an open item.</w:t>
      </w:r>
    </w:p>
    <w:bookmarkEnd w:id="22"/>
    <w:bookmarkStart w:id="23" w:name="Xe37cf0eb391a5df199e0787940974116c80c96a"/>
    <w:p>
      <w:pPr>
        <w:pStyle w:val="Heading2"/>
      </w:pPr>
      <w:r>
        <w:t xml:space="preserve">2.2 Digital Ethiopia 2030 and sector strategies</w:t>
      </w:r>
    </w:p>
    <w:p>
      <w:pPr>
        <w:pStyle w:val="Compact"/>
        <w:numPr>
          <w:ilvl w:val="0"/>
          <w:numId w:val="1006"/>
        </w:numPr>
      </w:pPr>
      <w:r>
        <w:rPr>
          <w:b/>
          <w:bCs/>
        </w:rPr>
        <w:t xml:space="preserve">Existing evidence:</w:t>
      </w:r>
      <w:r>
        <w:t xml:space="preserve"> </w:t>
      </w:r>
      <w:r>
        <w:t xml:space="preserve">Digital Ethiopia 2030’s four objectives, six strategic pillars, National Data Authority proposal, and sequencing across 0-3 and 3-5 year horizons, plus its own baseline figures for internet, mobile, and electricity access.</w:t>
      </w:r>
      <w:r>
        <w:t xml:space="preserve"> </w:t>
      </w:r>
      <w:r>
        <w:rPr>
          <w:rStyle w:val="VerbatimChar"/>
        </w:rPr>
        <w:t xml:space="preserve">paper/chapters/03-current-state.tex</w:t>
      </w:r>
      <w:r>
        <w:t xml:space="preserve">,</w:t>
      </w:r>
      <w:r>
        <w:t xml:space="preserve"> </w:t>
      </w:r>
      <w:r>
        <w:t xml:space="preserve">“Digital Ethiopia 2030”</w:t>
      </w:r>
      <w:r>
        <w:t xml:space="preserve"> </w:t>
      </w:r>
      <w:r>
        <w:t xml:space="preserve">section. Primary document at</w:t>
      </w:r>
      <w:r>
        <w:t xml:space="preserve"> </w:t>
      </w:r>
      <w:r>
        <w:rPr>
          <w:rStyle w:val="VerbatimChar"/>
        </w:rPr>
        <w:t xml:space="preserve">AI-Landscape-Assessment/Related_materials/gov-digital-ethiopia-2030-strategy.pdf</w:t>
      </w:r>
      <w:r>
        <w:t xml:space="preserve">; the superseded 2025 strategy at</w:t>
      </w:r>
      <w:r>
        <w:t xml:space="preserve"> </w:t>
      </w:r>
      <w:r>
        <w:rPr>
          <w:rStyle w:val="VerbatimChar"/>
        </w:rPr>
        <w:t xml:space="preserve">gov-digital-ethiopia-2025-strategy.pdf</w:t>
      </w:r>
      <w:r>
        <w:t xml:space="preserve">.</w:t>
      </w:r>
    </w:p>
    <w:p>
      <w:pPr>
        <w:pStyle w:val="Compact"/>
        <w:numPr>
          <w:ilvl w:val="0"/>
          <w:numId w:val="1006"/>
        </w:numPr>
      </w:pPr>
      <w:r>
        <w:rPr>
          <w:b/>
          <w:bCs/>
        </w:rPr>
        <w:t xml:space="preserve">Existing evidence:</w:t>
      </w:r>
      <w:r>
        <w:t xml:space="preserve"> </w:t>
      </w:r>
      <w:r>
        <w:t xml:space="preserve">sector strategies with AI-adjacent content: digital agriculture (</w:t>
      </w:r>
      <w:r>
        <w:rPr>
          <w:rStyle w:val="VerbatimChar"/>
        </w:rPr>
        <w:t xml:space="preserve">gov-digital-agriculture-roadmap-ethiopia.pdf</w:t>
      </w:r>
      <w:r>
        <w:t xml:space="preserve">), digital education 2023-2028 (</w:t>
      </w:r>
      <w:r>
        <w:rPr>
          <w:rStyle w:val="VerbatimChar"/>
        </w:rPr>
        <w:t xml:space="preserve">gov-digital-education-strategy-2023-2028.pdf</w:t>
      </w:r>
      <w:r>
        <w:t xml:space="preserve">), digital health blueprint 2021-2030 (</w:t>
      </w:r>
      <w:r>
        <w:rPr>
          <w:rStyle w:val="VerbatimChar"/>
        </w:rPr>
        <w:t xml:space="preserve">gov-digital-health-blueprint-2021-2030.pdf</w:t>
      </w:r>
      <w:r>
        <w:t xml:space="preserve">), the national ICT policy baseline of 2016 (</w:t>
      </w:r>
      <w:r>
        <w:rPr>
          <w:rStyle w:val="VerbatimChar"/>
        </w:rPr>
        <w:t xml:space="preserve">gov-national-ict-policy-and-strategy-2016.pdf</w:t>
      </w:r>
      <w:r>
        <w:t xml:space="preserve">), and the draft national digital payments strategy 2026-2030 (</w:t>
      </w:r>
      <w:r>
        <w:rPr>
          <w:rStyle w:val="VerbatimChar"/>
        </w:rPr>
        <w:t xml:space="preserve">gov-national-digital-payments-strategy-2026-2030-draft.pdf</w:t>
      </w:r>
      <w:r>
        <w:t xml:space="preserve">), all in</w:t>
      </w:r>
      <w:r>
        <w:t xml:space="preserve"> </w:t>
      </w:r>
      <w:r>
        <w:rPr>
          <w:rStyle w:val="VerbatimChar"/>
        </w:rPr>
        <w:t xml:space="preserve">AI-Landscape-Assessment/Related_materials/</w:t>
      </w:r>
      <w:r>
        <w:t xml:space="preserve">.</w:t>
      </w:r>
    </w:p>
    <w:p>
      <w:pPr>
        <w:pStyle w:val="Compact"/>
        <w:numPr>
          <w:ilvl w:val="0"/>
          <w:numId w:val="1006"/>
        </w:numPr>
      </w:pPr>
      <w:r>
        <w:rPr>
          <w:b/>
          <w:bCs/>
        </w:rPr>
        <w:t xml:space="preserve">Evidence gap (policy and institutional landscape):</w:t>
      </w:r>
      <w:r>
        <w:t xml:space="preserve"> </w:t>
      </w:r>
      <w:r>
        <w:t xml:space="preserve">the paper itself flags that Digital Ethiopia 2030 calls for a further national AI strategy and an AI ethics and risk framework, treating the 2024 AI Policy as unfinished business; Volume I should state plainly, as a landscape fact rather than a critique, that Ethiopia currently has two strategy documents that each describe the other as not yet settled, and track whether a reconciled version appears before publication.</w:t>
      </w:r>
      <w:r>
        <w:t xml:space="preserve"> </w:t>
      </w:r>
      <w:r>
        <w:rPr>
          <w:rStyle w:val="VerbatimChar"/>
        </w:rPr>
        <w:t xml:space="preserve">paper/chapters/03-current-state.tex</w:t>
      </w:r>
      <w:r>
        <w:t xml:space="preserve">,</w:t>
      </w:r>
      <w:r>
        <w:t xml:space="preserve"> </w:t>
      </w:r>
      <w:r>
        <w:t xml:space="preserve">“Digital Ethiopia 2030”</w:t>
      </w:r>
      <w:r>
        <w:t xml:space="preserve"> </w:t>
      </w:r>
      <w:r>
        <w:t xml:space="preserve">section.</w:t>
      </w:r>
    </w:p>
    <w:bookmarkEnd w:id="23"/>
    <w:bookmarkStart w:id="24" w:name="legal-and-regulatory-instruments"/>
    <w:p>
      <w:pPr>
        <w:pStyle w:val="Heading2"/>
      </w:pPr>
      <w:r>
        <w:t xml:space="preserve">2.3 Legal and regulatory instruments</w:t>
      </w:r>
    </w:p>
    <w:p>
      <w:pPr>
        <w:pStyle w:val="Compact"/>
        <w:numPr>
          <w:ilvl w:val="0"/>
          <w:numId w:val="1007"/>
        </w:numPr>
      </w:pPr>
      <w:r>
        <w:rPr>
          <w:b/>
          <w:bCs/>
        </w:rPr>
        <w:t xml:space="preserve">Existing evidence:</w:t>
      </w:r>
      <w:r>
        <w:t xml:space="preserve"> </w:t>
      </w:r>
      <w:r>
        <w:t xml:space="preserve">the Personal Data Protection Proclamation No. 1321/2024, the Digital Identification Proclamation No. 1284/2023 (Fayda), and the Startup Proclamation No. 1396/2025, with the finding that none of Ethiopia’s current legal instruments address AI procurement, algorithmic transparency, or liability for AI-induced harm.</w:t>
      </w:r>
      <w:r>
        <w:t xml:space="preserve"> </w:t>
      </w:r>
      <w:r>
        <w:rPr>
          <w:rStyle w:val="VerbatimChar"/>
        </w:rPr>
        <w:t xml:space="preserve">paper/chapters/03-current-state.tex</w:t>
      </w:r>
      <w:r>
        <w:t xml:space="preserve">,</w:t>
      </w:r>
      <w:r>
        <w:t xml:space="preserve"> </w:t>
      </w:r>
      <w:r>
        <w:t xml:space="preserve">“Legal instruments”</w:t>
      </w:r>
      <w:r>
        <w:t xml:space="preserve"> </w:t>
      </w:r>
      <w:r>
        <w:t xml:space="preserve">section and table. Primary documents:</w:t>
      </w:r>
      <w:r>
        <w:t xml:space="preserve"> </w:t>
      </w:r>
      <w:r>
        <w:rPr>
          <w:rStyle w:val="VerbatimChar"/>
        </w:rPr>
        <w:t xml:space="preserve">gov-personal-data-protection-proclamation-1321-2024.pdf</w:t>
      </w:r>
      <w:r>
        <w:t xml:space="preserve">,</w:t>
      </w:r>
      <w:r>
        <w:t xml:space="preserve"> </w:t>
      </w:r>
      <w:r>
        <w:rPr>
          <w:rStyle w:val="VerbatimChar"/>
        </w:rPr>
        <w:t xml:space="preserve">gov-digital-identification-proclamation-1284-2023.pdf</w:t>
      </w:r>
      <w:r>
        <w:t xml:space="preserve">,</w:t>
      </w:r>
      <w:r>
        <w:t xml:space="preserve"> </w:t>
      </w:r>
      <w:r>
        <w:rPr>
          <w:rStyle w:val="VerbatimChar"/>
        </w:rPr>
        <w:t xml:space="preserve">gov-startup-proclamation-1396-2025.pdf</w:t>
      </w:r>
      <w:r>
        <w:t xml:space="preserve">, all in</w:t>
      </w:r>
      <w:r>
        <w:t xml:space="preserve"> </w:t>
      </w:r>
      <w:r>
        <w:rPr>
          <w:rStyle w:val="VerbatimChar"/>
        </w:rPr>
        <w:t xml:space="preserve">AI-Landscape-Assessment/Related_materials/</w:t>
      </w:r>
      <w:r>
        <w:t xml:space="preserve">.</w:t>
      </w:r>
    </w:p>
    <w:p>
      <w:pPr>
        <w:pStyle w:val="Compact"/>
        <w:numPr>
          <w:ilvl w:val="0"/>
          <w:numId w:val="1007"/>
        </w:numPr>
      </w:pPr>
      <w:r>
        <w:rPr>
          <w:b/>
          <w:bCs/>
        </w:rPr>
        <w:t xml:space="preserve">Survey (not yet fielded):</w:t>
      </w:r>
      <w:r>
        <w:t xml:space="preserve"> </w:t>
      </w:r>
      <w:r>
        <w:t xml:space="preserve">whether an organization knows who would be legally liable if a deployed AI system harmed someone is asked directly of organizations (the paper cites this as org</w:t>
      </w:r>
      <w:r>
        <w:t xml:space="preserve"> </w:t>
      </w:r>
      <w:r>
        <w:rPr>
          <w:rStyle w:val="VerbatimChar"/>
        </w:rPr>
        <w:t xml:space="preserve">I8</w:t>
      </w:r>
      <w:r>
        <w:t xml:space="preserve">, part of the Volume IV-mapped</w:t>
      </w:r>
      <w:r>
        <w:t xml:space="preserve"> </w:t>
      </w:r>
      <w:r>
        <w:t xml:space="preserve">“I”</w:t>
      </w:r>
      <w:r>
        <w:t xml:space="preserve"> </w:t>
      </w:r>
      <w:r>
        <w:t xml:space="preserve">section, not Volume I); the citizen-facing counterpart, whether a citizen would know how to complain about an automated decision, is</w:t>
      </w:r>
      <w:r>
        <w:t xml:space="preserve"> </w:t>
      </w:r>
      <w:r>
        <w:rPr>
          <w:rStyle w:val="VerbatimChar"/>
        </w:rPr>
        <w:t xml:space="preserve">ZC</w:t>
      </w:r>
      <w:r>
        <w:t xml:space="preserve"> </w:t>
      </w:r>
      <w:r>
        <w:t xml:space="preserve">territory conceptually but the specific complaint-mechanism item the paper cites (</w:t>
      </w:r>
      <w:r>
        <w:rPr>
          <w:rStyle w:val="VerbatimChar"/>
        </w:rPr>
        <w:t xml:space="preserve">cit D3</w:t>
      </w:r>
      <w:r>
        <w:t xml:space="preserve">) sits outside the Volume I citizen section (</w:t>
      </w:r>
      <w:r>
        <w:rPr>
          <w:rStyle w:val="VerbatimChar"/>
        </w:rPr>
        <w:t xml:space="preserve">ZC</w:t>
      </w:r>
      <w:r>
        <w:t xml:space="preserve"> </w:t>
      </w:r>
      <w:r>
        <w:t xml:space="preserve">only). Volume I should therefore report the legal gap as a documentary finding and explicitly defer the measured citizen and organizational awareness of it to Volumes III and IV respectively, rather than imply this volume will quantify it.</w:t>
      </w:r>
    </w:p>
    <w:bookmarkEnd w:id="24"/>
    <w:bookmarkStart w:id="25" w:name="continental-and-regional-framing"/>
    <w:p>
      <w:pPr>
        <w:pStyle w:val="Heading2"/>
      </w:pPr>
      <w:r>
        <w:t xml:space="preserve">2.4 Continental and regional framing</w:t>
      </w:r>
    </w:p>
    <w:p>
      <w:pPr>
        <w:pStyle w:val="Compact"/>
        <w:numPr>
          <w:ilvl w:val="0"/>
          <w:numId w:val="1008"/>
        </w:numPr>
      </w:pPr>
      <w:r>
        <w:rPr>
          <w:b/>
          <w:bCs/>
        </w:rPr>
        <w:t xml:space="preserve">Existing evidence:</w:t>
      </w:r>
      <w:r>
        <w:t xml:space="preserve"> </w:t>
      </w:r>
      <w:r>
        <w:t xml:space="preserve">the AU Continental AI Strategy (July 2024, five focus areas) and the Addis Ababa Declaration on Regional Dialogue on AI Governance (April 2026, 22 member states), plus Ethiopia’s position as host of both the AU and UNECA.</w:t>
      </w:r>
      <w:r>
        <w:t xml:space="preserve"> </w:t>
      </w:r>
      <w:r>
        <w:rPr>
          <w:rStyle w:val="VerbatimChar"/>
        </w:rPr>
        <w:t xml:space="preserve">paper/chapters/02-framework.tex</w:t>
      </w:r>
      <w:r>
        <w:t xml:space="preserve">,</w:t>
      </w:r>
      <w:r>
        <w:t xml:space="preserve"> </w:t>
      </w:r>
      <w:r>
        <w:t xml:space="preserve">“Africa”</w:t>
      </w:r>
      <w:r>
        <w:t xml:space="preserve"> </w:t>
      </w:r>
      <w:r>
        <w:t xml:space="preserve">section. Primary documents:</w:t>
      </w:r>
      <w:r>
        <w:t xml:space="preserve"> </w:t>
      </w:r>
      <w:r>
        <w:rPr>
          <w:rStyle w:val="VerbatimChar"/>
        </w:rPr>
        <w:t xml:space="preserve">partner-african-union-continental-ai-strategy-2024.pdf</w:t>
      </w:r>
      <w:r>
        <w:t xml:space="preserve">,</w:t>
      </w:r>
      <w:r>
        <w:t xml:space="preserve"> </w:t>
      </w:r>
      <w:r>
        <w:rPr>
          <w:rStyle w:val="VerbatimChar"/>
        </w:rPr>
        <w:t xml:space="preserve">partner-uneca-addis-ababa-declaration-ai-governance-2026.pdf</w:t>
      </w:r>
      <w:r>
        <w:t xml:space="preserve">,</w:t>
      </w:r>
      <w:r>
        <w:t xml:space="preserve"> </w:t>
      </w:r>
      <w:r>
        <w:rPr>
          <w:rStyle w:val="VerbatimChar"/>
        </w:rPr>
        <w:t xml:space="preserve">partner-uneca-regional-dialogue-ai-governance-africa-report-2026.pdf</w:t>
      </w:r>
      <w:r>
        <w:t xml:space="preserve">, in</w:t>
      </w:r>
      <w:r>
        <w:t xml:space="preserve"> </w:t>
      </w:r>
      <w:r>
        <w:rPr>
          <w:rStyle w:val="VerbatimChar"/>
        </w:rPr>
        <w:t xml:space="preserve">AI-Landscape-Assessment/Related_materials/</w:t>
      </w:r>
      <w:r>
        <w:t xml:space="preserve">.</w:t>
      </w:r>
    </w:p>
    <w:p>
      <w:pPr>
        <w:pStyle w:val="Compact"/>
        <w:numPr>
          <w:ilvl w:val="0"/>
          <w:numId w:val="1008"/>
        </w:numPr>
      </w:pPr>
      <w:r>
        <w:rPr>
          <w:b/>
          <w:bCs/>
        </w:rPr>
        <w:t xml:space="preserve">Existing evidence:</w:t>
      </w:r>
      <w:r>
        <w:t xml:space="preserve"> </w:t>
      </w:r>
      <w:r>
        <w:t xml:space="preserve">East African peer comparison (Ethiopia, Kenya, Rwanda have national AI strategies; Tanzania drafting; Somalia and South Sudan have not begun), and the specific finding that Kenya separates its strategy from a costed, owned, and dated implementation roadmap while Ethiopia has not.</w:t>
      </w:r>
      <w:r>
        <w:t xml:space="preserve"> </w:t>
      </w:r>
      <w:r>
        <w:rPr>
          <w:rStyle w:val="VerbatimChar"/>
        </w:rPr>
        <w:t xml:space="preserve">paper/chapters/02-framework.tex</w:t>
      </w:r>
      <w:r>
        <w:t xml:space="preserve">,</w:t>
      </w:r>
      <w:r>
        <w:t xml:space="preserve"> </w:t>
      </w:r>
      <w:r>
        <w:t xml:space="preserve">“East Africa and peer benchmarking”</w:t>
      </w:r>
      <w:r>
        <w:t xml:space="preserve"> </w:t>
      </w:r>
      <w:r>
        <w:t xml:space="preserve">section and table.</w:t>
      </w:r>
    </w:p>
    <w:p>
      <w:pPr>
        <w:pStyle w:val="Compact"/>
        <w:numPr>
          <w:ilvl w:val="0"/>
          <w:numId w:val="1008"/>
        </w:numPr>
      </w:pPr>
      <w:r>
        <w:rPr>
          <w:b/>
          <w:bCs/>
        </w:rPr>
        <w:t xml:space="preserve">Existing evidence:</w:t>
      </w:r>
      <w:r>
        <w:t xml:space="preserve"> </w:t>
      </w:r>
      <w:r>
        <w:t xml:space="preserve">Oxford Insights’ finding that Ethiopia is only the second low-income country, after Rwanda, to publish a national AI strategy, with component scores for government, technology sector, data and infrastructure.</w:t>
      </w:r>
      <w:r>
        <w:t xml:space="preserve"> </w:t>
      </w:r>
      <w:r>
        <w:rPr>
          <w:rStyle w:val="VerbatimChar"/>
        </w:rPr>
        <w:t xml:space="preserve">paper/chapters/01-introduction.tex</w:t>
      </w:r>
      <w:r>
        <w:t xml:space="preserve">. Primary document:</w:t>
      </w:r>
      <w:r>
        <w:t xml:space="preserve"> </w:t>
      </w:r>
      <w:r>
        <w:rPr>
          <w:rStyle w:val="VerbatimChar"/>
        </w:rPr>
        <w:t xml:space="preserve">partner-oxford-insights-government-ai-readiness-index-2024.pdf</w:t>
      </w:r>
      <w:r>
        <w:t xml:space="preserve">.</w:t>
      </w:r>
    </w:p>
    <w:p>
      <w:pPr>
        <w:pStyle w:val="Compact"/>
        <w:numPr>
          <w:ilvl w:val="0"/>
          <w:numId w:val="1008"/>
        </w:numPr>
      </w:pPr>
      <w:r>
        <w:rPr>
          <w:b/>
          <w:bCs/>
        </w:rPr>
        <w:t xml:space="preserve">Evidence gap (policy and institutional landscape):</w:t>
      </w:r>
      <w:r>
        <w:t xml:space="preserve"> </w:t>
      </w:r>
      <w:r>
        <w:t xml:space="preserve">the peer-comparison table in the paper itself (</w:t>
      </w:r>
      <w:r>
        <w:rPr>
          <w:rStyle w:val="VerbatimChar"/>
        </w:rPr>
        <w:t xml:space="preserve">paper/chapters/02-framework.tex</w:t>
      </w:r>
      <w:r>
        <w:t xml:space="preserve">, table</w:t>
      </w:r>
      <w:r>
        <w:t xml:space="preserve"> </w:t>
      </w:r>
      <w:r>
        <w:rPr>
          <w:rStyle w:val="VerbatimChar"/>
        </w:rPr>
        <w:t xml:space="preserve">tab:peers</w:t>
      </w:r>
      <w:r>
        <w:t xml:space="preserve">) has several cells still marked as pending a desk review for Kenya, Rwanda, and Nigeria; completing this table for Volume I’s own policy chapter, even in summary form, is a concrete, bounded task for this workstream rather than a genuine open-ended gap.</w:t>
      </w:r>
    </w:p>
    <w:bookmarkEnd w:id="25"/>
    <w:bookmarkStart w:id="26" w:name="what-this-chapter-cannot-yet-establish"/>
    <w:p>
      <w:pPr>
        <w:pStyle w:val="Heading2"/>
      </w:pPr>
      <w:r>
        <w:t xml:space="preserve">2.5 What this chapter cannot yet establish</w:t>
      </w:r>
    </w:p>
    <w:p>
      <w:pPr>
        <w:pStyle w:val="Compact"/>
        <w:numPr>
          <w:ilvl w:val="0"/>
          <w:numId w:val="1009"/>
        </w:numPr>
      </w:pPr>
      <w:r>
        <w:rPr>
          <w:b/>
          <w:bCs/>
        </w:rPr>
        <w:t xml:space="preserve">Evidence gap (policy and institutional landscape):</w:t>
      </w:r>
      <w:r>
        <w:t xml:space="preserve"> </w:t>
      </w:r>
      <w:r>
        <w:t xml:space="preserve">no reconciled, single-document account yet exists of which parts of the National AI Policy, Digital Ethiopia 2030, and the sector strategies (agriculture, health, education, payments) are mutually consistent versus contradictory on scope, sequencing, or institutional ownership. This is squarely a documentary synthesis task, not a survey question.</w:t>
      </w:r>
    </w:p>
    <w:p>
      <w:pPr>
        <w:pStyle w:val="Compact"/>
        <w:numPr>
          <w:ilvl w:val="0"/>
          <w:numId w:val="1009"/>
        </w:numPr>
      </w:pPr>
      <w:r>
        <w:rPr>
          <w:b/>
          <w:bCs/>
        </w:rPr>
        <w:t xml:space="preserve">Evidence gap (policy and institutional landscape):</w:t>
      </w:r>
      <w:r>
        <w:t xml:space="preserve"> </w:t>
      </w:r>
      <w:r>
        <w:t xml:space="preserve">confirmation of the reported Medemer AI University commitment, which the paper itself labels unverified pending a documentary request to MInT or the PMO press office, or a key-informant interview.</w:t>
      </w:r>
      <w:r>
        <w:t xml:space="preserve"> </w:t>
      </w:r>
      <w:r>
        <w:rPr>
          <w:rStyle w:val="VerbatimChar"/>
        </w:rPr>
        <w:t xml:space="preserve">paper/chapters/03-current-state.tex</w:t>
      </w:r>
      <w:r>
        <w:t xml:space="preserve">,</w:t>
      </w:r>
      <w:r>
        <w:t xml:space="preserve"> </w:t>
      </w:r>
      <w:r>
        <w:t xml:space="preserve">“Medemer AI University”</w:t>
      </w:r>
      <w:r>
        <w:t xml:space="preserve"> </w:t>
      </w:r>
      <w:r>
        <w:t xml:space="preserve">section, states this as an open item with a named next step.</w:t>
      </w:r>
    </w:p>
    <w:bookmarkEnd w:id="26"/>
    <w:bookmarkEnd w:id="27"/>
    <w:bookmarkStart w:id="28" w:name="actor-group-start-ups"/>
    <w:p>
      <w:pPr>
        <w:pStyle w:val="Heading1"/>
      </w:pPr>
      <w:r>
        <w:t xml:space="preserve">3. Actor group: start-ups</w:t>
      </w:r>
    </w:p>
    <w:p>
      <w:pPr>
        <w:pStyle w:val="Compact"/>
        <w:numPr>
          <w:ilvl w:val="0"/>
          <w:numId w:val="1010"/>
        </w:numPr>
      </w:pPr>
      <w:r>
        <w:rPr>
          <w:b/>
          <w:bCs/>
        </w:rPr>
        <w:t xml:space="preserve">Existing evidence:</w:t>
      </w:r>
      <w:r>
        <w:t xml:space="preserve"> </w:t>
      </w:r>
      <w:r>
        <w:t xml:space="preserve">a working entity list naming iCog Labs (2012, the oldest player), and a younger cohort built mostly after 2019 working on Ethiopian-language AI, including Lesan AI, HasabAI, Zemenu, Addis AI, Begize AI, Leyu AI, Admas AI, EthioRobot AI, and an edtech cohort (Bee Educate, LearningCloud, CronosEdx) that came through the first AI UniPod bootcamp in 2026.</w:t>
      </w:r>
      <w:r>
        <w:t xml:space="preserve"> </w:t>
      </w:r>
      <w:r>
        <w:rPr>
          <w:rStyle w:val="VerbatimChar"/>
        </w:rPr>
        <w:t xml:space="preserve">AI-Landscape-Assessment/mapping paper_v1.docx</w:t>
      </w:r>
      <w:r>
        <w:t xml:space="preserve">, section 5.1.</w:t>
      </w:r>
    </w:p>
    <w:p>
      <w:pPr>
        <w:pStyle w:val="Compact"/>
        <w:numPr>
          <w:ilvl w:val="0"/>
          <w:numId w:val="1010"/>
        </w:numPr>
      </w:pPr>
      <w:r>
        <w:rPr>
          <w:b/>
          <w:bCs/>
        </w:rPr>
        <w:t xml:space="preserve">Existing evidence:</w:t>
      </w:r>
      <w:r>
        <w:t xml:space="preserve"> </w:t>
      </w:r>
      <w:r>
        <w:t xml:space="preserve">the paper’s own shorter list (iCog Labs, Gebeya, Hasab AI) and its reference to a wider 48-entity directory split across the five actor groups.</w:t>
      </w:r>
      <w:r>
        <w:t xml:space="preserve"> </w:t>
      </w:r>
      <w:r>
        <w:rPr>
          <w:rStyle w:val="VerbatimChar"/>
        </w:rPr>
        <w:t xml:space="preserve">paper/chapters/03-current-state.tex</w:t>
      </w:r>
      <w:r>
        <w:t xml:space="preserve">,</w:t>
      </w:r>
      <w:r>
        <w:t xml:space="preserve"> </w:t>
      </w:r>
      <w:r>
        <w:t xml:space="preserve">“The private AI sector and startups”</w:t>
      </w:r>
      <w:r>
        <w:t xml:space="preserve"> </w:t>
      </w:r>
      <w:r>
        <w:t xml:space="preserve">section.</w:t>
      </w:r>
    </w:p>
    <w:p>
      <w:pPr>
        <w:pStyle w:val="Compact"/>
        <w:numPr>
          <w:ilvl w:val="0"/>
          <w:numId w:val="1010"/>
        </w:numPr>
      </w:pPr>
      <w:r>
        <w:rPr>
          <w:b/>
          <w:bCs/>
        </w:rPr>
        <w:t xml:space="preserve">Existing evidence:</w:t>
      </w:r>
      <w:r>
        <w:t xml:space="preserve"> </w:t>
      </w:r>
      <w:r>
        <w:t xml:space="preserve">total tracked startup funding of approximately USD 5.1 million across two deals in 2024, against USD 331.6 million for Nigeria, USD 312.1 million for Egypt, and USD 249.9 million for Kenya; and a 2025 venture-capital survey in which Ethiopia does not appear among Africa’s top eleven markets by funding volume at all.</w:t>
      </w:r>
      <w:r>
        <w:t xml:space="preserve"> </w:t>
      </w:r>
      <w:r>
        <w:rPr>
          <w:rStyle w:val="VerbatimChar"/>
        </w:rPr>
        <w:t xml:space="preserve">paper/chapters/03-current-state.tex</w:t>
      </w:r>
      <w:r>
        <w:t xml:space="preserve">,</w:t>
      </w:r>
      <w:r>
        <w:t xml:space="preserve"> </w:t>
      </w:r>
      <w:r>
        <w:t xml:space="preserve">“A number to state next to every ambition claim”</w:t>
      </w:r>
      <w:r>
        <w:t xml:space="preserve"> </w:t>
      </w:r>
      <w:r>
        <w:t xml:space="preserve">finding box. Primary sources:</w:t>
      </w:r>
      <w:r>
        <w:t xml:space="preserve"> </w:t>
      </w:r>
      <w:r>
        <w:rPr>
          <w:rStyle w:val="VerbatimChar"/>
        </w:rPr>
        <w:t xml:space="preserve">AI-Landscape-Assessment/Related_materials/ecosystem-disrupt-africa-tech-startups-funding-2024.pdf</w:t>
      </w:r>
      <w:r>
        <w:t xml:space="preserve"> </w:t>
      </w:r>
      <w:r>
        <w:t xml:space="preserve">and</w:t>
      </w:r>
      <w:r>
        <w:t xml:space="preserve"> </w:t>
      </w:r>
      <w:r>
        <w:rPr>
          <w:rStyle w:val="VerbatimChar"/>
        </w:rPr>
        <w:t xml:space="preserve">ecosystem-partech-africa-tech-vc-report-2025.pdf</w:t>
      </w:r>
      <w:r>
        <w:t xml:space="preserve">.</w:t>
      </w:r>
    </w:p>
    <w:p>
      <w:pPr>
        <w:pStyle w:val="Compact"/>
        <w:numPr>
          <w:ilvl w:val="0"/>
          <w:numId w:val="1010"/>
        </w:numPr>
      </w:pPr>
      <w:r>
        <w:rPr>
          <w:b/>
          <w:bCs/>
        </w:rPr>
        <w:t xml:space="preserve">Existing evidence:</w:t>
      </w:r>
      <w:r>
        <w:t xml:space="preserve"> </w:t>
      </w:r>
      <w:r>
        <w:t xml:space="preserve">the entrepreneurial ecosystem census finding 140 support organizations serving Ethiopian founders, of which only 4 percent are dedicated investors, which the paper cites as evidence the funding gap is structural rather than a measurement artefact.</w:t>
      </w:r>
      <w:r>
        <w:t xml:space="preserve"> </w:t>
      </w:r>
      <w:r>
        <w:rPr>
          <w:rStyle w:val="VerbatimChar"/>
        </w:rPr>
        <w:t xml:space="preserve">paper/chapters/03-current-state.tex</w:t>
      </w:r>
      <w:r>
        <w:t xml:space="preserve">, same finding box. Primary source:</w:t>
      </w:r>
      <w:r>
        <w:t xml:space="preserve"> </w:t>
      </w:r>
      <w:r>
        <w:rPr>
          <w:rStyle w:val="VerbatimChar"/>
        </w:rPr>
        <w:t xml:space="preserve">AI-Landscape-Assessment/Related_materials/ecosystem-ande-ethiopia-entrepreneurial-mapping-2024.pdf</w:t>
      </w:r>
      <w:r>
        <w:t xml:space="preserve">.</w:t>
      </w:r>
    </w:p>
    <w:p>
      <w:pPr>
        <w:pStyle w:val="Compact"/>
        <w:numPr>
          <w:ilvl w:val="0"/>
          <w:numId w:val="1010"/>
        </w:numPr>
      </w:pPr>
      <w:r>
        <w:rPr>
          <w:b/>
          <w:bCs/>
        </w:rPr>
        <w:t xml:space="preserve">Existing evidence:</w:t>
      </w:r>
      <w:r>
        <w:t xml:space="preserve"> </w:t>
      </w:r>
      <w:r>
        <w:t xml:space="preserve">the estimate that roughly 6 percent of Ethiopian technology startups are AI-focused, 14 percent of IT startups have AI integrated, and 37 percent are piloting AI initiatives, drawn from a 2023 survey of 250 startups reported through a UNESCO country page; the paper itself flags that the primary UNESCO document could not be retrieved directly and that this figure is relayed via secondary indexing, so it should be presented in Volume I with the same caveat rather than as a confirmed number.</w:t>
      </w:r>
      <w:r>
        <w:t xml:space="preserve"> </w:t>
      </w:r>
      <w:r>
        <w:rPr>
          <w:rStyle w:val="VerbatimChar"/>
        </w:rPr>
        <w:t xml:space="preserve">paper/chapters/03-current-state.tex</w:t>
      </w:r>
      <w:r>
        <w:t xml:space="preserve">,</w:t>
      </w:r>
      <w:r>
        <w:t xml:space="preserve"> </w:t>
      </w:r>
      <w:r>
        <w:t xml:space="preserve">“R&amp;D intensity and talent”</w:t>
      </w:r>
      <w:r>
        <w:t xml:space="preserve"> </w:t>
      </w:r>
      <w:r>
        <w:t xml:space="preserve">section, footnote.</w:t>
      </w:r>
    </w:p>
    <w:p>
      <w:pPr>
        <w:pStyle w:val="Compact"/>
        <w:numPr>
          <w:ilvl w:val="0"/>
          <w:numId w:val="1010"/>
        </w:numPr>
      </w:pPr>
      <w:r>
        <w:rPr>
          <w:b/>
          <w:bCs/>
        </w:rPr>
        <w:t xml:space="preserve">Survey (not yet fielded):</w:t>
      </w:r>
      <w:r>
        <w:t xml:space="preserve"> </w:t>
      </w:r>
      <w:r>
        <w:t xml:space="preserve">which kinds of AI technology start-ups use, pilot, or plan to use (</w:t>
      </w:r>
      <w:r>
        <w:rPr>
          <w:rStyle w:val="VerbatimChar"/>
        </w:rPr>
        <w:t xml:space="preserve">AT1</w:t>
      </w:r>
      <w:r>
        <w:t xml:space="preserve">), which of those they consider genuinely reliable in production rather than demonstration-only (</w:t>
      </w:r>
      <w:r>
        <w:rPr>
          <w:rStyle w:val="VerbatimChar"/>
        </w:rPr>
        <w:t xml:space="preserve">AT2</w:t>
      </w:r>
      <w:r>
        <w:t xml:space="preserve">), their adoption and maturity status (</w:t>
      </w:r>
      <w:r>
        <w:rPr>
          <w:rStyle w:val="VerbatimChar"/>
        </w:rPr>
        <w:t xml:space="preserve">D1</w:t>
      </w:r>
      <w:r>
        <w:t xml:space="preserve"> </w:t>
      </w:r>
      <w:r>
        <w:t xml:space="preserve">to</w:t>
      </w:r>
      <w:r>
        <w:t xml:space="preserve"> </w:t>
      </w:r>
      <w:r>
        <w:rPr>
          <w:rStyle w:val="VerbatimChar"/>
        </w:rPr>
        <w:t xml:space="preserve">D16</w:t>
      </w:r>
      <w:r>
        <w:t xml:space="preserve">), the deepest technical work undertaken, whether systems are consumed, configured, adapted, or produced from scratch (</w:t>
      </w:r>
      <w:r>
        <w:rPr>
          <w:rStyle w:val="VerbatimChar"/>
        </w:rPr>
        <w:t xml:space="preserve">T1</w:t>
      </w:r>
      <w:r>
        <w:t xml:space="preserve"> </w:t>
      </w:r>
      <w:r>
        <w:t xml:space="preserve">to</w:t>
      </w:r>
      <w:r>
        <w:t xml:space="preserve"> </w:t>
      </w:r>
      <w:r>
        <w:rPr>
          <w:rStyle w:val="VerbatimChar"/>
        </w:rPr>
        <w:t xml:space="preserve">T6</w:t>
      </w:r>
      <w:r>
        <w:t xml:space="preserve">), and where they see the most value over the next three years (</w:t>
      </w:r>
      <w:r>
        <w:rPr>
          <w:rStyle w:val="VerbatimChar"/>
        </w:rPr>
        <w:t xml:space="preserve">E1</w:t>
      </w:r>
      <w:r>
        <w:t xml:space="preserve"> </w:t>
      </w:r>
      <w:r>
        <w:t xml:space="preserve">to</w:t>
      </w:r>
      <w:r>
        <w:t xml:space="preserve"> </w:t>
      </w:r>
      <w:r>
        <w:rPr>
          <w:rStyle w:val="VerbatimChar"/>
        </w:rPr>
        <w:t xml:space="preserve">E6</w:t>
      </w:r>
      <w:r>
        <w:t xml:space="preserve">). These are the generic organizational-branch questions; a start-up respondent answers them the same way any organization does, with the relevant sector module (</w:t>
      </w:r>
      <w:r>
        <w:rPr>
          <w:rStyle w:val="VerbatimChar"/>
        </w:rPr>
        <w:t xml:space="preserve">YH</w:t>
      </w:r>
      <w:r>
        <w:t xml:space="preserve">,</w:t>
      </w:r>
      <w:r>
        <w:t xml:space="preserve"> </w:t>
      </w:r>
      <w:r>
        <w:rPr>
          <w:rStyle w:val="VerbatimChar"/>
        </w:rPr>
        <w:t xml:space="preserve">YF</w:t>
      </w:r>
      <w:r>
        <w:t xml:space="preserve">,</w:t>
      </w:r>
      <w:r>
        <w:t xml:space="preserve"> </w:t>
      </w:r>
      <w:r>
        <w:rPr>
          <w:rStyle w:val="VerbatimChar"/>
        </w:rPr>
        <w:t xml:space="preserve">YA</w:t>
      </w:r>
      <w:r>
        <w:t xml:space="preserve">,</w:t>
      </w:r>
      <w:r>
        <w:t xml:space="preserve"> </w:t>
      </w:r>
      <w:r>
        <w:rPr>
          <w:rStyle w:val="VerbatimChar"/>
        </w:rPr>
        <w:t xml:space="preserve">YI</w:t>
      </w:r>
      <w:r>
        <w:t xml:space="preserve">,</w:t>
      </w:r>
      <w:r>
        <w:t xml:space="preserve"> </w:t>
      </w:r>
      <w:r>
        <w:rPr>
          <w:rStyle w:val="VerbatimChar"/>
        </w:rPr>
        <w:t xml:space="preserve">YE</w:t>
      </w:r>
      <w:r>
        <w:t xml:space="preserve">,</w:t>
      </w:r>
      <w:r>
        <w:t xml:space="preserve"> </w:t>
      </w:r>
      <w:r>
        <w:rPr>
          <w:rStyle w:val="VerbatimChar"/>
        </w:rPr>
        <w:t xml:space="preserve">YS</w:t>
      </w:r>
      <w:r>
        <w:t xml:space="preserve">, or</w:t>
      </w:r>
      <w:r>
        <w:t xml:space="preserve"> </w:t>
      </w:r>
      <w:r>
        <w:rPr>
          <w:rStyle w:val="VerbatimChar"/>
        </w:rPr>
        <w:t xml:space="preserve">YG</w:t>
      </w:r>
      <w:r>
        <w:t xml:space="preserve">) applied if the start-up serves that sector.</w:t>
      </w:r>
    </w:p>
    <w:p>
      <w:pPr>
        <w:pStyle w:val="Compact"/>
        <w:numPr>
          <w:ilvl w:val="0"/>
          <w:numId w:val="1010"/>
        </w:numPr>
      </w:pPr>
      <w:r>
        <w:rPr>
          <w:b/>
          <w:bCs/>
        </w:rPr>
        <w:t xml:space="preserve">Evidence gap (applications and organizational activity):</w:t>
      </w:r>
      <w:r>
        <w:t xml:space="preserve"> </w:t>
      </w:r>
      <w:r>
        <w:t xml:space="preserve">the prior mapping draft’s own entity inventory (48 entities, including 13 start-ups) is explicitly described there as provisional and expected to grow once its survey runs; updating and cross-checking that inventory against the entity-naming and sector information start-ups will supply through</w:t>
      </w:r>
      <w:r>
        <w:t xml:space="preserve"> </w:t>
      </w:r>
      <w:r>
        <w:rPr>
          <w:rStyle w:val="VerbatimChar"/>
        </w:rPr>
        <w:t xml:space="preserve">D</w:t>
      </w:r>
      <w:r>
        <w:t xml:space="preserve"> </w:t>
      </w:r>
      <w:r>
        <w:t xml:space="preserve">and</w:t>
      </w:r>
      <w:r>
        <w:t xml:space="preserve"> </w:t>
      </w:r>
      <w:r>
        <w:rPr>
          <w:rStyle w:val="VerbatimChar"/>
        </w:rPr>
        <w:t xml:space="preserve">E</w:t>
      </w:r>
      <w:r>
        <w:t xml:space="preserve"> </w:t>
      </w:r>
      <w:r>
        <w:t xml:space="preserve">once fielded is a concrete task for this workstream, not a documentary one, since the fullest list currently exists only as an unpublished working draft.</w:t>
      </w:r>
    </w:p>
    <w:p>
      <w:pPr>
        <w:pStyle w:val="Compact"/>
        <w:numPr>
          <w:ilvl w:val="0"/>
          <w:numId w:val="1010"/>
        </w:numPr>
      </w:pPr>
      <w:r>
        <w:rPr>
          <w:b/>
          <w:bCs/>
        </w:rPr>
        <w:t xml:space="preserve">Evidence gap (applications and organizational activity):</w:t>
      </w:r>
      <w:r>
        <w:t xml:space="preserve"> </w:t>
      </w:r>
      <w:r>
        <w:t xml:space="preserve">case-level detail (founding year, funding stage, whether a start-up trains its own models or builds entirely on third-party APIs) for individual named start-ups beyond the handful the paper and the prior mapping draft already describe. The prior mapping draft itself marks this as a</w:t>
      </w:r>
      <w:r>
        <w:t xml:space="preserve"> </w:t>
      </w:r>
      <w:r>
        <w:t xml:space="preserve">“TODO: bring in survey data here”</w:t>
      </w:r>
      <w:r>
        <w:t xml:space="preserve"> </w:t>
      </w:r>
      <w:r>
        <w:t xml:space="preserve">item in its own section 5.1.</w:t>
      </w:r>
    </w:p>
    <w:bookmarkEnd w:id="28"/>
    <w:bookmarkStart w:id="29" w:name="actor-group-smes-and-established-firms"/>
    <w:p>
      <w:pPr>
        <w:pStyle w:val="Heading1"/>
      </w:pPr>
      <w:r>
        <w:t xml:space="preserve">4. Actor group: SMEs and established firms</w:t>
      </w:r>
    </w:p>
    <w:p>
      <w:pPr>
        <w:pStyle w:val="Compact"/>
        <w:numPr>
          <w:ilvl w:val="0"/>
          <w:numId w:val="1011"/>
        </w:numPr>
      </w:pPr>
      <w:r>
        <w:rPr>
          <w:b/>
          <w:bCs/>
        </w:rPr>
        <w:t xml:space="preserve">Existing evidence:</w:t>
      </w:r>
      <w:r>
        <w:t xml:space="preserve"> </w:t>
      </w:r>
      <w:r>
        <w:t xml:space="preserve">a working list of established firms with named products: Kifiya Financial Technology’s Qena lending platform (reported at USD 150 million in uncollateralised credit to 382,000 MSMEs) and its Michu partnership with the Cooperative Bank of Oromia; Ethiocloud’s Abyssinica GPT for Amharic; Gebeya’s pan-African talent marketplace; Awash Bank’s Tila product with Ethio Telecom; and enabler organizations iceaddis, blueMoon, and Ibex Frontier.</w:t>
      </w:r>
      <w:r>
        <w:t xml:space="preserve"> </w:t>
      </w:r>
      <w:r>
        <w:rPr>
          <w:rStyle w:val="VerbatimChar"/>
        </w:rPr>
        <w:t xml:space="preserve">AI-Landscape-Assessment/mapping paper_v1.docx</w:t>
      </w:r>
      <w:r>
        <w:t xml:space="preserve">, section 5.2.</w:t>
      </w:r>
    </w:p>
    <w:p>
      <w:pPr>
        <w:pStyle w:val="Compact"/>
        <w:numPr>
          <w:ilvl w:val="0"/>
          <w:numId w:val="1011"/>
        </w:numPr>
      </w:pPr>
      <w:r>
        <w:rPr>
          <w:b/>
          <w:bCs/>
        </w:rPr>
        <w:t xml:space="preserve">Existing evidence:</w:t>
      </w:r>
      <w:r>
        <w:t xml:space="preserve"> </w:t>
      </w:r>
      <w:r>
        <w:t xml:space="preserve">the paper’s independent, more heavily sourced account of the same space under finance, naming Michu specifically at approximately 2.1 million loans worth some USD 310 million to more than 430,000 MSMEs, first-time decisions in around ten minutes, and at least six banks running comparable products.</w:t>
      </w:r>
      <w:r>
        <w:t xml:space="preserve"> </w:t>
      </w:r>
      <w:r>
        <w:rPr>
          <w:rStyle w:val="VerbatimChar"/>
        </w:rPr>
        <w:t xml:space="preserve">paper/chapters/03-current-state.tex</w:t>
      </w:r>
      <w:r>
        <w:t xml:space="preserve">,</w:t>
      </w:r>
      <w:r>
        <w:t xml:space="preserve"> </w:t>
      </w:r>
      <w:r>
        <w:t xml:space="preserve">“Financial services: the clear leader, on one narrow front”</w:t>
      </w:r>
      <w:r>
        <w:t xml:space="preserve"> </w:t>
      </w:r>
      <w:r>
        <w:t xml:space="preserve">section.</w:t>
      </w:r>
    </w:p>
    <w:p>
      <w:pPr>
        <w:pStyle w:val="Compact"/>
        <w:numPr>
          <w:ilvl w:val="0"/>
          <w:numId w:val="1011"/>
        </w:numPr>
      </w:pPr>
      <w:r>
        <w:rPr>
          <w:b/>
          <w:bCs/>
        </w:rPr>
        <w:t xml:space="preserve">Existing evidence:</w:t>
      </w:r>
      <w:r>
        <w:t xml:space="preserve"> </w:t>
      </w:r>
      <w:r>
        <w:t xml:space="preserve">the structural explanation offered for why this capability exists, namely that the absence of a functioning credit reference bureau pushed lenders toward alternative-data scoring, and the associated finding that most of this capability sits with a single vendor deployed across multiple competing banks. Same section.</w:t>
      </w:r>
    </w:p>
    <w:p>
      <w:pPr>
        <w:pStyle w:val="Compact"/>
        <w:numPr>
          <w:ilvl w:val="0"/>
          <w:numId w:val="1011"/>
        </w:numPr>
      </w:pPr>
      <w:r>
        <w:rPr>
          <w:b/>
          <w:bCs/>
        </w:rPr>
        <w:t xml:space="preserve">Existing evidence:</w:t>
      </w:r>
      <w:r>
        <w:t xml:space="preserve"> </w:t>
      </w:r>
      <w:r>
        <w:t xml:space="preserve">Ethiopian Airlines’ predictive web personalisation (a reported 14 percent conversion increase in two weeks) as the only verified Ethiopian enterprise AI deployment with a named vendor and quantified outcome outside finance, and the explicit finding of no verified production AI in Ethiopian manufacturing, mining, or utilities.</w:t>
      </w:r>
      <w:r>
        <w:t xml:space="preserve"> </w:t>
      </w:r>
      <w:r>
        <w:rPr>
          <w:rStyle w:val="VerbatimChar"/>
        </w:rPr>
        <w:t xml:space="preserve">paper/chapters/03-current-state.tex</w:t>
      </w:r>
      <w:r>
        <w:t xml:space="preserve">,</w:t>
      </w:r>
      <w:r>
        <w:t xml:space="preserve"> </w:t>
      </w:r>
      <w:r>
        <w:t xml:space="preserve">“Industry: the sector furthest behind, and the least measured”</w:t>
      </w:r>
      <w:r>
        <w:t xml:space="preserve"> </w:t>
      </w:r>
      <w:r>
        <w:t xml:space="preserve">section.</w:t>
      </w:r>
    </w:p>
    <w:p>
      <w:pPr>
        <w:pStyle w:val="Compact"/>
        <w:numPr>
          <w:ilvl w:val="0"/>
          <w:numId w:val="1011"/>
        </w:numPr>
      </w:pPr>
      <w:r>
        <w:rPr>
          <w:b/>
          <w:bCs/>
        </w:rPr>
        <w:t xml:space="preserve">Existing evidence:</w:t>
      </w:r>
      <w:r>
        <w:t xml:space="preserve"> </w:t>
      </w:r>
      <w:r>
        <w:t xml:space="preserve">the World Bank Firm-level Adoption of Technology survey baseline (2022, n = 1,476 firms): 0.0 percent using big-data analytics or AI, 0.0 percent using robots, cloud computing at 4.3 percent overall, 47 percent of firms owning a computer, 34 percent with internet.</w:t>
      </w:r>
      <w:r>
        <w:t xml:space="preserve"> </w:t>
      </w:r>
      <w:r>
        <w:rPr>
          <w:rStyle w:val="VerbatimChar"/>
        </w:rPr>
        <w:t xml:space="preserve">paper/chapters/03-current-state.tex</w:t>
      </w:r>
      <w:r>
        <w:t xml:space="preserve">,</w:t>
      </w:r>
      <w:r>
        <w:t xml:space="preserve"> </w:t>
      </w:r>
      <w:r>
        <w:t xml:space="preserve">“The firm-level baseline: what we already know”</w:t>
      </w:r>
      <w:r>
        <w:t xml:space="preserve"> </w:t>
      </w:r>
      <w:r>
        <w:t xml:space="preserve">finding box. This is the comparator the paper recommends using whenever an SME adoption claim is assessed.</w:t>
      </w:r>
    </w:p>
    <w:p>
      <w:pPr>
        <w:pStyle w:val="Compact"/>
        <w:numPr>
          <w:ilvl w:val="0"/>
          <w:numId w:val="1011"/>
        </w:numPr>
      </w:pPr>
      <w:r>
        <w:rPr>
          <w:b/>
          <w:bCs/>
        </w:rPr>
        <w:t xml:space="preserve">Existing evidence:</w:t>
      </w:r>
      <w:r>
        <w:t xml:space="preserve"> </w:t>
      </w:r>
      <w:r>
        <w:t xml:space="preserve">the data-annotation labour question, including the paper’s own finding that an annotation economy aligned with Ethiopia’s labour endowment is a candidate job-creation strategy, and the prior mapping draft’s more critical note on a 2022 investigative report on conditions for Ethiopian-language content moderators working for a global platform through a local intermediary.</w:t>
      </w:r>
      <w:r>
        <w:t xml:space="preserve"> </w:t>
      </w:r>
      <w:r>
        <w:rPr>
          <w:rStyle w:val="VerbatimChar"/>
        </w:rPr>
        <w:t xml:space="preserve">paper/chapters/04-value-creation.tex</w:t>
      </w:r>
      <w:r>
        <w:t xml:space="preserve">,</w:t>
      </w:r>
      <w:r>
        <w:t xml:space="preserve"> </w:t>
      </w:r>
      <w:r>
        <w:t xml:space="preserve">“Human infrastructure”</w:t>
      </w:r>
      <w:r>
        <w:t xml:space="preserve"> </w:t>
      </w:r>
      <w:r>
        <w:t xml:space="preserve">section;</w:t>
      </w:r>
      <w:r>
        <w:t xml:space="preserve"> </w:t>
      </w:r>
      <w:r>
        <w:rPr>
          <w:rStyle w:val="VerbatimChar"/>
        </w:rPr>
        <w:t xml:space="preserve">AI-Landscape-Assessment/mapping paper_v1.docx</w:t>
      </w:r>
      <w:r>
        <w:t xml:space="preserve">, section 5.2.</w:t>
      </w:r>
    </w:p>
    <w:p>
      <w:pPr>
        <w:pStyle w:val="Compact"/>
        <w:numPr>
          <w:ilvl w:val="0"/>
          <w:numId w:val="1011"/>
        </w:numPr>
      </w:pPr>
      <w:r>
        <w:rPr>
          <w:b/>
          <w:bCs/>
        </w:rPr>
        <w:t xml:space="preserve">Survey (not yet fielded):</w:t>
      </w:r>
      <w:r>
        <w:t xml:space="preserve"> </w:t>
      </w:r>
      <w:r>
        <w:t xml:space="preserve">the same generic organizational battery as start-ups (</w:t>
      </w:r>
      <w:r>
        <w:rPr>
          <w:rStyle w:val="VerbatimChar"/>
        </w:rPr>
        <w:t xml:space="preserve">AT1</w:t>
      </w:r>
      <w:r>
        <w:t xml:space="preserve">-</w:t>
      </w:r>
      <w:r>
        <w:rPr>
          <w:rStyle w:val="VerbatimChar"/>
        </w:rPr>
        <w:t xml:space="preserve">AT2</w:t>
      </w:r>
      <w:r>
        <w:t xml:space="preserve">,</w:t>
      </w:r>
      <w:r>
        <w:t xml:space="preserve"> </w:t>
      </w:r>
      <w:r>
        <w:rPr>
          <w:rStyle w:val="VerbatimChar"/>
        </w:rPr>
        <w:t xml:space="preserve">D1</w:t>
      </w:r>
      <w:r>
        <w:t xml:space="preserve">-</w:t>
      </w:r>
      <w:r>
        <w:rPr>
          <w:rStyle w:val="VerbatimChar"/>
        </w:rPr>
        <w:t xml:space="preserve">D16</w:t>
      </w:r>
      <w:r>
        <w:t xml:space="preserve">,</w:t>
      </w:r>
      <w:r>
        <w:t xml:space="preserve"> </w:t>
      </w:r>
      <w:r>
        <w:rPr>
          <w:rStyle w:val="VerbatimChar"/>
        </w:rPr>
        <w:t xml:space="preserve">T1</w:t>
      </w:r>
      <w:r>
        <w:t xml:space="preserve">-</w:t>
      </w:r>
      <w:r>
        <w:rPr>
          <w:rStyle w:val="VerbatimChar"/>
        </w:rPr>
        <w:t xml:space="preserve">T6</w:t>
      </w:r>
      <w:r>
        <w:t xml:space="preserve">,</w:t>
      </w:r>
      <w:r>
        <w:t xml:space="preserve"> </w:t>
      </w:r>
      <w:r>
        <w:rPr>
          <w:rStyle w:val="VerbatimChar"/>
        </w:rPr>
        <w:t xml:space="preserve">E1</w:t>
      </w:r>
      <w:r>
        <w:t xml:space="preserve">-</w:t>
      </w:r>
      <w:r>
        <w:rPr>
          <w:rStyle w:val="VerbatimChar"/>
        </w:rPr>
        <w:t xml:space="preserve">E6</w:t>
      </w:r>
      <w:r>
        <w:t xml:space="preserve">), plus the financial-sector module for SMEs in finance (</w:t>
      </w:r>
      <w:r>
        <w:rPr>
          <w:rStyle w:val="VerbatimChar"/>
        </w:rPr>
        <w:t xml:space="preserve">YF1</w:t>
      </w:r>
      <w:r>
        <w:t xml:space="preserve">-</w:t>
      </w:r>
      <w:r>
        <w:rPr>
          <w:rStyle w:val="VerbatimChar"/>
        </w:rPr>
        <w:t xml:space="preserve">YF6</w:t>
      </w:r>
      <w:r>
        <w:t xml:space="preserve">: current status by area, whether customer-facing decisions are made fully automatically, what data feeds them, model-risk controls in place, where training and scoring data is held, and whether scoring or fraud models are built in-house or vendor-supplied) and the industry-sector module for SMEs in manufacturing or related sectors (</w:t>
      </w:r>
      <w:r>
        <w:rPr>
          <w:rStyle w:val="VerbatimChar"/>
        </w:rPr>
        <w:t xml:space="preserve">YI1</w:t>
      </w:r>
      <w:r>
        <w:t xml:space="preserve">-</w:t>
      </w:r>
      <w:r>
        <w:rPr>
          <w:rStyle w:val="VerbatimChar"/>
        </w:rPr>
        <w:t xml:space="preserve">YI6</w:t>
      </w:r>
      <w:r>
        <w:t xml:space="preserve">: most advanced method per business function, whether production machines emit digital data, how maintenance and quality inspection are decided, foreign-currency access for machinery and licences, and frequency of power interruptions stopping production).</w:t>
      </w:r>
    </w:p>
    <w:p>
      <w:pPr>
        <w:pStyle w:val="Compact"/>
        <w:numPr>
          <w:ilvl w:val="0"/>
          <w:numId w:val="1011"/>
        </w:numPr>
      </w:pPr>
      <w:r>
        <w:rPr>
          <w:b/>
          <w:bCs/>
        </w:rPr>
        <w:t xml:space="preserve">Evidence gap (applications and organizational activity):</w:t>
      </w:r>
      <w:r>
        <w:t xml:space="preserve"> </w:t>
      </w:r>
      <w:r>
        <w:t xml:space="preserve">systematic coverage of established firms outside finance, telecom, and aviation. The current evidence base is dense for a small number of well-documented cases (Kifiya, Ethiopian Airlines) and essentially silent on manufacturing, retail, logistics, and the broader services sector; this is exactly the gap</w:t>
      </w:r>
      <w:r>
        <w:t xml:space="preserve"> </w:t>
      </w:r>
      <w:r>
        <w:rPr>
          <w:rStyle w:val="VerbatimChar"/>
        </w:rPr>
        <w:t xml:space="preserve">YI</w:t>
      </w:r>
      <w:r>
        <w:t xml:space="preserve"> </w:t>
      </w:r>
      <w:r>
        <w:t xml:space="preserve">is designed to close once fielded, but until then it remains a documentary blind spot this workstream should name rather than paper over with the finance examples.</w:t>
      </w:r>
    </w:p>
    <w:bookmarkEnd w:id="29"/>
    <w:bookmarkStart w:id="30" w:name="actor-group-public-institutions"/>
    <w:p>
      <w:pPr>
        <w:pStyle w:val="Heading1"/>
      </w:pPr>
      <w:r>
        <w:t xml:space="preserve">5. Actor group: public institutions</w:t>
      </w:r>
    </w:p>
    <w:p>
      <w:pPr>
        <w:pStyle w:val="Compact"/>
        <w:numPr>
          <w:ilvl w:val="0"/>
          <w:numId w:val="1012"/>
        </w:numPr>
      </w:pPr>
      <w:r>
        <w:rPr>
          <w:b/>
          <w:bCs/>
        </w:rPr>
        <w:t xml:space="preserve">Existing evidence:</w:t>
      </w:r>
      <w:r>
        <w:t xml:space="preserve"> </w:t>
      </w:r>
      <w:r>
        <w:t xml:space="preserve">a working list of public institutions and their roles: EAII (implementation lead), MInT (policy agenda owner), Ethio Telecom (infrastructure and deployment layer, including the Ardi customer-service chatbot and a Huawei AI and cloud partnership), the Fayda national ID programme, the National Bank of Ethiopia, and ministry-level digital roadmaps for agriculture, health, and education.</w:t>
      </w:r>
      <w:r>
        <w:t xml:space="preserve"> </w:t>
      </w:r>
      <w:r>
        <w:rPr>
          <w:rStyle w:val="VerbatimChar"/>
        </w:rPr>
        <w:t xml:space="preserve">AI-Landscape-Assessment/mapping paper_v1.docx</w:t>
      </w:r>
      <w:r>
        <w:t xml:space="preserve">, section 5.3.</w:t>
      </w:r>
    </w:p>
    <w:p>
      <w:pPr>
        <w:pStyle w:val="Compact"/>
        <w:numPr>
          <w:ilvl w:val="0"/>
          <w:numId w:val="1012"/>
        </w:numPr>
      </w:pPr>
      <w:r>
        <w:rPr>
          <w:b/>
          <w:bCs/>
        </w:rPr>
        <w:t xml:space="preserve">Existing evidence:</w:t>
      </w:r>
      <w:r>
        <w:t xml:space="preserve"> </w:t>
      </w:r>
      <w:r>
        <w:t xml:space="preserve">the paper’s fuller institutional map (EAII, MInT, the Ethiopian Communications Authority, INSA, the National ID Programme, the Ethiopian Statistical Service, EIAR, the Biotechnology Institute, sector ministries, the Customs Commission, regional bureaus, universities, private firms, and the diaspora research community), the Institute’s six concentrated functions, and the governance recommendation to unbundle them into a policy secretariat, an independent regulator, an arm’s-length funder, and a performer.</w:t>
      </w:r>
      <w:r>
        <w:t xml:space="preserve"> </w:t>
      </w:r>
      <w:r>
        <w:rPr>
          <w:rStyle w:val="VerbatimChar"/>
        </w:rPr>
        <w:t xml:space="preserve">paper/chapters/03-current-state.tex</w:t>
      </w:r>
      <w:r>
        <w:t xml:space="preserve">,</w:t>
      </w:r>
      <w:r>
        <w:t xml:space="preserve"> </w:t>
      </w:r>
      <w:r>
        <w:t xml:space="preserve">“Institutional landscape and the concentration question”</w:t>
      </w:r>
      <w:r>
        <w:t xml:space="preserve"> </w:t>
      </w:r>
      <w:r>
        <w:t xml:space="preserve">section.</w:t>
      </w:r>
    </w:p>
    <w:p>
      <w:pPr>
        <w:pStyle w:val="Compact"/>
        <w:numPr>
          <w:ilvl w:val="0"/>
          <w:numId w:val="1012"/>
        </w:numPr>
      </w:pPr>
      <w:r>
        <w:rPr>
          <w:b/>
          <w:bCs/>
        </w:rPr>
        <w:t xml:space="preserve">Existing evidence:</w:t>
      </w:r>
      <w:r>
        <w:t xml:space="preserve"> </w:t>
      </w:r>
      <w:r>
        <w:t xml:space="preserve">Fayda enrolment approaching 50 million and its new mandate for bank-account linkage; the finding that government is the sector where the National AI Policy has the most direct authority and, so far, the least public evidence of production deployment.</w:t>
      </w:r>
      <w:r>
        <w:t xml:space="preserve"> </w:t>
      </w:r>
      <w:r>
        <w:rPr>
          <w:rStyle w:val="VerbatimChar"/>
        </w:rPr>
        <w:t xml:space="preserve">paper/chapters/03-current-state.tex</w:t>
      </w:r>
      <w:r>
        <w:t xml:space="preserve">,</w:t>
      </w:r>
      <w:r>
        <w:t xml:space="preserve"> </w:t>
      </w:r>
      <w:r>
        <w:t xml:space="preserve">“Public administration and policy management”</w:t>
      </w:r>
      <w:r>
        <w:t xml:space="preserve"> </w:t>
      </w:r>
      <w:r>
        <w:t xml:space="preserve">section. Primary documents:</w:t>
      </w:r>
      <w:r>
        <w:t xml:space="preserve"> </w:t>
      </w:r>
      <w:r>
        <w:rPr>
          <w:rStyle w:val="VerbatimChar"/>
        </w:rPr>
        <w:t xml:space="preserve">gov-digital-identification-proclamation-1284-2023.pdf</w:t>
      </w:r>
      <w:r>
        <w:t xml:space="preserve">,</w:t>
      </w:r>
      <w:r>
        <w:t xml:space="preserve"> </w:t>
      </w:r>
      <w:r>
        <w:rPr>
          <w:rStyle w:val="VerbatimChar"/>
        </w:rPr>
        <w:t xml:space="preserve">gov-fayda-digital-id-status-update-id4africa-2024.pdf</w:t>
      </w:r>
      <w:r>
        <w:t xml:space="preserve">,</w:t>
      </w:r>
      <w:r>
        <w:t xml:space="preserve"> </w:t>
      </w:r>
      <w:r>
        <w:rPr>
          <w:rStyle w:val="VerbatimChar"/>
        </w:rPr>
        <w:t xml:space="preserve">gov-fayda-national-id-strategy-executive-summary-2024.pdf</w:t>
      </w:r>
      <w:r>
        <w:t xml:space="preserve">.</w:t>
      </w:r>
    </w:p>
    <w:p>
      <w:pPr>
        <w:pStyle w:val="Compact"/>
        <w:numPr>
          <w:ilvl w:val="0"/>
          <w:numId w:val="1012"/>
        </w:numPr>
      </w:pPr>
      <w:r>
        <w:rPr>
          <w:b/>
          <w:bCs/>
        </w:rPr>
        <w:t xml:space="preserve">Existing evidence:</w:t>
      </w:r>
      <w:r>
        <w:t xml:space="preserve"> </w:t>
      </w:r>
      <w:r>
        <w:t xml:space="preserve">the National Bank’s reported AI-based transaction monitoring and account-freeze figures, which the paper itself flags as two distinct, not fully reconciled reports, with a named next step (a key-informant interview with the NBE’s Financial Intelligence Service).</w:t>
      </w:r>
      <w:r>
        <w:t xml:space="preserve"> </w:t>
      </w:r>
      <w:r>
        <w:rPr>
          <w:rStyle w:val="VerbatimChar"/>
        </w:rPr>
        <w:t xml:space="preserve">paper/chapters/03-current-state.tex</w:t>
      </w:r>
      <w:r>
        <w:t xml:space="preserve">,</w:t>
      </w:r>
      <w:r>
        <w:t xml:space="preserve"> </w:t>
      </w:r>
      <w:r>
        <w:t xml:space="preserve">“Financial services”</w:t>
      </w:r>
      <w:r>
        <w:t xml:space="preserve"> </w:t>
      </w:r>
      <w:r>
        <w:t xml:space="preserve">section, footnote.</w:t>
      </w:r>
    </w:p>
    <w:p>
      <w:pPr>
        <w:pStyle w:val="Compact"/>
        <w:numPr>
          <w:ilvl w:val="0"/>
          <w:numId w:val="1012"/>
        </w:numPr>
      </w:pPr>
      <w:r>
        <w:rPr>
          <w:b/>
          <w:bCs/>
        </w:rPr>
        <w:t xml:space="preserve">Survey (not yet fielded):</w:t>
      </w:r>
      <w:r>
        <w:t xml:space="preserve"> </w:t>
      </w:r>
      <w:r>
        <w:t xml:space="preserve">the generic organizational battery (</w:t>
      </w:r>
      <w:r>
        <w:rPr>
          <w:rStyle w:val="VerbatimChar"/>
        </w:rPr>
        <w:t xml:space="preserve">AT</w:t>
      </w:r>
      <w:r>
        <w:t xml:space="preserve">,</w:t>
      </w:r>
      <w:r>
        <w:t xml:space="preserve"> </w:t>
      </w:r>
      <w:r>
        <w:rPr>
          <w:rStyle w:val="VerbatimChar"/>
        </w:rPr>
        <w:t xml:space="preserve">D</w:t>
      </w:r>
      <w:r>
        <w:t xml:space="preserve">,</w:t>
      </w:r>
      <w:r>
        <w:t xml:space="preserve"> </w:t>
      </w:r>
      <w:r>
        <w:rPr>
          <w:rStyle w:val="VerbatimChar"/>
        </w:rPr>
        <w:t xml:space="preserve">T</w:t>
      </w:r>
      <w:r>
        <w:t xml:space="preserve">,</w:t>
      </w:r>
      <w:r>
        <w:t xml:space="preserve"> </w:t>
      </w:r>
      <w:r>
        <w:rPr>
          <w:rStyle w:val="VerbatimChar"/>
        </w:rPr>
        <w:t xml:space="preserve">E</w:t>
      </w:r>
      <w:r>
        <w:t xml:space="preserve">) applies to any public institution respondent, with the government and public-service module (</w:t>
      </w:r>
      <w:r>
        <w:rPr>
          <w:rStyle w:val="VerbatimChar"/>
        </w:rPr>
        <w:t xml:space="preserve">YG1</w:t>
      </w:r>
      <w:r>
        <w:t xml:space="preserve">-</w:t>
      </w:r>
      <w:r>
        <w:rPr>
          <w:rStyle w:val="VerbatimChar"/>
        </w:rPr>
        <w:t xml:space="preserve">YG6</w:t>
      </w:r>
      <w:r>
        <w:t xml:space="preserve">: current status per area, which channels citizens actually use to reach the service, how many languages the service is available in, whether machine-readable administrative data is held, whether a decision affecting a citizen has a stated legal basis and a challenge route, and how the work is funded and for how long) as the sector-specific layer. For public institutions in health, finance, agriculture, education, or schools, the respective</w:t>
      </w:r>
      <w:r>
        <w:t xml:space="preserve"> </w:t>
      </w:r>
      <w:r>
        <w:rPr>
          <w:rStyle w:val="VerbatimChar"/>
        </w:rPr>
        <w:t xml:space="preserve">YH</w:t>
      </w:r>
      <w:r>
        <w:t xml:space="preserve">,</w:t>
      </w:r>
      <w:r>
        <w:t xml:space="preserve"> </w:t>
      </w:r>
      <w:r>
        <w:rPr>
          <w:rStyle w:val="VerbatimChar"/>
        </w:rPr>
        <w:t xml:space="preserve">YF</w:t>
      </w:r>
      <w:r>
        <w:t xml:space="preserve">,</w:t>
      </w:r>
      <w:r>
        <w:t xml:space="preserve"> </w:t>
      </w:r>
      <w:r>
        <w:rPr>
          <w:rStyle w:val="VerbatimChar"/>
        </w:rPr>
        <w:t xml:space="preserve">YA</w:t>
      </w:r>
      <w:r>
        <w:t xml:space="preserve">,</w:t>
      </w:r>
      <w:r>
        <w:t xml:space="preserve"> </w:t>
      </w:r>
      <w:r>
        <w:rPr>
          <w:rStyle w:val="VerbatimChar"/>
        </w:rPr>
        <w:t xml:space="preserve">YE</w:t>
      </w:r>
      <w:r>
        <w:t xml:space="preserve">, or</w:t>
      </w:r>
      <w:r>
        <w:t xml:space="preserve"> </w:t>
      </w:r>
      <w:r>
        <w:rPr>
          <w:rStyle w:val="VerbatimChar"/>
        </w:rPr>
        <w:t xml:space="preserve">YS</w:t>
      </w:r>
      <w:r>
        <w:t xml:space="preserve"> </w:t>
      </w:r>
      <w:r>
        <w:t xml:space="preserve">module applies instead of, or alongside,</w:t>
      </w:r>
      <w:r>
        <w:t xml:space="preserve"> </w:t>
      </w:r>
      <w:r>
        <w:rPr>
          <w:rStyle w:val="VerbatimChar"/>
        </w:rPr>
        <w:t xml:space="preserve">YG</w:t>
      </w:r>
      <w:r>
        <w:t xml:space="preserve"> </w:t>
      </w:r>
      <w:r>
        <w:t xml:space="preserve">depending on the institution’s primary function.</w:t>
      </w:r>
    </w:p>
    <w:p>
      <w:pPr>
        <w:pStyle w:val="Compact"/>
        <w:numPr>
          <w:ilvl w:val="0"/>
          <w:numId w:val="1012"/>
        </w:numPr>
      </w:pPr>
      <w:r>
        <w:rPr>
          <w:b/>
          <w:bCs/>
        </w:rPr>
        <w:t xml:space="preserve">Evidence gap (policy and institutional landscape):</w:t>
      </w:r>
      <w:r>
        <w:t xml:space="preserve"> </w:t>
      </w:r>
      <w:r>
        <w:t xml:space="preserve">a current, verified census of which specific public bodies hold which AI-relevant mandate, since the paper’s own account is explicitly built from a desk review</w:t>
      </w:r>
      <w:r>
        <w:t xml:space="preserve"> </w:t>
      </w:r>
      <w:r>
        <w:t xml:space="preserve">“on the strength of scattered mentions rather than one consolidated roster.”</w:t>
      </w:r>
      <w:r>
        <w:t xml:space="preserve"> </w:t>
      </w:r>
      <w:r>
        <w:rPr>
          <w:rStyle w:val="VerbatimChar"/>
        </w:rPr>
        <w:t xml:space="preserve">paper/chapters/03-current-state.tex</w:t>
      </w:r>
      <w:r>
        <w:t xml:space="preserve">,</w:t>
      </w:r>
      <w:r>
        <w:t xml:space="preserve"> </w:t>
      </w:r>
      <w:r>
        <w:t xml:space="preserve">“Map of actors”</w:t>
      </w:r>
      <w:r>
        <w:t xml:space="preserve"> </w:t>
      </w:r>
      <w:r>
        <w:t xml:space="preserve">footnote. This is the same gap flagged in Chapter 2 above; it belongs in both chapters because it affects both the governance analysis and the actor-group inventory.</w:t>
      </w:r>
    </w:p>
    <w:p>
      <w:pPr>
        <w:pStyle w:val="Compact"/>
        <w:numPr>
          <w:ilvl w:val="0"/>
          <w:numId w:val="1012"/>
        </w:numPr>
      </w:pPr>
      <w:r>
        <w:rPr>
          <w:b/>
          <w:bCs/>
        </w:rPr>
        <w:t xml:space="preserve">Evidence gap (applications and organizational activity):</w:t>
      </w:r>
      <w:r>
        <w:t xml:space="preserve"> </w:t>
      </w:r>
      <w:r>
        <w:t xml:space="preserve">verified, outcome-level detail on government service-delivery AI beyond Fayda and the NBE monitoring system. E-services, document and translation workloads, revenue and customs analytics, and land-registry digitisation are named as candidate use cases in the paper’s value-creation chapter but not documented as existing deployments with evidence.</w:t>
      </w:r>
      <w:r>
        <w:t xml:space="preserve"> </w:t>
      </w:r>
      <w:r>
        <w:rPr>
          <w:rStyle w:val="VerbatimChar"/>
        </w:rPr>
        <w:t xml:space="preserve">paper/chapters/04-value-creation.tex</w:t>
      </w:r>
      <w:r>
        <w:t xml:space="preserve">,</w:t>
      </w:r>
      <w:r>
        <w:t xml:space="preserve"> </w:t>
      </w:r>
      <w:r>
        <w:t xml:space="preserve">“Government and public service delivery”</w:t>
      </w:r>
      <w:r>
        <w:t xml:space="preserve"> </w:t>
      </w:r>
      <w:r>
        <w:t xml:space="preserve">section.</w:t>
      </w:r>
    </w:p>
    <w:bookmarkEnd w:id="30"/>
    <w:bookmarkStart w:id="31" w:name="Xe845728b7e1af6d70dcc883305fc8ab7641974d"/>
    <w:p>
      <w:pPr>
        <w:pStyle w:val="Heading1"/>
      </w:pPr>
      <w:r>
        <w:t xml:space="preserve">6. Actor group: funders and development partners</w:t>
      </w:r>
    </w:p>
    <w:p>
      <w:pPr>
        <w:pStyle w:val="Compact"/>
        <w:numPr>
          <w:ilvl w:val="0"/>
          <w:numId w:val="1013"/>
        </w:numPr>
      </w:pPr>
      <w:r>
        <w:rPr>
          <w:b/>
          <w:bCs/>
        </w:rPr>
        <w:t xml:space="preserve">Existing evidence:</w:t>
      </w:r>
      <w:r>
        <w:t xml:space="preserve"> </w:t>
      </w:r>
      <w:r>
        <w:t xml:space="preserve">a working list of funders: the World Bank (over USD 630 million in active digital projects in Ethiopia), the UK FCDO’s planned EthiopiAI programme (reported at GBP 4.6 million), UNDP (co-running the AI UniPod at Addis Ababa University), UNECA and the AU (continental governance), ITU, IDRC/Sida through AI4D, and JICA, plus corporate funders including Google (A2SV) and Huawei (the Ethio Telecom partnership).</w:t>
      </w:r>
      <w:r>
        <w:t xml:space="preserve"> </w:t>
      </w:r>
      <w:r>
        <w:rPr>
          <w:rStyle w:val="VerbatimChar"/>
        </w:rPr>
        <w:t xml:space="preserve">AI-Landscape-Assessment/mapping paper_v1.docx</w:t>
      </w:r>
      <w:r>
        <w:t xml:space="preserve">, section 5.4.</w:t>
      </w:r>
    </w:p>
    <w:p>
      <w:pPr>
        <w:pStyle w:val="Compact"/>
        <w:numPr>
          <w:ilvl w:val="0"/>
          <w:numId w:val="1013"/>
        </w:numPr>
      </w:pPr>
      <w:r>
        <w:rPr>
          <w:b/>
          <w:bCs/>
        </w:rPr>
        <w:t xml:space="preserve">Existing evidence:</w:t>
      </w:r>
      <w:r>
        <w:t xml:space="preserve"> </w:t>
      </w:r>
      <w:r>
        <w:t xml:space="preserve">the paper’s funding-landscape section naming the World Bank’s Digital Ethiopia and DECA programmes, UNESCO, UNDP, GIZ/BMZ, the EU, the Mastercard Foundation, and Gates, alongside the explicit finding that diaspora and philanthropic flows are largely unmeasured.</w:t>
      </w:r>
      <w:r>
        <w:t xml:space="preserve"> </w:t>
      </w:r>
      <w:r>
        <w:rPr>
          <w:rStyle w:val="VerbatimChar"/>
        </w:rPr>
        <w:t xml:space="preserve">paper/chapters/03-current-state.tex</w:t>
      </w:r>
      <w:r>
        <w:t xml:space="preserve">,</w:t>
      </w:r>
      <w:r>
        <w:t xml:space="preserve"> </w:t>
      </w:r>
      <w:r>
        <w:t xml:space="preserve">“Development partners, private capital and diaspora”</w:t>
      </w:r>
      <w:r>
        <w:t xml:space="preserve"> </w:t>
      </w:r>
      <w:r>
        <w:t xml:space="preserve">section.</w:t>
      </w:r>
    </w:p>
    <w:p>
      <w:pPr>
        <w:pStyle w:val="Compact"/>
        <w:numPr>
          <w:ilvl w:val="0"/>
          <w:numId w:val="1013"/>
        </w:numPr>
      </w:pPr>
      <w:r>
        <w:rPr>
          <w:b/>
          <w:bCs/>
        </w:rPr>
        <w:t xml:space="preserve">Existing evidence:</w:t>
      </w:r>
      <w:r>
        <w:t xml:space="preserve"> </w:t>
      </w:r>
      <w:r>
        <w:t xml:space="preserve">primary programme documents:</w:t>
      </w:r>
      <w:r>
        <w:t xml:space="preserve"> </w:t>
      </w:r>
      <w:r>
        <w:rPr>
          <w:rStyle w:val="VerbatimChar"/>
        </w:rPr>
        <w:t xml:space="preserve">AI-Landscape-Assessment/Related_materials/partner-fcdo-ethiopiai-programme-business-case-2026.odt</w:t>
      </w:r>
      <w:r>
        <w:t xml:space="preserve">,</w:t>
      </w:r>
      <w:r>
        <w:t xml:space="preserve"> </w:t>
      </w:r>
      <w:r>
        <w:rPr>
          <w:rStyle w:val="VerbatimChar"/>
        </w:rPr>
        <w:t xml:space="preserve">partner-worldbank-ethiopia-digital-foundations-project-pad-2021.pdf</w:t>
      </w:r>
      <w:r>
        <w:t xml:space="preserve">,</w:t>
      </w:r>
      <w:r>
        <w:t xml:space="preserve"> </w:t>
      </w:r>
      <w:r>
        <w:rPr>
          <w:rStyle w:val="VerbatimChar"/>
        </w:rPr>
        <w:t xml:space="preserve">partner-worldbank-ethiopia-digital-id-inclusion-services-project-2023.pdf</w:t>
      </w:r>
      <w:r>
        <w:t xml:space="preserve">,</w:t>
      </w:r>
      <w:r>
        <w:t xml:space="preserve"> </w:t>
      </w:r>
      <w:r>
        <w:rPr>
          <w:rStyle w:val="VerbatimChar"/>
        </w:rPr>
        <w:t xml:space="preserve">partner-worldbank-eardip-eastern-africa-digital-integration-pad-2023.pdf</w:t>
      </w:r>
      <w:r>
        <w:t xml:space="preserve">,</w:t>
      </w:r>
      <w:r>
        <w:t xml:space="preserve"> </w:t>
      </w:r>
      <w:r>
        <w:rPr>
          <w:rStyle w:val="VerbatimChar"/>
        </w:rPr>
        <w:t xml:space="preserve">partner-undp-ethiopia-country-programme-2025-2030.pdf</w:t>
      </w:r>
      <w:r>
        <w:t xml:space="preserve">,</w:t>
      </w:r>
      <w:r>
        <w:t xml:space="preserve"> </w:t>
      </w:r>
      <w:r>
        <w:rPr>
          <w:rStyle w:val="VerbatimChar"/>
        </w:rPr>
        <w:t xml:space="preserve">partner-itu-ethiopia-dtc-digital-ethiopia-2025-alignment-2022.pdf</w:t>
      </w:r>
      <w:r>
        <w:t xml:space="preserve">.</w:t>
      </w:r>
    </w:p>
    <w:p>
      <w:pPr>
        <w:pStyle w:val="Compact"/>
        <w:numPr>
          <w:ilvl w:val="0"/>
          <w:numId w:val="1013"/>
        </w:numPr>
      </w:pPr>
      <w:r>
        <w:rPr>
          <w:b/>
          <w:bCs/>
        </w:rPr>
        <w:t xml:space="preserve">Existing evidence:</w:t>
      </w:r>
      <w:r>
        <w:t xml:space="preserve"> </w:t>
      </w:r>
      <w:r>
        <w:t xml:space="preserve">the Ethiopian AI Institute’s own budget trajectory (ETB 1.13 billion in the most recent fiscal year, a reported 42 percent increase), cited by the paper as a trade-press figure not yet cross-checked against the underlying federal budget proclamation.</w:t>
      </w:r>
      <w:r>
        <w:t xml:space="preserve"> </w:t>
      </w:r>
      <w:r>
        <w:rPr>
          <w:rStyle w:val="VerbatimChar"/>
        </w:rPr>
        <w:t xml:space="preserve">paper/chapters/01-introduction.tex</w:t>
      </w:r>
      <w:r>
        <w:t xml:space="preserve"> </w:t>
      </w:r>
      <w:r>
        <w:t xml:space="preserve">and</w:t>
      </w:r>
      <w:r>
        <w:t xml:space="preserve"> </w:t>
      </w:r>
      <w:r>
        <w:rPr>
          <w:rStyle w:val="VerbatimChar"/>
        </w:rPr>
        <w:t xml:space="preserve">paper/chapters/03-current-state.tex</w:t>
      </w:r>
      <w:r>
        <w:t xml:space="preserve">,</w:t>
      </w:r>
      <w:r>
        <w:t xml:space="preserve"> </w:t>
      </w:r>
      <w:r>
        <w:t xml:space="preserve">“Funding: sources, flows and effectiveness,”</w:t>
      </w:r>
      <w:r>
        <w:t xml:space="preserve"> </w:t>
      </w:r>
      <w:r>
        <w:t xml:space="preserve">“Public”</w:t>
      </w:r>
      <w:r>
        <w:t xml:space="preserve"> </w:t>
      </w:r>
      <w:r>
        <w:t xml:space="preserve">subsection.</w:t>
      </w:r>
    </w:p>
    <w:p>
      <w:pPr>
        <w:pStyle w:val="Compact"/>
        <w:numPr>
          <w:ilvl w:val="0"/>
          <w:numId w:val="1013"/>
        </w:numPr>
      </w:pPr>
      <w:r>
        <w:rPr>
          <w:b/>
          <w:bCs/>
        </w:rPr>
        <w:t xml:space="preserve">Existing evidence:</w:t>
      </w:r>
      <w:r>
        <w:t xml:space="preserve"> </w:t>
      </w:r>
      <w:r>
        <w:t xml:space="preserve">the paper’s proposed funding-effectiveness indicator set (spend per AI graduate, per peer-reviewed publication, per production system in service, per 1,000 citizens served, share contested through open competition, share reaching institutions outside Addis Ababa, capital-to-recurrent ratio, disbursement rate), offered as a template Volume I can adopt for describing funders even before any of it is measured.</w:t>
      </w:r>
      <w:r>
        <w:t xml:space="preserve"> </w:t>
      </w:r>
      <w:r>
        <w:rPr>
          <w:rStyle w:val="VerbatimChar"/>
        </w:rPr>
        <w:t xml:space="preserve">paper/chapters/03-current-state.tex</w:t>
      </w:r>
      <w:r>
        <w:t xml:space="preserve">,</w:t>
      </w:r>
      <w:r>
        <w:t xml:space="preserve"> </w:t>
      </w:r>
      <w:r>
        <w:t xml:space="preserve">“A funding-effectiveness indicator set”</w:t>
      </w:r>
      <w:r>
        <w:t xml:space="preserve"> </w:t>
      </w:r>
      <w:r>
        <w:t xml:space="preserve">section.</w:t>
      </w:r>
    </w:p>
    <w:p>
      <w:pPr>
        <w:pStyle w:val="Compact"/>
        <w:numPr>
          <w:ilvl w:val="0"/>
          <w:numId w:val="1013"/>
        </w:numPr>
      </w:pPr>
      <w:r>
        <w:rPr>
          <w:b/>
          <w:bCs/>
        </w:rPr>
        <w:t xml:space="preserve">Survey (not yet fielded):</w:t>
      </w:r>
      <w:r>
        <w:t xml:space="preserve"> </w:t>
      </w:r>
      <w:r>
        <w:t xml:space="preserve">funders and development partners are not the primary respondent type for the organizational instrument’s sector modules, but the generic items on where AI creates value (</w:t>
      </w:r>
      <w:r>
        <w:rPr>
          <w:rStyle w:val="VerbatimChar"/>
        </w:rPr>
        <w:t xml:space="preserve">E1</w:t>
      </w:r>
      <w:r>
        <w:t xml:space="preserve">-</w:t>
      </w:r>
      <w:r>
        <w:rPr>
          <w:rStyle w:val="VerbatimChar"/>
        </w:rPr>
        <w:t xml:space="preserve">E2</w:t>
      </w:r>
      <w:r>
        <w:t xml:space="preserve">) and general-purpose tool policy (</w:t>
      </w:r>
      <w:r>
        <w:rPr>
          <w:rStyle w:val="VerbatimChar"/>
        </w:rPr>
        <w:t xml:space="preserve">E5</w:t>
      </w:r>
      <w:r>
        <w:t xml:space="preserve">-</w:t>
      </w:r>
      <w:r>
        <w:rPr>
          <w:rStyle w:val="VerbatimChar"/>
        </w:rPr>
        <w:t xml:space="preserve">E6</w:t>
      </w:r>
      <w:r>
        <w:t xml:space="preserve">) apply to a funder’s own internal use; most funder-relevant evidence in this volume is necessarily documentary rather than survey-based.</w:t>
      </w:r>
    </w:p>
    <w:p>
      <w:pPr>
        <w:pStyle w:val="Compact"/>
        <w:numPr>
          <w:ilvl w:val="0"/>
          <w:numId w:val="1013"/>
        </w:numPr>
      </w:pPr>
      <w:r>
        <w:rPr>
          <w:b/>
          <w:bCs/>
        </w:rPr>
        <w:t xml:space="preserve">Evidence gap (research coordination and synthesis):</w:t>
      </w:r>
      <w:r>
        <w:t xml:space="preserve"> </w:t>
      </w:r>
      <w:r>
        <w:t xml:space="preserve">no consolidated, dated ledger exists of Ethiopian AI funding by source (public, multilateral, bilateral, philanthropic, diaspora, private venture capital), amount, and recipient. The paper flags this directly as an inference rather than a sourced claim when discussing language-technology funding specifically.</w:t>
      </w:r>
      <w:r>
        <w:t xml:space="preserve"> </w:t>
      </w:r>
      <w:r>
        <w:rPr>
          <w:rStyle w:val="VerbatimChar"/>
        </w:rPr>
        <w:t xml:space="preserve">paper/chapters/03-current-state.tex</w:t>
      </w:r>
      <w:r>
        <w:t xml:space="preserve">,</w:t>
      </w:r>
      <w:r>
        <w:t xml:space="preserve"> </w:t>
      </w:r>
      <w:r>
        <w:t xml:space="preserve">“Ethiopia’s one demonstrated comparative advantage is not state-funded”</w:t>
      </w:r>
      <w:r>
        <w:t xml:space="preserve"> </w:t>
      </w:r>
      <w:r>
        <w:t xml:space="preserve">finding box, footnote. Building even a partial version of this ledger from the funder-specific documents already in</w:t>
      </w:r>
      <w:r>
        <w:t xml:space="preserve"> </w:t>
      </w:r>
      <w:r>
        <w:rPr>
          <w:rStyle w:val="VerbatimChar"/>
        </w:rPr>
        <w:t xml:space="preserve">AI-Landscape-Assessment/Related_materials/</w:t>
      </w:r>
      <w:r>
        <w:t xml:space="preserve"> </w:t>
      </w:r>
      <w:r>
        <w:t xml:space="preserve">(the</w:t>
      </w:r>
      <w:r>
        <w:t xml:space="preserve"> </w:t>
      </w:r>
      <w:r>
        <w:rPr>
          <w:rStyle w:val="VerbatimChar"/>
        </w:rPr>
        <w:t xml:space="preserve">partner-</w:t>
      </w:r>
      <w:r>
        <w:t xml:space="preserve"> </w:t>
      </w:r>
      <w:r>
        <w:t xml:space="preserve">prefixed files) is a bounded documentary task for Volume I.</w:t>
      </w:r>
    </w:p>
    <w:p>
      <w:pPr>
        <w:pStyle w:val="Compact"/>
        <w:numPr>
          <w:ilvl w:val="0"/>
          <w:numId w:val="1013"/>
        </w:numPr>
      </w:pPr>
      <w:r>
        <w:rPr>
          <w:b/>
          <w:bCs/>
        </w:rPr>
        <w:t xml:space="preserve">Evidence gap (research coordination and synthesis):</w:t>
      </w:r>
      <w:r>
        <w:t xml:space="preserve"> </w:t>
      </w:r>
      <w:r>
        <w:t xml:space="preserve">whether and how funder programmes coordinate with each other or duplicate effort. Neither the prior mapping draft nor the paper documents this; it would most plausibly be answered through targeted conversations with funder representatives rather than any existing document.</w:t>
      </w:r>
    </w:p>
    <w:bookmarkEnd w:id="31"/>
    <w:bookmarkStart w:id="32" w:name="actor-group-research-communities"/>
    <w:p>
      <w:pPr>
        <w:pStyle w:val="Heading1"/>
      </w:pPr>
      <w:r>
        <w:t xml:space="preserve">7. Actor group: research communities</w:t>
      </w:r>
    </w:p>
    <w:p>
      <w:pPr>
        <w:pStyle w:val="Compact"/>
        <w:numPr>
          <w:ilvl w:val="0"/>
          <w:numId w:val="1014"/>
        </w:numPr>
      </w:pPr>
      <w:r>
        <w:rPr>
          <w:b/>
          <w:bCs/>
        </w:rPr>
        <w:t xml:space="preserve">Existing evidence:</w:t>
      </w:r>
      <w:r>
        <w:t xml:space="preserve"> </w:t>
      </w:r>
      <w:r>
        <w:t xml:space="preserve">EthioNLP described as the anchor research community, with a reported 47 open models, 26 datasets, and 218 member publications, including EthioLLM and EthioMT; A2SV reported to have trained over 1,200 students; GDG Addis and the Omdena Addis Ababa chapter as developer and project communities; Masakhane as the pan-African connective structure.</w:t>
      </w:r>
      <w:r>
        <w:t xml:space="preserve"> </w:t>
      </w:r>
      <w:r>
        <w:rPr>
          <w:rStyle w:val="VerbatimChar"/>
        </w:rPr>
        <w:t xml:space="preserve">AI-Landscape-Assessment/mapping paper_v1.docx</w:t>
      </w:r>
      <w:r>
        <w:t xml:space="preserve">, section 5.5.</w:t>
      </w:r>
    </w:p>
    <w:p>
      <w:pPr>
        <w:pStyle w:val="Compact"/>
        <w:numPr>
          <w:ilvl w:val="0"/>
          <w:numId w:val="1014"/>
        </w:numPr>
      </w:pPr>
      <w:r>
        <w:rPr>
          <w:b/>
          <w:bCs/>
        </w:rPr>
        <w:t xml:space="preserve">Existing evidence:</w:t>
      </w:r>
      <w:r>
        <w:t xml:space="preserve"> </w:t>
      </w:r>
      <w:r>
        <w:t xml:space="preserve">the paper’s academic-output section: a bibliometric count rising from 8 Ethiopian-affiliated AI/ML/DL works in 2015 to 1,233 in 2025, with Addis Ababa University, Bahir Dar, and AASTU leading; and the corrected finding that Ethiopian AI co-authorship is dominated by India, South Korea, and the United States rather than diaspora-mediated collaboration.</w:t>
      </w:r>
      <w:r>
        <w:t xml:space="preserve"> </w:t>
      </w:r>
      <w:r>
        <w:rPr>
          <w:rStyle w:val="VerbatimChar"/>
        </w:rPr>
        <w:t xml:space="preserve">paper/chapters/03-current-state.tex</w:t>
      </w:r>
      <w:r>
        <w:t xml:space="preserve">,</w:t>
      </w:r>
      <w:r>
        <w:t xml:space="preserve"> </w:t>
      </w:r>
      <w:r>
        <w:t xml:space="preserve">“Academia: rising output, uncertain foundations”</w:t>
      </w:r>
      <w:r>
        <w:t xml:space="preserve"> </w:t>
      </w:r>
      <w:r>
        <w:t xml:space="preserve">section.</w:t>
      </w:r>
    </w:p>
    <w:p>
      <w:pPr>
        <w:pStyle w:val="Compact"/>
        <w:numPr>
          <w:ilvl w:val="0"/>
          <w:numId w:val="1014"/>
        </w:numPr>
      </w:pPr>
      <w:r>
        <w:rPr>
          <w:b/>
          <w:bCs/>
        </w:rPr>
        <w:t xml:space="preserve">Existing evidence:</w:t>
      </w:r>
      <w:r>
        <w:t xml:space="preserve"> </w:t>
      </w:r>
      <w:r>
        <w:t xml:space="preserve">the Ethiopian NLP ecosystem in detail: EthioLLM, EthioMT, the Ethiopian Language Survey repository, Lesan (outperforming Google Translate and Microsoft Translator on all six evaluated translation directions despite a small starting corpus), a dedicated Tigrinya NLP stock-take, a systematic review of Amharic-English machine translation, and an Afaan Oromo hate-speech detector reaching an F1 of 87 percent, with the explicit finding that this capability is overwhelmingly donor- and diaspora-funded rather than state-funded.</w:t>
      </w:r>
      <w:r>
        <w:t xml:space="preserve"> </w:t>
      </w:r>
      <w:r>
        <w:rPr>
          <w:rStyle w:val="VerbatimChar"/>
        </w:rPr>
        <w:t xml:space="preserve">paper/chapters/03-current-state.tex</w:t>
      </w:r>
      <w:r>
        <w:t xml:space="preserve">,</w:t>
      </w:r>
      <w:r>
        <w:t xml:space="preserve"> </w:t>
      </w:r>
      <w:r>
        <w:t xml:space="preserve">“The Ethiopian NLP ecosystem”</w:t>
      </w:r>
      <w:r>
        <w:t xml:space="preserve"> </w:t>
      </w:r>
      <w:r>
        <w:t xml:space="preserve">section. Primary research documents in</w:t>
      </w:r>
      <w:r>
        <w:t xml:space="preserve"> </w:t>
      </w:r>
      <w:r>
        <w:rPr>
          <w:rStyle w:val="VerbatimChar"/>
        </w:rPr>
        <w:t xml:space="preserve">AI-Landscape-Assessment/Related_materials/</w:t>
      </w:r>
      <w:r>
        <w:t xml:space="preserve">:</w:t>
      </w:r>
      <w:r>
        <w:t xml:space="preserve"> </w:t>
      </w:r>
      <w:r>
        <w:rPr>
          <w:rStyle w:val="VerbatimChar"/>
        </w:rPr>
        <w:t xml:space="preserve">research-ethiollm-multilingual-llm-ethiopian-languages-2024.pdf</w:t>
      </w:r>
      <w:r>
        <w:t xml:space="preserve">,</w:t>
      </w:r>
      <w:r>
        <w:t xml:space="preserve"> </w:t>
      </w:r>
      <w:r>
        <w:rPr>
          <w:rStyle w:val="VerbatimChar"/>
        </w:rPr>
        <w:t xml:space="preserve">research-ethiomt-parallel-corpus-2024.pdf</w:t>
      </w:r>
      <w:r>
        <w:t xml:space="preserve">,</w:t>
      </w:r>
      <w:r>
        <w:t xml:space="preserve"> </w:t>
      </w:r>
      <w:r>
        <w:rPr>
          <w:rStyle w:val="VerbatimChar"/>
        </w:rPr>
        <w:t xml:space="preserve">research-lesan-machine-translation-low-resource-2021.pdf</w:t>
      </w:r>
      <w:r>
        <w:t xml:space="preserve">,</w:t>
      </w:r>
      <w:r>
        <w:t xml:space="preserve"> </w:t>
      </w:r>
      <w:r>
        <w:rPr>
          <w:rStyle w:val="VerbatimChar"/>
        </w:rPr>
        <w:t xml:space="preserve">research-nlp-ethiopian-languages-survey-2023.pdf</w:t>
      </w:r>
      <w:r>
        <w:t xml:space="preserve">,</w:t>
      </w:r>
      <w:r>
        <w:t xml:space="preserve"> </w:t>
      </w:r>
      <w:r>
        <w:rPr>
          <w:rStyle w:val="VerbatimChar"/>
        </w:rPr>
        <w:t xml:space="preserve">research-tigrinya-nlp-survey-2025.pdf</w:t>
      </w:r>
      <w:r>
        <w:t xml:space="preserve">,</w:t>
      </w:r>
      <w:r>
        <w:t xml:space="preserve"> </w:t>
      </w:r>
      <w:r>
        <w:rPr>
          <w:rStyle w:val="VerbatimChar"/>
        </w:rPr>
        <w:t xml:space="preserve">research-english-tigrinya-machine-translation-2025.pdf</w:t>
      </w:r>
      <w:r>
        <w:t xml:space="preserve">,</w:t>
      </w:r>
      <w:r>
        <w:t xml:space="preserve"> </w:t>
      </w:r>
      <w:r>
        <w:rPr>
          <w:rStyle w:val="VerbatimChar"/>
        </w:rPr>
        <w:t xml:space="preserve">research-amharic-english-mt-systematic-review-2025.pdf</w:t>
      </w:r>
      <w:r>
        <w:t xml:space="preserve">,</w:t>
      </w:r>
      <w:r>
        <w:t xml:space="preserve"> </w:t>
      </w:r>
      <w:r>
        <w:rPr>
          <w:rStyle w:val="VerbatimChar"/>
        </w:rPr>
        <w:t xml:space="preserve">research-afaan-oromo-hate-speech-deep-learning-2022.pdf</w:t>
      </w:r>
      <w:r>
        <w:t xml:space="preserve">,</w:t>
      </w:r>
      <w:r>
        <w:t xml:space="preserve"> </w:t>
      </w:r>
      <w:r>
        <w:rPr>
          <w:rStyle w:val="VerbatimChar"/>
        </w:rPr>
        <w:t xml:space="preserve">research-masakhane-participatory-mt-african-languages-2020.pdf</w:t>
      </w:r>
      <w:r>
        <w:t xml:space="preserve">.</w:t>
      </w:r>
    </w:p>
    <w:p>
      <w:pPr>
        <w:pStyle w:val="Compact"/>
        <w:numPr>
          <w:ilvl w:val="0"/>
          <w:numId w:val="1014"/>
        </w:numPr>
      </w:pPr>
      <w:r>
        <w:rPr>
          <w:b/>
          <w:bCs/>
        </w:rPr>
        <w:t xml:space="preserve">Existing evidence:</w:t>
      </w:r>
      <w:r>
        <w:t xml:space="preserve"> </w:t>
      </w:r>
      <w:r>
        <w:t xml:space="preserve">the bibliometric ranking of Ethiopia sixth among African countries in AI-related publication volume, 2013-2022.</w:t>
      </w:r>
      <w:r>
        <w:t xml:space="preserve"> </w:t>
      </w:r>
      <w:r>
        <w:rPr>
          <w:rStyle w:val="VerbatimChar"/>
        </w:rPr>
        <w:t xml:space="preserve">paper/chapters/02-framework.tex</w:t>
      </w:r>
      <w:r>
        <w:t xml:space="preserve">,</w:t>
      </w:r>
      <w:r>
        <w:t xml:space="preserve"> </w:t>
      </w:r>
      <w:r>
        <w:t xml:space="preserve">“Africa”</w:t>
      </w:r>
      <w:r>
        <w:t xml:space="preserve"> </w:t>
      </w:r>
      <w:r>
        <w:t xml:space="preserve">section. Primary source:</w:t>
      </w:r>
      <w:r>
        <w:t xml:space="preserve"> </w:t>
      </w:r>
      <w:r>
        <w:rPr>
          <w:rStyle w:val="VerbatimChar"/>
        </w:rPr>
        <w:t xml:space="preserve">AI-Landscape-Assessment/Related_materials/research-ai-africa-bibliometric-2013-2022.pdf</w:t>
      </w:r>
      <w:r>
        <w:t xml:space="preserve">.</w:t>
      </w:r>
    </w:p>
    <w:p>
      <w:pPr>
        <w:pStyle w:val="Compact"/>
        <w:numPr>
          <w:ilvl w:val="0"/>
          <w:numId w:val="1014"/>
        </w:numPr>
      </w:pPr>
      <w:r>
        <w:rPr>
          <w:b/>
          <w:bCs/>
        </w:rPr>
        <w:t xml:space="preserve">Existing evidence:</w:t>
      </w:r>
      <w:r>
        <w:t xml:space="preserve"> </w:t>
      </w:r>
      <w:r>
        <w:t xml:space="preserve">the finding that no Ethiopian university publishes a GPU or node specification and there is no national figure for academic AI compute, alongside EthERNet’s reported reach of 206 higher-education institutions.</w:t>
      </w:r>
      <w:r>
        <w:t xml:space="preserve"> </w:t>
      </w:r>
      <w:r>
        <w:rPr>
          <w:rStyle w:val="VerbatimChar"/>
        </w:rPr>
        <w:t xml:space="preserve">paper/chapters/03-current-state.tex</w:t>
      </w:r>
      <w:r>
        <w:t xml:space="preserve">,</w:t>
      </w:r>
      <w:r>
        <w:t xml:space="preserve"> </w:t>
      </w:r>
      <w:r>
        <w:t xml:space="preserve">“Academia”</w:t>
      </w:r>
      <w:r>
        <w:t xml:space="preserve"> </w:t>
      </w:r>
      <w:r>
        <w:t xml:space="preserve">section.</w:t>
      </w:r>
    </w:p>
    <w:p>
      <w:pPr>
        <w:pStyle w:val="Compact"/>
        <w:numPr>
          <w:ilvl w:val="0"/>
          <w:numId w:val="1014"/>
        </w:numPr>
      </w:pPr>
      <w:r>
        <w:rPr>
          <w:b/>
          <w:bCs/>
        </w:rPr>
        <w:t xml:space="preserve">Existing evidence:</w:t>
      </w:r>
      <w:r>
        <w:t xml:space="preserve"> </w:t>
      </w:r>
      <w:r>
        <w:t xml:space="preserve">the faculty-capacity finding behind the planned specialist AI university: a 376-respondent survey across seven public universities finding only 35 percent reporting basic AI awareness and 8 percent reporting competence to develop an AI curriculum at all.</w:t>
      </w:r>
      <w:r>
        <w:t xml:space="preserve"> </w:t>
      </w:r>
      <w:r>
        <w:rPr>
          <w:rStyle w:val="VerbatimChar"/>
        </w:rPr>
        <w:t xml:space="preserve">paper/chapters/03-current-state.tex</w:t>
      </w:r>
      <w:r>
        <w:t xml:space="preserve">,</w:t>
      </w:r>
      <w:r>
        <w:t xml:space="preserve"> </w:t>
      </w:r>
      <w:r>
        <w:t xml:space="preserve">“Medemer AI University”</w:t>
      </w:r>
      <w:r>
        <w:t xml:space="preserve"> </w:t>
      </w:r>
      <w:r>
        <w:t xml:space="preserve">section. Primary source:</w:t>
      </w:r>
      <w:r>
        <w:t xml:space="preserve"> </w:t>
      </w:r>
      <w:r>
        <w:rPr>
          <w:rStyle w:val="VerbatimChar"/>
        </w:rPr>
        <w:t xml:space="preserve">AI-Landscape-Assessment/Related_materials/research-ai-policy-readiness-ethiopian-higher-education-2027.pdf</w:t>
      </w:r>
      <w:r>
        <w:t xml:space="preserve">.</w:t>
      </w:r>
    </w:p>
    <w:p>
      <w:pPr>
        <w:pStyle w:val="Compact"/>
        <w:numPr>
          <w:ilvl w:val="0"/>
          <w:numId w:val="1014"/>
        </w:numPr>
      </w:pPr>
      <w:r>
        <w:rPr>
          <w:b/>
          <w:bCs/>
        </w:rPr>
        <w:t xml:space="preserve">Existing evidence:</w:t>
      </w:r>
      <w:r>
        <w:t xml:space="preserve"> </w:t>
      </w:r>
      <w:r>
        <w:t xml:space="preserve">a separate bibliometric study specifically of AI in Ethiopian higher education.</w:t>
      </w:r>
      <w:r>
        <w:t xml:space="preserve"> </w:t>
      </w:r>
      <w:r>
        <w:rPr>
          <w:rStyle w:val="VerbatimChar"/>
        </w:rPr>
        <w:t xml:space="preserve">AI-Landscape-Assessment/Related_materials/research-ai-ethiopian-higher-education-bibliometric-2026.pdf</w:t>
      </w:r>
      <w:r>
        <w:t xml:space="preserve">.</w:t>
      </w:r>
    </w:p>
    <w:p>
      <w:pPr>
        <w:pStyle w:val="Compact"/>
        <w:numPr>
          <w:ilvl w:val="0"/>
          <w:numId w:val="1014"/>
        </w:numPr>
      </w:pPr>
      <w:r>
        <w:rPr>
          <w:b/>
          <w:bCs/>
        </w:rPr>
        <w:t xml:space="preserve">Survey (not yet fielded):</w:t>
      </w:r>
      <w:r>
        <w:t xml:space="preserve"> </w:t>
      </w:r>
      <w:r>
        <w:t xml:space="preserve">the academia and research module (</w:t>
      </w:r>
      <w:r>
        <w:rPr>
          <w:rStyle w:val="VerbatimChar"/>
        </w:rPr>
        <w:t xml:space="preserve">YE1</w:t>
      </w:r>
      <w:r>
        <w:t xml:space="preserve">-</w:t>
      </w:r>
      <w:r>
        <w:rPr>
          <w:rStyle w:val="VerbatimChar"/>
        </w:rPr>
        <w:t xml:space="preserve">YE8</w:t>
      </w:r>
      <w:r>
        <w:t xml:space="preserve">: programmes run, share of academic staff holding a PhD, staff departures and destinations over the last three years, how research is funded, who researchers publish with, and when course materials were last revised), plus the schools module (</w:t>
      </w:r>
      <w:r>
        <w:rPr>
          <w:rStyle w:val="VerbatimChar"/>
        </w:rPr>
        <w:t xml:space="preserve">YS1</w:t>
      </w:r>
      <w:r>
        <w:t xml:space="preserve">-</w:t>
      </w:r>
      <w:r>
        <w:rPr>
          <w:rStyle w:val="VerbatimChar"/>
        </w:rPr>
        <w:t xml:space="preserve">YS3</w:t>
      </w:r>
      <w:r>
        <w:t xml:space="preserve">: whether teachers use AI tools, whether student use for homework or exams has been noticed, and whether the school has a responsible-use policy) for lower levels of the education system. The generic</w:t>
      </w:r>
      <w:r>
        <w:t xml:space="preserve"> </w:t>
      </w:r>
      <w:r>
        <w:rPr>
          <w:rStyle w:val="VerbatimChar"/>
        </w:rPr>
        <w:t xml:space="preserve">AT</w:t>
      </w:r>
      <w:r>
        <w:t xml:space="preserve">,</w:t>
      </w:r>
      <w:r>
        <w:t xml:space="preserve"> </w:t>
      </w:r>
      <w:r>
        <w:rPr>
          <w:rStyle w:val="VerbatimChar"/>
        </w:rPr>
        <w:t xml:space="preserve">D</w:t>
      </w:r>
      <w:r>
        <w:t xml:space="preserve">,</w:t>
      </w:r>
      <w:r>
        <w:t xml:space="preserve"> </w:t>
      </w:r>
      <w:r>
        <w:rPr>
          <w:rStyle w:val="VerbatimChar"/>
        </w:rPr>
        <w:t xml:space="preserve">T</w:t>
      </w:r>
      <w:r>
        <w:t xml:space="preserve">, and</w:t>
      </w:r>
      <w:r>
        <w:t xml:space="preserve"> </w:t>
      </w:r>
      <w:r>
        <w:rPr>
          <w:rStyle w:val="VerbatimChar"/>
        </w:rPr>
        <w:t xml:space="preserve">E</w:t>
      </w:r>
      <w:r>
        <w:t xml:space="preserve"> </w:t>
      </w:r>
      <w:r>
        <w:t xml:space="preserve">items apply to research organizations and university AI units as they would to any other organization.</w:t>
      </w:r>
    </w:p>
    <w:p>
      <w:pPr>
        <w:pStyle w:val="Compact"/>
        <w:numPr>
          <w:ilvl w:val="0"/>
          <w:numId w:val="1014"/>
        </w:numPr>
      </w:pPr>
      <w:r>
        <w:rPr>
          <w:b/>
          <w:bCs/>
        </w:rPr>
        <w:t xml:space="preserve">Evidence gap (research talent and technical foundations):</w:t>
      </w:r>
      <w:r>
        <w:t xml:space="preserve"> </w:t>
      </w:r>
      <w:r>
        <w:t xml:space="preserve">the paper itself names the national GPU/HPC inventory, the current PhD graduation rate (as against the much higher intake figure), and the academic staff emigration rate as the three sharpest current unknowns in this space, each with a stated survey item designed to produce the first current figure.</w:t>
      </w:r>
      <w:r>
        <w:t xml:space="preserve"> </w:t>
      </w:r>
      <w:r>
        <w:rPr>
          <w:rStyle w:val="VerbatimChar"/>
        </w:rPr>
        <w:t xml:space="preserve">paper/chapters/03-current-state.tex</w:t>
      </w:r>
      <w:r>
        <w:t xml:space="preserve">,</w:t>
      </w:r>
      <w:r>
        <w:t xml:space="preserve"> </w:t>
      </w:r>
      <w:r>
        <w:t xml:space="preserve">“Academia”</w:t>
      </w:r>
      <w:r>
        <w:t xml:space="preserve"> </w:t>
      </w:r>
      <w:r>
        <w:t xml:space="preserve">section and its draft note. Until the survey is fielded, Volume I should state these as named unknowns rather than retain the fifteen-year-old secondary figures the paper explicitly warns against citing as current.</w:t>
      </w:r>
    </w:p>
    <w:p>
      <w:pPr>
        <w:pStyle w:val="Compact"/>
        <w:numPr>
          <w:ilvl w:val="0"/>
          <w:numId w:val="1014"/>
        </w:numPr>
      </w:pPr>
      <w:r>
        <w:rPr>
          <w:b/>
          <w:bCs/>
        </w:rPr>
        <w:t xml:space="preserve">Evidence gap (research talent and technical foundations):</w:t>
      </w:r>
      <w:r>
        <w:t xml:space="preserve"> </w:t>
      </w:r>
      <w:r>
        <w:t xml:space="preserve">independent verification of the EthioNLP entity-level figures (47 models, 26 datasets, 218 publications) reported only in the prior mapping draft, which does not itself cite a primary source for the count. Cross-checking this against EthioNLP’s own public repository listings is a bounded documentary task.</w:t>
      </w:r>
    </w:p>
    <w:bookmarkEnd w:id="32"/>
    <w:bookmarkStart w:id="41" w:name="Xd0bf337e11a5663434a4c00b26ec4bea3d92289"/>
    <w:p>
      <w:pPr>
        <w:pStyle w:val="Heading1"/>
      </w:pPr>
      <w:r>
        <w:t xml:space="preserve">8. Applications and adoption depth across sectors</w:t>
      </w:r>
    </w:p>
    <w:bookmarkStart w:id="33" w:name="Xb7334b7a9804fd3d97d4bbf680e8bb549b10d60"/>
    <w:p>
      <w:pPr>
        <w:pStyle w:val="Heading2"/>
      </w:pPr>
      <w:r>
        <w:t xml:space="preserve">8.1 Framing: plans, experiments, operational use, and reported outcomes</w:t>
      </w:r>
    </w:p>
    <w:p>
      <w:pPr>
        <w:pStyle w:val="FirstParagraph"/>
      </w:pPr>
      <w:r>
        <w:t xml:space="preserve">Volume I should describe, sector by sector, which AI activity is at the level of an announced plan, a time-bounded experiment or pilot, genuine operational (production) use, or a pilot or deployment with a reported, evaluated outcome. This mirrors the paper’s maturity ladder (levels 0-5) without requiring Volume I to adopt its full scoring apparatus.</w:t>
      </w:r>
    </w:p>
    <w:p>
      <w:pPr>
        <w:pStyle w:val="Compact"/>
        <w:numPr>
          <w:ilvl w:val="0"/>
          <w:numId w:val="1015"/>
        </w:numPr>
      </w:pPr>
      <w:r>
        <w:rPr>
          <w:b/>
          <w:bCs/>
        </w:rPr>
        <w:t xml:space="preserve">Existing evidence:</w:t>
      </w:r>
      <w:r>
        <w:t xml:space="preserve"> </w:t>
      </w:r>
      <w:r>
        <w:t xml:space="preserve">the paper’s own worked example of why this distinction matters: an organization that has run five pilots and deployed none is not at zero, because it has demonstrated demand and hit a specific obstacle, which is itself the actionable finding.</w:t>
      </w:r>
      <w:r>
        <w:t xml:space="preserve"> </w:t>
      </w:r>
      <w:r>
        <w:rPr>
          <w:rStyle w:val="VerbatimChar"/>
        </w:rPr>
        <w:t xml:space="preserve">paper/chapters/03-current-state.tex</w:t>
      </w:r>
      <w:r>
        <w:t xml:space="preserve">,</w:t>
      </w:r>
      <w:r>
        <w:t xml:space="preserve"> </w:t>
      </w:r>
      <w:r>
        <w:t xml:space="preserve">“Pilot mortality”</w:t>
      </w:r>
      <w:r>
        <w:t xml:space="preserve"> </w:t>
      </w:r>
      <w:r>
        <w:t xml:space="preserve">section.</w:t>
      </w:r>
    </w:p>
    <w:p>
      <w:pPr>
        <w:pStyle w:val="Compact"/>
        <w:numPr>
          <w:ilvl w:val="0"/>
          <w:numId w:val="1015"/>
        </w:numPr>
      </w:pPr>
      <w:r>
        <w:rPr>
          <w:b/>
          <w:bCs/>
        </w:rPr>
        <w:t xml:space="preserve">Survey (not yet fielded):</w:t>
      </w:r>
      <w:r>
        <w:t xml:space="preserve"> </w:t>
      </w:r>
      <w:r>
        <w:t xml:space="preserve">the sharpest instrument for this distinction is</w:t>
      </w:r>
      <w:r>
        <w:t xml:space="preserve"> </w:t>
      </w:r>
      <w:r>
        <w:rPr>
          <w:rStyle w:val="VerbatimChar"/>
        </w:rPr>
        <w:t xml:space="preserve">D5</w:t>
      </w:r>
      <w:r>
        <w:t xml:space="preserve"> </w:t>
      </w:r>
      <w:r>
        <w:t xml:space="preserve">(what the organization has actually done, ticking only what has already happened, not what is planned),</w:t>
      </w:r>
      <w:r>
        <w:t xml:space="preserve"> </w:t>
      </w:r>
      <w:r>
        <w:rPr>
          <w:rStyle w:val="VerbatimChar"/>
        </w:rPr>
        <w:t xml:space="preserve">D6</w:t>
      </w:r>
      <w:r>
        <w:t xml:space="preserve"> </w:t>
      </w:r>
      <w:r>
        <w:t xml:space="preserve">(naming each AI system currently in production),</w:t>
      </w:r>
      <w:r>
        <w:t xml:space="preserve"> </w:t>
      </w:r>
      <w:r>
        <w:rPr>
          <w:rStyle w:val="VerbatimChar"/>
        </w:rPr>
        <w:t xml:space="preserve">D7</w:t>
      </w:r>
      <w:r>
        <w:t xml:space="preserve"> </w:t>
      </w:r>
      <w:r>
        <w:t xml:space="preserve">and</w:t>
      </w:r>
      <w:r>
        <w:t xml:space="preserve"> </w:t>
      </w:r>
      <w:r>
        <w:rPr>
          <w:rStyle w:val="VerbatimChar"/>
        </w:rPr>
        <w:t xml:space="preserve">D7b</w:t>
      </w:r>
      <w:r>
        <w:t xml:space="preserve"> </w:t>
      </w:r>
      <w:r>
        <w:t xml:space="preserve">(total pilots started versus pilots reaching production), and</w:t>
      </w:r>
      <w:r>
        <w:t xml:space="preserve"> </w:t>
      </w:r>
      <w:r>
        <w:rPr>
          <w:rStyle w:val="VerbatimChar"/>
        </w:rPr>
        <w:t xml:space="preserve">D8</w:t>
      </w:r>
      <w:r>
        <w:t xml:space="preserve"> </w:t>
      </w:r>
      <w:r>
        <w:t xml:space="preserve">(what stopped pilots that did not reach production).</w:t>
      </w:r>
      <w:r>
        <w:t xml:space="preserve"> </w:t>
      </w:r>
      <w:r>
        <w:rPr>
          <w:rStyle w:val="VerbatimChar"/>
        </w:rPr>
        <w:t xml:space="preserve">D10</w:t>
      </w:r>
      <w:r>
        <w:t xml:space="preserve"> </w:t>
      </w:r>
      <w:r>
        <w:t xml:space="preserve">and</w:t>
      </w:r>
      <w:r>
        <w:t xml:space="preserve"> </w:t>
      </w:r>
      <w:r>
        <w:rPr>
          <w:rStyle w:val="VerbatimChar"/>
        </w:rPr>
        <w:t xml:space="preserve">D11</w:t>
      </w:r>
      <w:r>
        <w:t xml:space="preserve"> </w:t>
      </w:r>
      <w:r>
        <w:t xml:space="preserve">cover whether results have been measured against a baseline and what changed.</w:t>
      </w:r>
    </w:p>
    <w:bookmarkEnd w:id="33"/>
    <w:bookmarkStart w:id="34" w:name="health"/>
    <w:p>
      <w:pPr>
        <w:pStyle w:val="Heading2"/>
      </w:pPr>
      <w:r>
        <w:t xml:space="preserve">8.2 Health</w:t>
      </w:r>
    </w:p>
    <w:p>
      <w:pPr>
        <w:pStyle w:val="Compact"/>
        <w:numPr>
          <w:ilvl w:val="0"/>
          <w:numId w:val="1016"/>
        </w:numPr>
      </w:pPr>
      <w:r>
        <w:rPr>
          <w:b/>
          <w:bCs/>
        </w:rPr>
        <w:t xml:space="preserve">Existing evidence:</w:t>
      </w:r>
      <w:r>
        <w:t xml:space="preserve"> </w:t>
      </w:r>
      <w:r>
        <w:t xml:space="preserve">DHIS2 coverage above 30,000 facilities with reporting completeness above 90 percent, electronic medical records reaching roughly 70 facilities, and the central finding that patient-level AI cannot be trained or run on DHIS2’s aggregate data, so the binding constraint is the record, not the algorithm.</w:t>
      </w:r>
      <w:r>
        <w:t xml:space="preserve"> </w:t>
      </w:r>
      <w:r>
        <w:rPr>
          <w:rStyle w:val="VerbatimChar"/>
        </w:rPr>
        <w:t xml:space="preserve">paper/chapters/03-current-state.tex</w:t>
      </w:r>
      <w:r>
        <w:t xml:space="preserve">,</w:t>
      </w:r>
      <w:r>
        <w:t xml:space="preserve"> </w:t>
      </w:r>
      <w:r>
        <w:t xml:space="preserve">“Health: strong data plumbing, no diagnostic AI in service”</w:t>
      </w:r>
      <w:r>
        <w:t xml:space="preserve"> </w:t>
      </w:r>
      <w:r>
        <w:t xml:space="preserve">section.</w:t>
      </w:r>
    </w:p>
    <w:p>
      <w:pPr>
        <w:pStyle w:val="Compact"/>
        <w:numPr>
          <w:ilvl w:val="0"/>
          <w:numId w:val="1016"/>
        </w:numPr>
      </w:pPr>
      <w:r>
        <w:rPr>
          <w:b/>
          <w:bCs/>
        </w:rPr>
        <w:t xml:space="preserve">Existing evidence:</w:t>
      </w:r>
      <w:r>
        <w:t xml:space="preserve"> </w:t>
      </w:r>
      <w:r>
        <w:t xml:space="preserve">named examples at each depth: computer-aided tuberculosis detection evaluated prospectively at Wolisso (sensitivity 0.77, specificity 0.93, a research evaluation, not a service); deep-learning breast-cancer grading evaluated retrospectively at Tikur Anbessa (AUC 0.914, also research); and HEP Assist, a live multilingual large-language-model guidance assistant for health extension workers, running across seven regions with more than 6,000 consultations, as the one operational, non-diagnostic deployment identified. Same section. Related primary sources:</w:t>
      </w:r>
      <w:r>
        <w:t xml:space="preserve"> </w:t>
      </w:r>
      <w:r>
        <w:rPr>
          <w:rStyle w:val="VerbatimChar"/>
        </w:rPr>
        <w:t xml:space="preserve">AI-Landscape-Assessment/Related_materials/gov-digital-health-blueprint-2021-2030.pdf</w:t>
      </w:r>
      <w:r>
        <w:t xml:space="preserve">,</w:t>
      </w:r>
      <w:r>
        <w:t xml:space="preserve"> </w:t>
      </w:r>
      <w:r>
        <w:rPr>
          <w:rStyle w:val="VerbatimChar"/>
        </w:rPr>
        <w:t xml:space="preserve">research-digital-health-technologies-ethiopia-2021.pdf</w:t>
      </w:r>
      <w:r>
        <w:t xml:space="preserve">.</w:t>
      </w:r>
    </w:p>
    <w:p>
      <w:pPr>
        <w:pStyle w:val="Compact"/>
        <w:numPr>
          <w:ilvl w:val="0"/>
          <w:numId w:val="1016"/>
        </w:numPr>
      </w:pPr>
      <w:r>
        <w:rPr>
          <w:b/>
          <w:bCs/>
        </w:rPr>
        <w:t xml:space="preserve">Existing evidence:</w:t>
      </w:r>
      <w:r>
        <w:t xml:space="preserve"> </w:t>
      </w:r>
      <w:r>
        <w:t xml:space="preserve">the Food and Drug Authority’s 2022 Software-as-a-Medical-Device and AI guideline, alongside the finding that no AI device authorised through it could be identified. Same section.</w:t>
      </w:r>
    </w:p>
    <w:p>
      <w:pPr>
        <w:pStyle w:val="Compact"/>
        <w:numPr>
          <w:ilvl w:val="0"/>
          <w:numId w:val="1016"/>
        </w:numPr>
      </w:pPr>
      <w:r>
        <w:rPr>
          <w:b/>
          <w:bCs/>
        </w:rPr>
        <w:t xml:space="preserve">Survey (not yet fielded):</w:t>
      </w:r>
      <w:r>
        <w:t xml:space="preserve"> </w:t>
      </w:r>
      <w:r>
        <w:t xml:space="preserve">the health sector module (</w:t>
      </w:r>
      <w:r>
        <w:rPr>
          <w:rStyle w:val="VerbatimChar"/>
        </w:rPr>
        <w:t xml:space="preserve">YH1</w:t>
      </w:r>
      <w:r>
        <w:t xml:space="preserve">-</w:t>
      </w:r>
      <w:r>
        <w:rPr>
          <w:rStyle w:val="VerbatimChar"/>
        </w:rPr>
        <w:t xml:space="preserve">YH6</w:t>
      </w:r>
      <w:r>
        <w:t xml:space="preserve">): whether the facility operates an EMR, how it reports into DHIS2, whether any clinician has personally used an AI tool on a real patient (not a demo), status by clinical area, whether any clinical AI tool has been validated on Ethiopian patient data, whether EFDA authorisation is held for any AI medical device, and full-time radiologist and pathologist headcount.</w:t>
      </w:r>
    </w:p>
    <w:p>
      <w:pPr>
        <w:pStyle w:val="Compact"/>
        <w:numPr>
          <w:ilvl w:val="0"/>
          <w:numId w:val="1016"/>
        </w:numPr>
      </w:pPr>
      <w:r>
        <w:rPr>
          <w:b/>
          <w:bCs/>
        </w:rPr>
        <w:t xml:space="preserve">Evidence gap (applications and organizational activity):</w:t>
      </w:r>
      <w:r>
        <w:t xml:space="preserve"> </w:t>
      </w:r>
      <w:r>
        <w:t xml:space="preserve">independent verification of whether any AI-based medical device has in fact obtained EFDA authorisation, since the paper’s own search found no public confirmation either way.</w:t>
      </w:r>
      <w:r>
        <w:t xml:space="preserve"> </w:t>
      </w:r>
      <w:r>
        <w:rPr>
          <w:rStyle w:val="VerbatimChar"/>
        </w:rPr>
        <w:t xml:space="preserve">paper/chapters/03-current-state.tex</w:t>
      </w:r>
      <w:r>
        <w:t xml:space="preserve">, same section, footnote naming</w:t>
      </w:r>
      <w:r>
        <w:t xml:space="preserve"> </w:t>
      </w:r>
      <w:r>
        <w:rPr>
          <w:rStyle w:val="VerbatimChar"/>
        </w:rPr>
        <w:t xml:space="preserve">YH5</w:t>
      </w:r>
      <w:r>
        <w:t xml:space="preserve"> </w:t>
      </w:r>
      <w:r>
        <w:t xml:space="preserve">as the planned resolution.</w:t>
      </w:r>
    </w:p>
    <w:bookmarkEnd w:id="34"/>
    <w:bookmarkStart w:id="35" w:name="finance"/>
    <w:p>
      <w:pPr>
        <w:pStyle w:val="Heading2"/>
      </w:pPr>
      <w:r>
        <w:t xml:space="preserve">8.3 Finance</w:t>
      </w:r>
    </w:p>
    <w:p>
      <w:pPr>
        <w:pStyle w:val="Compact"/>
        <w:numPr>
          <w:ilvl w:val="0"/>
          <w:numId w:val="1017"/>
        </w:numPr>
      </w:pPr>
      <w:r>
        <w:rPr>
          <w:b/>
          <w:bCs/>
        </w:rPr>
        <w:t xml:space="preserve">Existing evidence:</w:t>
      </w:r>
      <w:r>
        <w:t xml:space="preserve"> </w:t>
      </w:r>
      <w:r>
        <w:t xml:space="preserve">covered in detail under Chapters 3-5 above (Michu, Qena, the National Bank’s transaction-monitoring system, the credit-reference-bureau gap as the structural driver of alternative-data scoring, and the data-localisation requirement under Proclamation 1321/2024 and the 2025 NBE licensing directive).</w:t>
      </w:r>
      <w:r>
        <w:t xml:space="preserve"> </w:t>
      </w:r>
      <w:r>
        <w:rPr>
          <w:rStyle w:val="VerbatimChar"/>
        </w:rPr>
        <w:t xml:space="preserve">paper/chapters/03-current-state.tex</w:t>
      </w:r>
      <w:r>
        <w:t xml:space="preserve">,</w:t>
      </w:r>
      <w:r>
        <w:t xml:space="preserve"> </w:t>
      </w:r>
      <w:r>
        <w:t xml:space="preserve">“Financial services”</w:t>
      </w:r>
      <w:r>
        <w:t xml:space="preserve"> </w:t>
      </w:r>
      <w:r>
        <w:t xml:space="preserve">section.</w:t>
      </w:r>
    </w:p>
    <w:p>
      <w:pPr>
        <w:pStyle w:val="Compact"/>
        <w:numPr>
          <w:ilvl w:val="0"/>
          <w:numId w:val="1017"/>
        </w:numPr>
      </w:pPr>
      <w:r>
        <w:rPr>
          <w:b/>
          <w:bCs/>
        </w:rPr>
        <w:t xml:space="preserve">Existing evidence:</w:t>
      </w:r>
      <w:r>
        <w:t xml:space="preserve"> </w:t>
      </w:r>
      <w:r>
        <w:t xml:space="preserve">account ownership at 49 percent with roughly 39.9 million unbanked adults, cited as the thin-file population these models exist to reach. Same section. Primary source for the broader digital-economy context:</w:t>
      </w:r>
      <w:r>
        <w:t xml:space="preserve"> </w:t>
      </w:r>
      <w:r>
        <w:rPr>
          <w:rStyle w:val="VerbatimChar"/>
        </w:rPr>
        <w:t xml:space="preserve">AI-Landscape-Assessment/Related_materials/ecosystem-gsma-ethiopia-digital-economy-2024.pdf</w:t>
      </w:r>
      <w:r>
        <w:t xml:space="preserve">; credit-scoring precedent:</w:t>
      </w:r>
      <w:r>
        <w:t xml:space="preserve"> </w:t>
      </w:r>
      <w:r>
        <w:rPr>
          <w:rStyle w:val="VerbatimChar"/>
        </w:rPr>
        <w:t xml:space="preserve">research-psychometrics-credit-scoring-ethiopia-worldbank-2018.pdf</w:t>
      </w:r>
      <w:r>
        <w:t xml:space="preserve">.</w:t>
      </w:r>
    </w:p>
    <w:p>
      <w:pPr>
        <w:pStyle w:val="Compact"/>
        <w:numPr>
          <w:ilvl w:val="0"/>
          <w:numId w:val="1017"/>
        </w:numPr>
      </w:pPr>
      <w:r>
        <w:rPr>
          <w:b/>
          <w:bCs/>
        </w:rPr>
        <w:t xml:space="preserve">Survey (not yet fielded):</w:t>
      </w:r>
      <w:r>
        <w:t xml:space="preserve"> </w:t>
      </w:r>
      <w:r>
        <w:t xml:space="preserve">the financial sector module (</w:t>
      </w:r>
      <w:r>
        <w:rPr>
          <w:rStyle w:val="VerbatimChar"/>
        </w:rPr>
        <w:t xml:space="preserve">YF1</w:t>
      </w:r>
      <w:r>
        <w:t xml:space="preserve">-</w:t>
      </w:r>
      <w:r>
        <w:rPr>
          <w:rStyle w:val="VerbatimChar"/>
        </w:rPr>
        <w:t xml:space="preserve">YF6</w:t>
      </w:r>
      <w:r>
        <w:t xml:space="preserve">), summarised in Chapter 4 above.</w:t>
      </w:r>
    </w:p>
    <w:bookmarkEnd w:id="35"/>
    <w:bookmarkStart w:id="36" w:name="agriculture"/>
    <w:p>
      <w:pPr>
        <w:pStyle w:val="Heading2"/>
      </w:pPr>
      <w:r>
        <w:t xml:space="preserve">8.4 Agriculture</w:t>
      </w:r>
    </w:p>
    <w:p>
      <w:pPr>
        <w:pStyle w:val="Compact"/>
        <w:numPr>
          <w:ilvl w:val="0"/>
          <w:numId w:val="1018"/>
        </w:numPr>
      </w:pPr>
      <w:r>
        <w:rPr>
          <w:b/>
          <w:bCs/>
        </w:rPr>
        <w:t xml:space="preserve">Existing evidence:</w:t>
      </w:r>
      <w:r>
        <w:t xml:space="preserve"> </w:t>
      </w:r>
      <w:r>
        <w:t xml:space="preserve">the wheat rust early warning system (running since 2015, reaching roughly 150,000 smallholders and extension agents as of its 2019 evaluation), EthioSIS soil-property mapping from over 100,000 samples, and the newer, demonstration-stage EIAR/EAII poultry, dairy, and enset disease-surveillance pilots with no published accuracy or scale figures.</w:t>
      </w:r>
      <w:r>
        <w:t xml:space="preserve"> </w:t>
      </w:r>
      <w:r>
        <w:rPr>
          <w:rStyle w:val="VerbatimChar"/>
        </w:rPr>
        <w:t xml:space="preserve">paper/chapters/03-current-state.tex</w:t>
      </w:r>
      <w:r>
        <w:t xml:space="preserve">,</w:t>
      </w:r>
      <w:r>
        <w:t xml:space="preserve"> </w:t>
      </w:r>
      <w:r>
        <w:t xml:space="preserve">“Agriculture: the oldest deployments, and the widest reach”</w:t>
      </w:r>
      <w:r>
        <w:t xml:space="preserve"> </w:t>
      </w:r>
      <w:r>
        <w:t xml:space="preserve">section.</w:t>
      </w:r>
    </w:p>
    <w:p>
      <w:pPr>
        <w:pStyle w:val="Compact"/>
        <w:numPr>
          <w:ilvl w:val="0"/>
          <w:numId w:val="1018"/>
        </w:numPr>
      </w:pPr>
      <w:r>
        <w:rPr>
          <w:b/>
          <w:bCs/>
        </w:rPr>
        <w:t xml:space="preserve">Existing evidence:</w:t>
      </w:r>
      <w:r>
        <w:t xml:space="preserve"> </w:t>
      </w:r>
      <w:r>
        <w:t xml:space="preserve">the central finding that agricultural AI succeeds in Ethiopia because its output travels on channels farmers already have (roughly 60,000 extension agents, 14,000 farmer training centres, and the 8028 hotline, reported at some 30 million cumulative calls in five languages), not because of model sophistication. Same section. Related primary sources:</w:t>
      </w:r>
      <w:r>
        <w:t xml:space="preserve"> </w:t>
      </w:r>
      <w:r>
        <w:rPr>
          <w:rStyle w:val="VerbatimChar"/>
        </w:rPr>
        <w:t xml:space="preserve">AI-Landscape-Assessment/Related_materials/gov-digital-agriculture-roadmap-ethiopia.pdf</w:t>
      </w:r>
      <w:r>
        <w:t xml:space="preserve">,</w:t>
      </w:r>
      <w:r>
        <w:t xml:space="preserve"> </w:t>
      </w:r>
      <w:r>
        <w:rPr>
          <w:rStyle w:val="VerbatimChar"/>
        </w:rPr>
        <w:t xml:space="preserve">research-ml-iot-agriculture-ethiopia-2024.pdf</w:t>
      </w:r>
      <w:r>
        <w:t xml:space="preserve">,</w:t>
      </w:r>
      <w:r>
        <w:t xml:space="preserve"> </w:t>
      </w:r>
      <w:r>
        <w:rPr>
          <w:rStyle w:val="VerbatimChar"/>
        </w:rPr>
        <w:t xml:space="preserve">research-satellite-crop-yield-ml-eastern-ethiopia-2025.pdf</w:t>
      </w:r>
      <w:r>
        <w:t xml:space="preserve">,</w:t>
      </w:r>
      <w:r>
        <w:t xml:space="preserve"> </w:t>
      </w:r>
      <w:r>
        <w:rPr>
          <w:rStyle w:val="VerbatimChar"/>
        </w:rPr>
        <w:t xml:space="preserve">sources/preprints-ai-agriculture-review.pdf</w:t>
      </w:r>
      <w:r>
        <w:t xml:space="preserve">.</w:t>
      </w:r>
    </w:p>
    <w:p>
      <w:pPr>
        <w:pStyle w:val="Compact"/>
        <w:numPr>
          <w:ilvl w:val="0"/>
          <w:numId w:val="1018"/>
        </w:numPr>
      </w:pPr>
      <w:r>
        <w:rPr>
          <w:b/>
          <w:bCs/>
        </w:rPr>
        <w:t xml:space="preserve">Survey (not yet fielded):</w:t>
      </w:r>
      <w:r>
        <w:t xml:space="preserve"> </w:t>
      </w:r>
      <w:r>
        <w:t xml:space="preserve">the agriculture sector module (</w:t>
      </w:r>
      <w:r>
        <w:rPr>
          <w:rStyle w:val="VerbatimChar"/>
        </w:rPr>
        <w:t xml:space="preserve">YA1</w:t>
      </w:r>
      <w:r>
        <w:t xml:space="preserve">-</w:t>
      </w:r>
      <w:r>
        <w:rPr>
          <w:rStyle w:val="VerbatimChar"/>
        </w:rPr>
        <w:t xml:space="preserve">YA6</w:t>
      </w:r>
      <w:r>
        <w:t xml:space="preserve">): status by area, channels actually used to reach farmers, number of languages advisory content is available in, whether machine-readable georeferenced datasets are held, whether any deployed system has been independently evaluated, and how the work is funded and for how long.</w:t>
      </w:r>
    </w:p>
    <w:p>
      <w:pPr>
        <w:pStyle w:val="Compact"/>
        <w:numPr>
          <w:ilvl w:val="0"/>
          <w:numId w:val="1018"/>
        </w:numPr>
      </w:pPr>
      <w:r>
        <w:rPr>
          <w:b/>
          <w:bCs/>
        </w:rPr>
        <w:t xml:space="preserve">Evidence gap (applications and organizational activity):</w:t>
      </w:r>
      <w:r>
        <w:t xml:space="preserve"> </w:t>
      </w:r>
      <w:r>
        <w:t xml:space="preserve">whether the EIAR/EAII poultry, dairy, and enset pilots have been independently evaluated is named directly in the paper as answerable either through</w:t>
      </w:r>
      <w:r>
        <w:t xml:space="preserve"> </w:t>
      </w:r>
      <w:r>
        <w:rPr>
          <w:rStyle w:val="VerbatimChar"/>
        </w:rPr>
        <w:t xml:space="preserve">YA5</w:t>
      </w:r>
      <w:r>
        <w:t xml:space="preserve"> </w:t>
      </w:r>
      <w:r>
        <w:t xml:space="preserve">once fielded or a key-informant interview with EIAR’s Holeta Agricultural Research Center in the meantime.</w:t>
      </w:r>
      <w:r>
        <w:t xml:space="preserve"> </w:t>
      </w:r>
      <w:r>
        <w:rPr>
          <w:rStyle w:val="VerbatimChar"/>
        </w:rPr>
        <w:t xml:space="preserve">paper/chapters/03-current-state.tex</w:t>
      </w:r>
      <w:r>
        <w:t xml:space="preserve">,</w:t>
      </w:r>
      <w:r>
        <w:t xml:space="preserve"> </w:t>
      </w:r>
      <w:r>
        <w:t xml:space="preserve">“Agriculture”</w:t>
      </w:r>
      <w:r>
        <w:t xml:space="preserve"> </w:t>
      </w:r>
      <w:r>
        <w:t xml:space="preserve">section, footnote.</w:t>
      </w:r>
    </w:p>
    <w:bookmarkEnd w:id="36"/>
    <w:bookmarkStart w:id="37" w:name="industry"/>
    <w:p>
      <w:pPr>
        <w:pStyle w:val="Heading2"/>
      </w:pPr>
      <w:r>
        <w:t xml:space="preserve">8.5 Industry</w:t>
      </w:r>
    </w:p>
    <w:p>
      <w:pPr>
        <w:pStyle w:val="Compact"/>
        <w:numPr>
          <w:ilvl w:val="0"/>
          <w:numId w:val="1019"/>
        </w:numPr>
      </w:pPr>
      <w:r>
        <w:rPr>
          <w:b/>
          <w:bCs/>
        </w:rPr>
        <w:t xml:space="preserve">Existing evidence:</w:t>
      </w:r>
      <w:r>
        <w:t xml:space="preserve"> </w:t>
      </w:r>
      <w:r>
        <w:t xml:space="preserve">covered under Chapter 4 above (the Firm-level Adoption of Technology baseline, Ethiopian Airlines’ marketing-only deployment, and the explicit finding of no verified production AI in Ethiopian manufacturing, mining, or utilities).</w:t>
      </w:r>
      <w:r>
        <w:t xml:space="preserve"> </w:t>
      </w:r>
      <w:r>
        <w:rPr>
          <w:rStyle w:val="VerbatimChar"/>
        </w:rPr>
        <w:t xml:space="preserve">paper/chapters/03-current-state.tex</w:t>
      </w:r>
      <w:r>
        <w:t xml:space="preserve">,</w:t>
      </w:r>
      <w:r>
        <w:t xml:space="preserve"> </w:t>
      </w:r>
      <w:r>
        <w:t xml:space="preserve">“Industry: the sector furthest behind, and the least measured”</w:t>
      </w:r>
      <w:r>
        <w:t xml:space="preserve"> </w:t>
      </w:r>
      <w:r>
        <w:t xml:space="preserve">section.</w:t>
      </w:r>
    </w:p>
    <w:p>
      <w:pPr>
        <w:pStyle w:val="Compact"/>
        <w:numPr>
          <w:ilvl w:val="0"/>
          <w:numId w:val="1019"/>
        </w:numPr>
      </w:pPr>
      <w:r>
        <w:rPr>
          <w:b/>
          <w:bCs/>
        </w:rPr>
        <w:t xml:space="preserve">Survey (not yet fielded):</w:t>
      </w:r>
      <w:r>
        <w:t xml:space="preserve"> </w:t>
      </w:r>
      <w:r>
        <w:t xml:space="preserve">the industry sector module (</w:t>
      </w:r>
      <w:r>
        <w:rPr>
          <w:rStyle w:val="VerbatimChar"/>
        </w:rPr>
        <w:t xml:space="preserve">YI1</w:t>
      </w:r>
      <w:r>
        <w:t xml:space="preserve">-</w:t>
      </w:r>
      <w:r>
        <w:rPr>
          <w:rStyle w:val="VerbatimChar"/>
        </w:rPr>
        <w:t xml:space="preserve">YI6</w:t>
      </w:r>
      <w:r>
        <w:t xml:space="preserve">), summarised in Chapter 4 above.</w:t>
      </w:r>
    </w:p>
    <w:p>
      <w:pPr>
        <w:pStyle w:val="Compact"/>
        <w:numPr>
          <w:ilvl w:val="0"/>
          <w:numId w:val="1019"/>
        </w:numPr>
      </w:pPr>
      <w:r>
        <w:rPr>
          <w:b/>
          <w:bCs/>
        </w:rPr>
        <w:t xml:space="preserve">Evidence gap (applications and organizational activity):</w:t>
      </w:r>
      <w:r>
        <w:t xml:space="preserve"> </w:t>
      </w:r>
      <w:r>
        <w:t xml:space="preserve">this is the sector the paper itself names as</w:t>
      </w:r>
      <w:r>
        <w:t xml:space="preserve"> </w:t>
      </w:r>
      <w:r>
        <w:t xml:space="preserve">“the least measured,”</w:t>
      </w:r>
      <w:r>
        <w:t xml:space="preserve"> </w:t>
      </w:r>
      <w:r>
        <w:t xml:space="preserve">and states plainly that the survey will either confirm or overturn the zero-production finding. Until</w:t>
      </w:r>
      <w:r>
        <w:t xml:space="preserve"> </w:t>
      </w:r>
      <w:r>
        <w:rPr>
          <w:rStyle w:val="VerbatimChar"/>
        </w:rPr>
        <w:t xml:space="preserve">YI</w:t>
      </w:r>
      <w:r>
        <w:t xml:space="preserve"> </w:t>
      </w:r>
      <w:r>
        <w:t xml:space="preserve">data exists, Volume I should present the FAT baseline and the Ethiopian Airlines case as the entire current evidentiary basis for this sector, without implying a broader picture exists.</w:t>
      </w:r>
    </w:p>
    <w:bookmarkEnd w:id="37"/>
    <w:bookmarkStart w:id="38" w:name="academia-and-education"/>
    <w:p>
      <w:pPr>
        <w:pStyle w:val="Heading2"/>
      </w:pPr>
      <w:r>
        <w:t xml:space="preserve">8.6 Academia and education</w:t>
      </w:r>
    </w:p>
    <w:p>
      <w:pPr>
        <w:pStyle w:val="Compact"/>
        <w:numPr>
          <w:ilvl w:val="0"/>
          <w:numId w:val="1020"/>
        </w:numPr>
      </w:pPr>
      <w:r>
        <w:rPr>
          <w:b/>
          <w:bCs/>
        </w:rPr>
        <w:t xml:space="preserve">Existing evidence:</w:t>
      </w:r>
      <w:r>
        <w:t xml:space="preserve"> </w:t>
      </w:r>
      <w:r>
        <w:t xml:space="preserve">covered under Chapter 7 above for research communities and higher education; for schools specifically, the paper documents a Ministry of Education mathematics teacher professional-development programme (launched 2024) evaluated using AI-generated assessment within a TPACK framework, driven by examination failure-rate concerns.</w:t>
      </w:r>
      <w:r>
        <w:t xml:space="preserve"> </w:t>
      </w:r>
      <w:r>
        <w:rPr>
          <w:rStyle w:val="VerbatimChar"/>
        </w:rPr>
        <w:t xml:space="preserve">paper/chapters/03-current-state.tex</w:t>
      </w:r>
      <w:r>
        <w:t xml:space="preserve">,</w:t>
      </w:r>
      <w:r>
        <w:t xml:space="preserve"> </w:t>
      </w:r>
      <w:r>
        <w:t xml:space="preserve">“Education”</w:t>
      </w:r>
      <w:r>
        <w:t xml:space="preserve"> </w:t>
      </w:r>
      <w:r>
        <w:t xml:space="preserve">section. Primary source:</w:t>
      </w:r>
      <w:r>
        <w:t xml:space="preserve"> </w:t>
      </w:r>
      <w:r>
        <w:rPr>
          <w:rStyle w:val="VerbatimChar"/>
        </w:rPr>
        <w:t xml:space="preserve">AI-Landscape-Assessment/Related_materials/gov-digital-education-strategy-2023-2028.pdf</w:t>
      </w:r>
      <w:r>
        <w:t xml:space="preserve">.</w:t>
      </w:r>
    </w:p>
    <w:p>
      <w:pPr>
        <w:pStyle w:val="Compact"/>
        <w:numPr>
          <w:ilvl w:val="0"/>
          <w:numId w:val="1020"/>
        </w:numPr>
      </w:pPr>
      <w:r>
        <w:rPr>
          <w:b/>
          <w:bCs/>
        </w:rPr>
        <w:t xml:space="preserve">Survey (not yet fielded):</w:t>
      </w:r>
      <w:r>
        <w:t xml:space="preserve"> </w:t>
      </w:r>
      <w:r>
        <w:t xml:space="preserve">the schools module (</w:t>
      </w:r>
      <w:r>
        <w:rPr>
          <w:rStyle w:val="VerbatimChar"/>
        </w:rPr>
        <w:t xml:space="preserve">YS1</w:t>
      </w:r>
      <w:r>
        <w:t xml:space="preserve">-</w:t>
      </w:r>
      <w:r>
        <w:rPr>
          <w:rStyle w:val="VerbatimChar"/>
        </w:rPr>
        <w:t xml:space="preserve">YS3</w:t>
      </w:r>
      <w:r>
        <w:t xml:space="preserve">), summarised in Chapter 7 above.</w:t>
      </w:r>
    </w:p>
    <w:bookmarkEnd w:id="38"/>
    <w:bookmarkStart w:id="39" w:name="government-and-public-service"/>
    <w:p>
      <w:pPr>
        <w:pStyle w:val="Heading2"/>
      </w:pPr>
      <w:r>
        <w:t xml:space="preserve">8.7 Government and public service</w:t>
      </w:r>
    </w:p>
    <w:p>
      <w:pPr>
        <w:pStyle w:val="Compact"/>
        <w:numPr>
          <w:ilvl w:val="0"/>
          <w:numId w:val="1021"/>
        </w:numPr>
      </w:pPr>
      <w:r>
        <w:rPr>
          <w:b/>
          <w:bCs/>
        </w:rPr>
        <w:t xml:space="preserve">Existing evidence:</w:t>
      </w:r>
      <w:r>
        <w:t xml:space="preserve"> </w:t>
      </w:r>
      <w:r>
        <w:t xml:space="preserve">covered under Chapter 5 above (Fayda, the National Bank’s monitoring system, and the finding that government is the sector with the most policy authority and the least public evidence of production deployment).</w:t>
      </w:r>
    </w:p>
    <w:p>
      <w:pPr>
        <w:pStyle w:val="Compact"/>
        <w:numPr>
          <w:ilvl w:val="0"/>
          <w:numId w:val="1021"/>
        </w:numPr>
      </w:pPr>
      <w:r>
        <w:rPr>
          <w:b/>
          <w:bCs/>
        </w:rPr>
        <w:t xml:space="preserve">Survey (not yet fielded):</w:t>
      </w:r>
      <w:r>
        <w:t xml:space="preserve"> </w:t>
      </w:r>
      <w:r>
        <w:t xml:space="preserve">the government and public-service module (</w:t>
      </w:r>
      <w:r>
        <w:rPr>
          <w:rStyle w:val="VerbatimChar"/>
        </w:rPr>
        <w:t xml:space="preserve">YG1</w:t>
      </w:r>
      <w:r>
        <w:t xml:space="preserve">-</w:t>
      </w:r>
      <w:r>
        <w:rPr>
          <w:rStyle w:val="VerbatimChar"/>
        </w:rPr>
        <w:t xml:space="preserve">YG6</w:t>
      </w:r>
      <w:r>
        <w:t xml:space="preserve">), summarised in Chapter 5 above.</w:t>
      </w:r>
    </w:p>
    <w:bookmarkEnd w:id="39"/>
    <w:bookmarkStart w:id="40" w:name="X36434aa69096114659be6d633246136b9ea524b"/>
    <w:p>
      <w:pPr>
        <w:pStyle w:val="Heading2"/>
      </w:pPr>
      <w:r>
        <w:t xml:space="preserve">8.8 Cross-cutting: kinds of AI technology in use, and where organizations see value</w:t>
      </w:r>
    </w:p>
    <w:p>
      <w:pPr>
        <w:pStyle w:val="Compact"/>
        <w:numPr>
          <w:ilvl w:val="0"/>
          <w:numId w:val="1022"/>
        </w:numPr>
      </w:pPr>
      <w:r>
        <w:rPr>
          <w:b/>
          <w:bCs/>
        </w:rPr>
        <w:t xml:space="preserve">Survey (not yet fielded):</w:t>
      </w:r>
      <w:r>
        <w:t xml:space="preserve"> </w:t>
      </w:r>
      <w:r>
        <w:rPr>
          <w:rStyle w:val="VerbatimChar"/>
        </w:rPr>
        <w:t xml:space="preserve">AT1</w:t>
      </w:r>
      <w:r>
        <w:t xml:space="preserve"> </w:t>
      </w:r>
      <w:r>
        <w:t xml:space="preserve">(which kinds of AI technology an organization uses, pilots, or plans to use within a year) and</w:t>
      </w:r>
      <w:r>
        <w:t xml:space="preserve"> </w:t>
      </w:r>
      <w:r>
        <w:rPr>
          <w:rStyle w:val="VerbatimChar"/>
        </w:rPr>
        <w:t xml:space="preserve">AT2</w:t>
      </w:r>
      <w:r>
        <w:t xml:space="preserve"> </w:t>
      </w:r>
      <w:r>
        <w:t xml:space="preserve">(which of those are genuinely reliable in production, not just a demonstration) are the two items that let Volume I describe the technology mix across all sectors on a common basis, once fielded.</w:t>
      </w:r>
      <w:r>
        <w:t xml:space="preserve"> </w:t>
      </w:r>
      <w:r>
        <w:rPr>
          <w:rStyle w:val="VerbatimChar"/>
        </w:rPr>
        <w:t xml:space="preserve">E1</w:t>
      </w:r>
      <w:r>
        <w:t xml:space="preserve"> </w:t>
      </w:r>
      <w:r>
        <w:t xml:space="preserve">through</w:t>
      </w:r>
      <w:r>
        <w:t xml:space="preserve"> </w:t>
      </w:r>
      <w:r>
        <w:rPr>
          <w:rStyle w:val="VerbatimChar"/>
        </w:rPr>
        <w:t xml:space="preserve">E6</w:t>
      </w:r>
      <w:r>
        <w:t xml:space="preserve"> </w:t>
      </w:r>
      <w:r>
        <w:t xml:space="preserve">cover use-case status by area, where organizations see the most value over the next three years, the single biggest operational problem they believe AI could help solve, whether that problem is solvable with data already held, which general-purpose AI tools staff use (officially or unofficially), and whether a governing policy exists.</w:t>
      </w:r>
    </w:p>
    <w:p>
      <w:pPr>
        <w:pStyle w:val="Compact"/>
        <w:numPr>
          <w:ilvl w:val="0"/>
          <w:numId w:val="1022"/>
        </w:numPr>
      </w:pPr>
      <w:r>
        <w:rPr>
          <w:b/>
          <w:bCs/>
        </w:rPr>
        <w:t xml:space="preserve">Existing evidence:</w:t>
      </w:r>
      <w:r>
        <w:t xml:space="preserve"> </w:t>
      </w:r>
      <w:r>
        <w:t xml:space="preserve">the paper’s own prioritisation logic for use cases (impact times feasibility times data readiness times cost times time-to-value, with five gates a candidate use case must pass) offers a ready-made framework for presenting whatever the</w:t>
      </w:r>
      <w:r>
        <w:t xml:space="preserve"> </w:t>
      </w:r>
      <w:r>
        <w:rPr>
          <w:rStyle w:val="VerbatimChar"/>
        </w:rPr>
        <w:t xml:space="preserve">E</w:t>
      </w:r>
      <w:r>
        <w:t xml:space="preserve"> </w:t>
      </w:r>
      <w:r>
        <w:t xml:space="preserve">and sector-module data eventually show.</w:t>
      </w:r>
      <w:r>
        <w:t xml:space="preserve"> </w:t>
      </w:r>
      <w:r>
        <w:rPr>
          <w:rStyle w:val="VerbatimChar"/>
        </w:rPr>
        <w:t xml:space="preserve">paper/chapters/02-framework.tex</w:t>
      </w:r>
      <w:r>
        <w:t xml:space="preserve">,</w:t>
      </w:r>
      <w:r>
        <w:t xml:space="preserve"> </w:t>
      </w:r>
      <w:r>
        <w:t xml:space="preserve">“The value-creation test”</w:t>
      </w:r>
      <w:r>
        <w:t xml:space="preserve"> </w:t>
      </w:r>
      <w:r>
        <w:t xml:space="preserve">section;</w:t>
      </w:r>
      <w:r>
        <w:t xml:space="preserve"> </w:t>
      </w:r>
      <w:r>
        <w:rPr>
          <w:rStyle w:val="VerbatimChar"/>
        </w:rPr>
        <w:t xml:space="preserve">paper/chapters/04-value-creation.tex</w:t>
      </w:r>
      <w:r>
        <w:t xml:space="preserve">, the per-sector use-case sections.</w:t>
      </w:r>
    </w:p>
    <w:bookmarkEnd w:id="40"/>
    <w:bookmarkEnd w:id="41"/>
    <w:bookmarkStart w:id="44" w:name="practitioner-and-public-perspectives"/>
    <w:p>
      <w:pPr>
        <w:pStyle w:val="Heading1"/>
      </w:pPr>
      <w:r>
        <w:t xml:space="preserve">9. Practitioner and public perspectives</w:t>
      </w:r>
    </w:p>
    <w:p>
      <w:pPr>
        <w:pStyle w:val="FirstParagraph"/>
      </w:pPr>
      <w:r>
        <w:t xml:space="preserve">This chapter addresses the second guiding question,</w:t>
      </w:r>
      <w:r>
        <w:t xml:space="preserve"> </w:t>
      </w:r>
      <w:r>
        <w:t xml:space="preserve">“what are people observing,”</w:t>
      </w:r>
      <w:r>
        <w:t xml:space="preserve"> </w:t>
      </w:r>
      <w:r>
        <w:t xml:space="preserve">from the two human-level vantage points Volume I’s survey mapping covers: individual technology practitioners and, through a single section, ordinary citizens.</w:t>
      </w:r>
    </w:p>
    <w:bookmarkStart w:id="42" w:name="practitioners"/>
    <w:p>
      <w:pPr>
        <w:pStyle w:val="Heading2"/>
      </w:pPr>
      <w:r>
        <w:t xml:space="preserve">9.1 Practitioners</w:t>
      </w:r>
    </w:p>
    <w:p>
      <w:pPr>
        <w:pStyle w:val="Compact"/>
        <w:numPr>
          <w:ilvl w:val="0"/>
          <w:numId w:val="1023"/>
        </w:numPr>
      </w:pPr>
      <w:r>
        <w:rPr>
          <w:b/>
          <w:bCs/>
        </w:rPr>
        <w:t xml:space="preserve">Survey (not yet fielded):</w:t>
      </w:r>
      <w:r>
        <w:t xml:space="preserve"> </w:t>
      </w:r>
      <w:r>
        <w:rPr>
          <w:rStyle w:val="VerbatimChar"/>
        </w:rPr>
        <w:t xml:space="preserve">PAT1</w:t>
      </w:r>
      <w:r>
        <w:t xml:space="preserve"> </w:t>
      </w:r>
      <w:r>
        <w:t xml:space="preserve">(which kinds of AI a practitioner has personally used or worked with),</w:t>
      </w:r>
      <w:r>
        <w:t xml:space="preserve"> </w:t>
      </w:r>
      <w:r>
        <w:rPr>
          <w:rStyle w:val="VerbatimChar"/>
        </w:rPr>
        <w:t xml:space="preserve">PB1</w:t>
      </w:r>
      <w:r>
        <w:t xml:space="preserve"> </w:t>
      </w:r>
      <w:r>
        <w:t xml:space="preserve">to</w:t>
      </w:r>
      <w:r>
        <w:t xml:space="preserve"> </w:t>
      </w:r>
      <w:r>
        <w:rPr>
          <w:rStyle w:val="VerbatimChar"/>
        </w:rPr>
        <w:t xml:space="preserve">PB6</w:t>
      </w:r>
      <w:r>
        <w:t xml:space="preserve"> </w:t>
      </w:r>
      <w:r>
        <w:t xml:space="preserve">(frequency of personal AI tool use, what tools are used for, whether the practitioner pays for any AI tool and why not if not, whether they have personally built, trained, or fine-tuned a machine learning model, and whether they have access to a GPU or computing cluster), and</w:t>
      </w:r>
      <w:r>
        <w:t xml:space="preserve"> </w:t>
      </w:r>
      <w:r>
        <w:rPr>
          <w:rStyle w:val="VerbatimChar"/>
        </w:rPr>
        <w:t xml:space="preserve">PU1</w:t>
      </w:r>
      <w:r>
        <w:t xml:space="preserve"> </w:t>
      </w:r>
      <w:r>
        <w:t xml:space="preserve">to</w:t>
      </w:r>
      <w:r>
        <w:t xml:space="preserve"> </w:t>
      </w:r>
      <w:r>
        <w:rPr>
          <w:rStyle w:val="VerbatimChar"/>
        </w:rPr>
        <w:t xml:space="preserve">PU2</w:t>
      </w:r>
      <w:r>
        <w:t xml:space="preserve"> </w:t>
      </w:r>
      <w:r>
        <w:t xml:space="preserve">(agreement with a set of attitude statements, and likelihood of using AI tools in work over the next twelve months).</w:t>
      </w:r>
    </w:p>
    <w:p>
      <w:pPr>
        <w:pStyle w:val="Compact"/>
        <w:numPr>
          <w:ilvl w:val="0"/>
          <w:numId w:val="1023"/>
        </w:numPr>
      </w:pPr>
      <w:r>
        <w:rPr>
          <w:b/>
          <w:bCs/>
        </w:rPr>
        <w:t xml:space="preserve">Existing evidence:</w:t>
      </w:r>
      <w:r>
        <w:t xml:space="preserve"> </w:t>
      </w:r>
      <w:r>
        <w:t xml:space="preserve">the paper’s theoretical framing for exactly these items, extending UTAUT with algorithmic aversion as a mediator, drawn from a prior study fielded in Nigeria, Cameroon, and Uganda at n=54 and explicitly described there as preliminary.</w:t>
      </w:r>
      <w:r>
        <w:t xml:space="preserve"> </w:t>
      </w:r>
      <w:r>
        <w:rPr>
          <w:rStyle w:val="VerbatimChar"/>
        </w:rPr>
        <w:t xml:space="preserve">paper/chapters/02-framework.tex</w:t>
      </w:r>
      <w:r>
        <w:t xml:space="preserve">,</w:t>
      </w:r>
      <w:r>
        <w:t xml:space="preserve"> </w:t>
      </w:r>
      <w:r>
        <w:t xml:space="preserve">“Why algorithmic aversion, and why borrowed”</w:t>
      </w:r>
      <w:r>
        <w:t xml:space="preserve"> </w:t>
      </w:r>
      <w:r>
        <w:t xml:space="preserve">section. Primary comparator source:</w:t>
      </w:r>
      <w:r>
        <w:t xml:space="preserve"> </w:t>
      </w:r>
      <w:r>
        <w:rPr>
          <w:rStyle w:val="VerbatimChar"/>
        </w:rPr>
        <w:t xml:space="preserve">sources/mwais2024-genai-subsaharan-africa.pdf</w:t>
      </w:r>
      <w:r>
        <w:t xml:space="preserve">. Volume I can use this as the interpretive frame for</w:t>
      </w:r>
      <w:r>
        <w:t xml:space="preserve"> </w:t>
      </w:r>
      <w:r>
        <w:rPr>
          <w:rStyle w:val="VerbatimChar"/>
        </w:rPr>
        <w:t xml:space="preserve">PU1</w:t>
      </w:r>
      <w:r>
        <w:t xml:space="preserve">-</w:t>
      </w:r>
      <w:r>
        <w:rPr>
          <w:rStyle w:val="VerbatimChar"/>
        </w:rPr>
        <w:t xml:space="preserve">PU2</w:t>
      </w:r>
      <w:r>
        <w:t xml:space="preserve"> </w:t>
      </w:r>
      <w:r>
        <w:t xml:space="preserve">once fielded, while being explicit that no Ethiopian practitioner data yet exists to compare against it.</w:t>
      </w:r>
    </w:p>
    <w:p>
      <w:pPr>
        <w:pStyle w:val="Compact"/>
        <w:numPr>
          <w:ilvl w:val="0"/>
          <w:numId w:val="1023"/>
        </w:numPr>
      </w:pPr>
      <w:r>
        <w:rPr>
          <w:b/>
          <w:bCs/>
        </w:rPr>
        <w:t xml:space="preserve">Evidence gap (professional perspectives and survey research):</w:t>
      </w:r>
      <w:r>
        <w:t xml:space="preserve"> </w:t>
      </w:r>
      <w:r>
        <w:t xml:space="preserve">until</w:t>
      </w:r>
      <w:r>
        <w:t xml:space="preserve"> </w:t>
      </w:r>
      <w:r>
        <w:rPr>
          <w:rStyle w:val="VerbatimChar"/>
        </w:rPr>
        <w:t xml:space="preserve">PAT</w:t>
      </w:r>
      <w:r>
        <w:t xml:space="preserve">,</w:t>
      </w:r>
      <w:r>
        <w:t xml:space="preserve"> </w:t>
      </w:r>
      <w:r>
        <w:rPr>
          <w:rStyle w:val="VerbatimChar"/>
        </w:rPr>
        <w:t xml:space="preserve">PB</w:t>
      </w:r>
      <w:r>
        <w:t xml:space="preserve">, and</w:t>
      </w:r>
      <w:r>
        <w:t xml:space="preserve"> </w:t>
      </w:r>
      <w:r>
        <w:rPr>
          <w:rStyle w:val="VerbatimChar"/>
        </w:rPr>
        <w:t xml:space="preserve">PU</w:t>
      </w:r>
      <w:r>
        <w:t xml:space="preserve"> </w:t>
      </w:r>
      <w:r>
        <w:t xml:space="preserve">are fielded, there is no Ethiopia-specific practitioner-level evidence at all on personal AI tool use, model-building experience, or compute access; this is a genuine first-measurement gap rather than a synthesis task, and it is this workstream’s core deliverable for Volume I.</w:t>
      </w:r>
    </w:p>
    <w:bookmarkEnd w:id="42"/>
    <w:bookmarkStart w:id="43" w:name="citizens"/>
    <w:p>
      <w:pPr>
        <w:pStyle w:val="Heading2"/>
      </w:pPr>
      <w:r>
        <w:t xml:space="preserve">9.2 Citizens</w:t>
      </w:r>
    </w:p>
    <w:p>
      <w:pPr>
        <w:pStyle w:val="Compact"/>
        <w:numPr>
          <w:ilvl w:val="0"/>
          <w:numId w:val="1024"/>
        </w:numPr>
      </w:pPr>
      <w:r>
        <w:rPr>
          <w:b/>
          <w:bCs/>
        </w:rPr>
        <w:t xml:space="preserve">Survey (not yet fielded):</w:t>
      </w:r>
      <w:r>
        <w:t xml:space="preserve"> </w:t>
      </w:r>
      <w:r>
        <w:rPr>
          <w:rStyle w:val="VerbatimChar"/>
        </w:rPr>
        <w:t xml:space="preserve">ZC1</w:t>
      </w:r>
      <w:r>
        <w:t xml:space="preserve"> </w:t>
      </w:r>
      <w:r>
        <w:t xml:space="preserve">to</w:t>
      </w:r>
      <w:r>
        <w:t xml:space="preserve"> </w:t>
      </w:r>
      <w:r>
        <w:rPr>
          <w:rStyle w:val="VerbatimChar"/>
        </w:rPr>
        <w:t xml:space="preserve">ZC6</w:t>
      </w:r>
      <w:r>
        <w:t xml:space="preserve">: whether the respondent has heard of AI, a plain-language definition read to the respondent, whether they have ever used a tool like this themselves, what they used it for, in which language, and how well it worked in that Ethiopian language.</w:t>
      </w:r>
    </w:p>
    <w:p>
      <w:pPr>
        <w:pStyle w:val="Compact"/>
        <w:numPr>
          <w:ilvl w:val="0"/>
          <w:numId w:val="1024"/>
        </w:numPr>
      </w:pPr>
      <w:r>
        <w:rPr>
          <w:b/>
          <w:bCs/>
        </w:rPr>
        <w:t xml:space="preserve">Existing evidence:</w:t>
      </w:r>
      <w:r>
        <w:t xml:space="preserve"> </w:t>
      </w:r>
      <w:r>
        <w:t xml:space="preserve">the paper’s finding that language technology is</w:t>
      </w:r>
      <w:r>
        <w:t xml:space="preserve"> </w:t>
      </w:r>
      <w:r>
        <w:t xml:space="preserve">“the access layer for every other AI service”</w:t>
      </w:r>
      <w:r>
        <w:t xml:space="preserve"> </w:t>
      </w:r>
      <w:r>
        <w:t xml:space="preserve">in a country of roughly 85 languages, and its explicit statement that an English-only citizen instrument under-reaches exactly the rural, older, and less formally educated respondents most affected by the language gap, making the enumerator-administered rural booster sample load-bearing rather than a refinement.</w:t>
      </w:r>
      <w:r>
        <w:t xml:space="preserve"> </w:t>
      </w:r>
      <w:r>
        <w:rPr>
          <w:rStyle w:val="VerbatimChar"/>
        </w:rPr>
        <w:t xml:space="preserve">paper/chapters/01-introduction.tex</w:t>
      </w:r>
      <w:r>
        <w:t xml:space="preserve">,</w:t>
      </w:r>
      <w:r>
        <w:t xml:space="preserve"> </w:t>
      </w:r>
      <w:r>
        <w:t xml:space="preserve">“Limitations of an English-only instrument”</w:t>
      </w:r>
      <w:r>
        <w:t xml:space="preserve"> </w:t>
      </w:r>
      <w:r>
        <w:t xml:space="preserve">section;</w:t>
      </w:r>
      <w:r>
        <w:t xml:space="preserve"> </w:t>
      </w:r>
      <w:r>
        <w:rPr>
          <w:rStyle w:val="VerbatimChar"/>
        </w:rPr>
        <w:t xml:space="preserve">paper/chapters/04-value-creation.tex</w:t>
      </w:r>
      <w:r>
        <w:t xml:space="preserve">,</w:t>
      </w:r>
      <w:r>
        <w:t xml:space="preserve"> </w:t>
      </w:r>
      <w:r>
        <w:t xml:space="preserve">“Languages and cultural heritage”</w:t>
      </w:r>
      <w:r>
        <w:t xml:space="preserve"> </w:t>
      </w:r>
      <w:r>
        <w:t xml:space="preserve">section.</w:t>
      </w:r>
    </w:p>
    <w:p>
      <w:pPr>
        <w:pStyle w:val="Compact"/>
        <w:numPr>
          <w:ilvl w:val="0"/>
          <w:numId w:val="1024"/>
        </w:numPr>
      </w:pPr>
      <w:r>
        <w:rPr>
          <w:b/>
          <w:bCs/>
        </w:rPr>
        <w:t xml:space="preserve">Evidence gap (professional perspectives and survey research):</w:t>
      </w:r>
      <w:r>
        <w:t xml:space="preserve"> </w:t>
      </w:r>
      <w:r>
        <w:t xml:space="preserve">as with the practitioner data, there is currently no citizen-level evidence at all on AI awareness, use, or Ethiopian-language performance;</w:t>
      </w:r>
      <w:r>
        <w:t xml:space="preserve"> </w:t>
      </w:r>
      <w:r>
        <w:rPr>
          <w:rStyle w:val="VerbatimChar"/>
        </w:rPr>
        <w:t xml:space="preserve">ZC1</w:t>
      </w:r>
      <w:r>
        <w:t xml:space="preserve">-</w:t>
      </w:r>
      <w:r>
        <w:rPr>
          <w:rStyle w:val="VerbatimChar"/>
        </w:rPr>
        <w:t xml:space="preserve">ZC6</w:t>
      </w:r>
      <w:r>
        <w:t xml:space="preserve"> </w:t>
      </w:r>
      <w:r>
        <w:t xml:space="preserve">is the only planned source, and Volume I should state this as a first-measurement gap rather than attempt to infer citizen experience from practitioner or organizational data.</w:t>
      </w:r>
    </w:p>
    <w:p>
      <w:pPr>
        <w:pStyle w:val="Compact"/>
        <w:numPr>
          <w:ilvl w:val="0"/>
          <w:numId w:val="1024"/>
        </w:numPr>
      </w:pPr>
      <w:r>
        <w:rPr>
          <w:b/>
          <w:bCs/>
        </w:rPr>
        <w:t xml:space="preserve">Evidence gap (research coordination and synthesis):</w:t>
      </w:r>
      <w:r>
        <w:t xml:space="preserve"> </w:t>
      </w:r>
      <w:r>
        <w:t xml:space="preserve">reconciling the plain citizen-facing framing of</w:t>
      </w:r>
      <w:r>
        <w:t xml:space="preserve"> </w:t>
      </w:r>
      <w:r>
        <w:rPr>
          <w:rStyle w:val="VerbatimChar"/>
        </w:rPr>
        <w:t xml:space="preserve">ZC</w:t>
      </w:r>
      <w:r>
        <w:t xml:space="preserve"> </w:t>
      </w:r>
      <w:r>
        <w:t xml:space="preserve">with the paper’s more technical treatment of the Ethiopian-language performance gap (measured in parallel at citizen, practitioner, and organizational level) so that Volume I’s citizen chapter and the paper’s eventual language-gap finding use consistent language and are not read as two separate claims about the same thing.</w:t>
      </w:r>
    </w:p>
    <w:bookmarkEnd w:id="43"/>
    <w:bookmarkEnd w:id="44"/>
    <w:bookmarkStart w:id="45" w:name="Xdb3569d9d3fd77151f09e638fd40b2a81cdfae4"/>
    <w:p>
      <w:pPr>
        <w:pStyle w:val="Heading1"/>
      </w:pPr>
      <w:r>
        <w:t xml:space="preserve">10. Open evidence gaps and the research agenda for later volumes</w:t>
      </w:r>
    </w:p>
    <w:p>
      <w:pPr>
        <w:pStyle w:val="FirstParagraph"/>
      </w:pPr>
      <w:r>
        <w:t xml:space="preserve">This closing section draws together, in one place, the clearest points where Volume I cannot currently say more than</w:t>
      </w:r>
      <w:r>
        <w:t xml:space="preserve"> </w:t>
      </w:r>
      <w:r>
        <w:t xml:space="preserve">“this is unknown”</w:t>
      </w:r>
      <w:r>
        <w:t xml:space="preserve"> </w:t>
      </w:r>
      <w:r>
        <w:t xml:space="preserve">or</w:t>
      </w:r>
      <w:r>
        <w:t xml:space="preserve"> </w:t>
      </w:r>
      <w:r>
        <w:t xml:space="preserve">“this depends on data not yet collected,”</w:t>
      </w:r>
      <w:r>
        <w:t xml:space="preserve"> </w:t>
      </w:r>
      <w:r>
        <w:t xml:space="preserve">so that the volume functions as the research-program planning document asks: an agenda for deeper work, not only a landscape description. Items already flagged individually above are summarised here by owning workstream; this is a consolidated index, not new content.</w:t>
      </w:r>
    </w:p>
    <w:p>
      <w:pPr>
        <w:pStyle w:val="BodyText"/>
      </w:pPr>
      <w:r>
        <w:rPr>
          <w:b/>
          <w:bCs/>
        </w:rPr>
        <w:t xml:space="preserve">Research coordination and synthesis</w:t>
      </w:r>
    </w:p>
    <w:p>
      <w:pPr>
        <w:pStyle w:val="Compact"/>
        <w:numPr>
          <w:ilvl w:val="0"/>
          <w:numId w:val="1025"/>
        </w:numPr>
      </w:pPr>
      <w:r>
        <w:t xml:space="preserve">A single agreed vocabulary linking Volume I’s plain</w:t>
      </w:r>
      <w:r>
        <w:t xml:space="preserve"> </w:t>
      </w:r>
      <w:r>
        <w:t xml:space="preserve">“plans / experiments / operational use / reported outcomes”</w:t>
      </w:r>
      <w:r>
        <w:t xml:space="preserve"> </w:t>
      </w:r>
      <w:r>
        <w:t xml:space="preserve">framing to the paper’s formal maturity and technical-depth ladders (Section 1 above).</w:t>
      </w:r>
    </w:p>
    <w:p>
      <w:pPr>
        <w:pStyle w:val="Compact"/>
        <w:numPr>
          <w:ilvl w:val="0"/>
          <w:numId w:val="1025"/>
        </w:numPr>
      </w:pPr>
      <w:r>
        <w:t xml:space="preserve">A consolidated, dated ledger of Ethiopian AI funding by source, amount, and recipient (Section 6 above).</w:t>
      </w:r>
    </w:p>
    <w:p>
      <w:pPr>
        <w:pStyle w:val="Compact"/>
        <w:numPr>
          <w:ilvl w:val="0"/>
          <w:numId w:val="1025"/>
        </w:numPr>
      </w:pPr>
      <w:r>
        <w:t xml:space="preserve">Whether and how funder programmes coordinate or duplicate effort (Section 6 above).</w:t>
      </w:r>
    </w:p>
    <w:p>
      <w:pPr>
        <w:pStyle w:val="Compact"/>
        <w:numPr>
          <w:ilvl w:val="0"/>
          <w:numId w:val="1025"/>
        </w:numPr>
      </w:pPr>
      <w:r>
        <w:t xml:space="preserve">Reconciling the citizen-facing and technical treatments of the Ethiopian-language performance gap (Section 9.2 above).</w:t>
      </w:r>
    </w:p>
    <w:p>
      <w:pPr>
        <w:pStyle w:val="FirstParagraph"/>
      </w:pPr>
      <w:r>
        <w:rPr>
          <w:b/>
          <w:bCs/>
        </w:rPr>
        <w:t xml:space="preserve">Policy and institutional landscape</w:t>
      </w:r>
    </w:p>
    <w:p>
      <w:pPr>
        <w:pStyle w:val="Compact"/>
        <w:numPr>
          <w:ilvl w:val="0"/>
          <w:numId w:val="1026"/>
        </w:numPr>
      </w:pPr>
      <w:r>
        <w:t xml:space="preserve">A verified, consolidated roster of which public bodies hold which specific AI-relevant mandate (Sections 2.1 and 5 above).</w:t>
      </w:r>
    </w:p>
    <w:p>
      <w:pPr>
        <w:pStyle w:val="Compact"/>
        <w:numPr>
          <w:ilvl w:val="0"/>
          <w:numId w:val="1026"/>
        </w:numPr>
      </w:pPr>
      <w:r>
        <w:t xml:space="preserve">A reconciled account of where the National AI Policy and Digital Ethiopia 2030 agree and disagree on scope and sequencing (Section 2.2 above).</w:t>
      </w:r>
    </w:p>
    <w:p>
      <w:pPr>
        <w:pStyle w:val="Compact"/>
        <w:numPr>
          <w:ilvl w:val="0"/>
          <w:numId w:val="1026"/>
        </w:numPr>
      </w:pPr>
      <w:r>
        <w:t xml:space="preserve">Completion of the paper’s own peer-comparison table for Kenya, Rwanda, and Nigeria (Section 2.4 above).</w:t>
      </w:r>
    </w:p>
    <w:p>
      <w:pPr>
        <w:pStyle w:val="Compact"/>
        <w:numPr>
          <w:ilvl w:val="0"/>
          <w:numId w:val="1026"/>
        </w:numPr>
      </w:pPr>
      <w:r>
        <w:t xml:space="preserve">Confirmation of the Medemer AI University commitment (Section 2.5 above).</w:t>
      </w:r>
    </w:p>
    <w:p>
      <w:pPr>
        <w:pStyle w:val="FirstParagraph"/>
      </w:pPr>
      <w:r>
        <w:rPr>
          <w:b/>
          <w:bCs/>
        </w:rPr>
        <w:t xml:space="preserve">Research talent and technical foundations</w:t>
      </w:r>
    </w:p>
    <w:p>
      <w:pPr>
        <w:pStyle w:val="Compact"/>
        <w:numPr>
          <w:ilvl w:val="0"/>
          <w:numId w:val="1027"/>
        </w:numPr>
      </w:pPr>
      <w:r>
        <w:t xml:space="preserve">A national GPU/HPC compute inventory (no public figure currently exists anywhere, including the national HPC service and the AI UniPod launch materials) (Section 7 above).</w:t>
      </w:r>
    </w:p>
    <w:p>
      <w:pPr>
        <w:pStyle w:val="Compact"/>
        <w:numPr>
          <w:ilvl w:val="0"/>
          <w:numId w:val="1027"/>
        </w:numPr>
      </w:pPr>
      <w:r>
        <w:t xml:space="preserve">Current PhD graduation and academic-staff emigration rates, replacing figures the paper itself identifies as up to fifteen years stale (Section 7 above).</w:t>
      </w:r>
    </w:p>
    <w:p>
      <w:pPr>
        <w:pStyle w:val="Compact"/>
        <w:numPr>
          <w:ilvl w:val="0"/>
          <w:numId w:val="1027"/>
        </w:numPr>
      </w:pPr>
      <w:r>
        <w:t xml:space="preserve">Independent verification of the EthioNLP entity-level figures reported only in the prior mapping draft (Section 7 above).</w:t>
      </w:r>
    </w:p>
    <w:p>
      <w:pPr>
        <w:pStyle w:val="FirstParagraph"/>
      </w:pPr>
      <w:r>
        <w:rPr>
          <w:b/>
          <w:bCs/>
        </w:rPr>
        <w:t xml:space="preserve">Applications and organizational activity</w:t>
      </w:r>
    </w:p>
    <w:p>
      <w:pPr>
        <w:pStyle w:val="Compact"/>
        <w:numPr>
          <w:ilvl w:val="0"/>
          <w:numId w:val="1028"/>
        </w:numPr>
      </w:pPr>
      <w:r>
        <w:t xml:space="preserve">An updated, cross-checked entity inventory beyond the prior mapping draft’s provisional 48-entity list (Section 3 above).</w:t>
      </w:r>
    </w:p>
    <w:p>
      <w:pPr>
        <w:pStyle w:val="Compact"/>
        <w:numPr>
          <w:ilvl w:val="0"/>
          <w:numId w:val="1028"/>
        </w:numPr>
      </w:pPr>
      <w:r>
        <w:t xml:space="preserve">Systematic coverage of established firms outside finance, telecom, and aviation (Section 4 above).</w:t>
      </w:r>
    </w:p>
    <w:p>
      <w:pPr>
        <w:pStyle w:val="Compact"/>
        <w:numPr>
          <w:ilvl w:val="0"/>
          <w:numId w:val="1028"/>
        </w:numPr>
      </w:pPr>
      <w:r>
        <w:t xml:space="preserve">Outcome-level detail on government service-delivery AI beyond Fayda and the National Bank’s monitoring system (Section 5 above).</w:t>
      </w:r>
    </w:p>
    <w:p>
      <w:pPr>
        <w:pStyle w:val="Compact"/>
        <w:numPr>
          <w:ilvl w:val="0"/>
          <w:numId w:val="1028"/>
        </w:numPr>
      </w:pPr>
      <w:r>
        <w:t xml:space="preserve">Independent evaluation status of the EIAR/EAII agricultural pilots and of EFDA authorisation for any AI medical device (Sections 8.2 and 8.4 above).</w:t>
      </w:r>
    </w:p>
    <w:p>
      <w:pPr>
        <w:pStyle w:val="Compact"/>
        <w:numPr>
          <w:ilvl w:val="0"/>
          <w:numId w:val="1028"/>
        </w:numPr>
      </w:pPr>
      <w:r>
        <w:t xml:space="preserve">Whether anything in Ethiopian industry has moved off the Firm-level Adoption of Technology survey’s zero-adoption baseline (Section 8.5 above).</w:t>
      </w:r>
    </w:p>
    <w:p>
      <w:pPr>
        <w:pStyle w:val="FirstParagraph"/>
      </w:pPr>
      <w:r>
        <w:rPr>
          <w:b/>
          <w:bCs/>
        </w:rPr>
        <w:t xml:space="preserve">Professional perspectives and survey research</w:t>
      </w:r>
    </w:p>
    <w:p>
      <w:pPr>
        <w:pStyle w:val="Compact"/>
        <w:numPr>
          <w:ilvl w:val="0"/>
          <w:numId w:val="1029"/>
        </w:numPr>
      </w:pPr>
      <w:r>
        <w:t xml:space="preserve">All practitioner-level evidence on personal AI tool use, model-building experience, and compute access, pending</w:t>
      </w:r>
      <w:r>
        <w:t xml:space="preserve"> </w:t>
      </w:r>
      <w:r>
        <w:rPr>
          <w:rStyle w:val="VerbatimChar"/>
        </w:rPr>
        <w:t xml:space="preserve">PAT</w:t>
      </w:r>
      <w:r>
        <w:t xml:space="preserve">,</w:t>
      </w:r>
      <w:r>
        <w:t xml:space="preserve"> </w:t>
      </w:r>
      <w:r>
        <w:rPr>
          <w:rStyle w:val="VerbatimChar"/>
        </w:rPr>
        <w:t xml:space="preserve">PB</w:t>
      </w:r>
      <w:r>
        <w:t xml:space="preserve">, and</w:t>
      </w:r>
      <w:r>
        <w:t xml:space="preserve"> </w:t>
      </w:r>
      <w:r>
        <w:rPr>
          <w:rStyle w:val="VerbatimChar"/>
        </w:rPr>
        <w:t xml:space="preserve">PU</w:t>
      </w:r>
      <w:r>
        <w:t xml:space="preserve"> </w:t>
      </w:r>
      <w:r>
        <w:t xml:space="preserve">(Section 9.1 above).</w:t>
      </w:r>
    </w:p>
    <w:p>
      <w:pPr>
        <w:pStyle w:val="Compact"/>
        <w:numPr>
          <w:ilvl w:val="0"/>
          <w:numId w:val="1029"/>
        </w:numPr>
      </w:pPr>
      <w:r>
        <w:t xml:space="preserve">All citizen-level evidence on AI awareness, use, and Ethiopian-language performance, pending</w:t>
      </w:r>
      <w:r>
        <w:t xml:space="preserve"> </w:t>
      </w:r>
      <w:r>
        <w:rPr>
          <w:rStyle w:val="VerbatimChar"/>
        </w:rPr>
        <w:t xml:space="preserve">ZC</w:t>
      </w:r>
      <w:r>
        <w:t xml:space="preserve"> </w:t>
      </w:r>
      <w:r>
        <w:t xml:space="preserve">(Section 9.2 above).</w:t>
      </w:r>
    </w:p>
    <w:p>
      <w:pPr>
        <w:pStyle w:val="FirstParagraph"/>
      </w:pPr>
      <w:r>
        <w:rPr>
          <w:b/>
          <w:bCs/>
        </w:rPr>
        <w:t xml:space="preserve">A note on sequencing.</w:t>
      </w:r>
      <w:r>
        <w:t xml:space="preserve"> </w:t>
      </w:r>
      <w:r>
        <w:t xml:space="preserve">Several of the gaps above are not open-ended; they are bounded documentary or outreach tasks (completing a table, requesting a document, running one interview) rather than research questions requiring new instruments. Volume I’s own value, per the research-program document, is partly to sort the two kinds of gap apart, so that the team’s limited interview and documentary-research capacity goes to the gaps that actually need it.</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I: The State of AI in Ethiopia</dc:title>
  <dc:creator/>
  <cp:keywords/>
  <dcterms:created xsi:type="dcterms:W3CDTF">2026-10-01T20:15:07Z</dcterms:created>
  <dcterms:modified xsi:type="dcterms:W3CDTF">2026-10-01T20:15:07Z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Chapter template and evidence map, AI-MAP Ethiopia research series</vt:lpwstr>
  </property>
</Properties>
</file>