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Volume III: Public Priorities, Language, and Access</w:t>
      </w:r>
    </w:p>
    <w:p>
      <w:pPr>
        <w:pStyle w:val="Subtitle"/>
      </w:pPr>
      <w:r>
        <w:t xml:space="preserve">Chapter template and evidence map</w:t>
      </w:r>
    </w:p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is a chapter template, not a draft. Each topic section lists the points the</w:t>
      </w:r>
      <w:r>
        <w:t xml:space="preserve"> </w:t>
      </w:r>
      <w:r>
        <w:t xml:space="preserve">chapter needs to cover and where the supporting evidence is expected to come from:</w:t>
      </w:r>
      <w:r>
        <w:t xml:space="preserve"> </w:t>
      </w:r>
      <w:r>
        <w:t xml:space="preserve">existing paper content, fielded survey data (by question id), or a named evidence gap</w:t>
      </w:r>
      <w:r>
        <w:t xml:space="preserve"> </w:t>
      </w:r>
      <w:r>
        <w:t xml:space="preserve">with the workstream that would plausibly close it. Compared with Volume II, this volume</w:t>
      </w:r>
      <w:r>
        <w:t xml:space="preserve"> </w:t>
      </w:r>
      <w:r>
        <w:t xml:space="preserve">has less existing paper coverage to draw on; it leans more heavily on the resource PDF</w:t>
      </w:r>
      <w:r>
        <w:t xml:space="preserve"> </w:t>
      </w:r>
      <w:r>
        <w:t xml:space="preserve">collection and on survey question flags, and several sections rest largely on</w:t>
      </w:r>
      <w:r>
        <w:t xml:space="preserve"> </w:t>
      </w:r>
      <w:r>
        <w:t xml:space="preserve">evidence that does not exist yet.</w:t>
      </w:r>
    </w:p>
    <w:bookmarkEnd w:id="20"/>
    <w:bookmarkStart w:id="21" w:name="central-question-and-contribution"/>
    <w:p>
      <w:pPr>
        <w:pStyle w:val="Heading1"/>
      </w:pPr>
      <w:r>
        <w:t xml:space="preserve">Central question and contribution</w:t>
      </w:r>
    </w:p>
    <w:p>
      <w:pPr>
        <w:pStyle w:val="FirstParagraph"/>
      </w:pPr>
      <w:r>
        <w:t xml:space="preserve">Central question: what do people need, who can participate, and who benefits?</w:t>
      </w:r>
    </w:p>
    <w:p>
      <w:pPr>
        <w:pStyle w:val="BodyText"/>
      </w:pPr>
      <w:r>
        <w:t xml:space="preserve">Contribution: an account of public priorities, experiences, and exclusion.</w:t>
      </w:r>
    </w:p>
    <w:p>
      <w:pPr>
        <w:pStyle w:val="BodyText"/>
      </w:pPr>
      <w:r>
        <w:t xml:space="preserve">This volume explores public priorities and experiences, including awareness, use,</w:t>
      </w:r>
      <w:r>
        <w:t xml:space="preserve"> </w:t>
      </w:r>
      <w:r>
        <w:t xml:space="preserve">trust, language, and access. A citizen survey instrument provides a substantial</w:t>
      </w:r>
      <w:r>
        <w:t xml:space="preserve"> </w:t>
      </w:r>
      <w:r>
        <w:t xml:space="preserve">starting point that can be adapted to the populations and questions selected. The</w:t>
      </w:r>
      <w:r>
        <w:t xml:space="preserve"> </w:t>
      </w:r>
      <w:r>
        <w:t xml:space="preserve">study reaches beyond professional communities to include people with limited digital</w:t>
      </w:r>
      <w:r>
        <w:t xml:space="preserve"> </w:t>
      </w:r>
      <w:r>
        <w:t xml:space="preserve">access and those affected by AI through the services they use, without necessarily</w:t>
      </w:r>
      <w:r>
        <w:t xml:space="preserve"> </w:t>
      </w:r>
      <w:r>
        <w:t xml:space="preserve">using AI themselves. The chapter brings together public priorities, differences in</w:t>
      </w:r>
      <w:r>
        <w:t xml:space="preserve"> </w:t>
      </w:r>
      <w:r>
        <w:t xml:space="preserve">experience, and barriers to participation, and connects discussions of technology and</w:t>
      </w:r>
      <w:r>
        <w:t xml:space="preserve"> </w:t>
      </w:r>
      <w:r>
        <w:t xml:space="preserve">institutions with the needs and experiences of the people they are intended to serve.</w:t>
      </w:r>
    </w:p>
    <w:bookmarkEnd w:id="21"/>
    <w:bookmarkStart w:id="22" w:name="awareness-and-trust"/>
    <w:p>
      <w:pPr>
        <w:pStyle w:val="Heading1"/>
      </w:pPr>
      <w:r>
        <w:t xml:space="preserve">1. Awareness and trust</w:t>
      </w:r>
    </w:p>
    <w:p>
      <w:pPr>
        <w:pStyle w:val="Compact"/>
        <w:numPr>
          <w:ilvl w:val="0"/>
          <w:numId w:val="1001"/>
        </w:numPr>
      </w:pPr>
      <w:r>
        <w:t xml:space="preserve">Survey data: ZC1 and ZC3 (whether the respondent has heard of artificial</w:t>
      </w:r>
      <w:r>
        <w:t xml:space="preserve"> </w:t>
      </w:r>
      <w:r>
        <w:t xml:space="preserve">intelligence, and whether they have ever used a tool like it themselves) are the</w:t>
      </w:r>
      <w:r>
        <w:t xml:space="preserve"> </w:t>
      </w:r>
      <w:r>
        <w:t xml:space="preserve">baseline awareness and use measures for the general public.</w:t>
      </w:r>
    </w:p>
    <w:p>
      <w:pPr>
        <w:pStyle w:val="Compact"/>
        <w:numPr>
          <w:ilvl w:val="0"/>
          <w:numId w:val="1001"/>
        </w:numPr>
      </w:pPr>
      <w:r>
        <w:t xml:space="preserve">Survey data: ZD1 (how much the respondent would trust each of a list of actors to</w:t>
      </w:r>
      <w:r>
        <w:t xml:space="preserve"> </w:t>
      </w:r>
      <w:r>
        <w:t xml:space="preserve">handle their personal information properly), ZD4 (whether they think AI will be</w:t>
      </w:r>
      <w:r>
        <w:t xml:space="preserve"> </w:t>
      </w:r>
      <w:r>
        <w:t xml:space="preserve">good or bad for people like them in Ethiopia), and ZD5 (whether they think the</w:t>
      </w:r>
      <w:r>
        <w:t xml:space="preserve"> </w:t>
      </w:r>
      <w:r>
        <w:t xml:space="preserve">government currently has a clear plan for AI) are the core trust measures.</w:t>
      </w:r>
    </w:p>
    <w:p>
      <w:pPr>
        <w:pStyle w:val="Compact"/>
        <w:numPr>
          <w:ilvl w:val="0"/>
          <w:numId w:val="1001"/>
        </w:numPr>
      </w:pPr>
      <w:r>
        <w:t xml:space="preserve">Survey data: ZD6 (who the respondent thinks should mainly decide the rules for how</w:t>
      </w:r>
      <w:r>
        <w:t xml:space="preserve"> </w:t>
      </w:r>
      <w:r>
        <w:t xml:space="preserve">AI is used in Ethiopia) connects public trust directly to the legitimacy question</w:t>
      </w:r>
      <w:r>
        <w:t xml:space="preserve"> </w:t>
      </w:r>
      <w:r>
        <w:t xml:space="preserve">Volume IV will also need.</w:t>
      </w:r>
    </w:p>
    <w:p>
      <w:pPr>
        <w:pStyle w:val="Compact"/>
        <w:numPr>
          <w:ilvl w:val="0"/>
          <w:numId w:val="1001"/>
        </w:numPr>
      </w:pPr>
      <w:r>
        <w:t xml:space="preserve">Existing paper content: paper/chapters/05-challenges.tex, section</w:t>
      </w:r>
      <w:r>
        <w:t xml:space="preserve"> </w:t>
      </w:r>
      <w:r>
        <w:t xml:space="preserve">“Visibility”</w:t>
      </w:r>
      <w:r>
        <w:t xml:space="preserve">,</w:t>
      </w:r>
      <w:r>
        <w:t xml:space="preserve"> </w:t>
      </w:r>
      <w:r>
        <w:t xml:space="preserve">discusses organizations that cannot see what their own staff are doing with AI</w:t>
      </w:r>
      <w:r>
        <w:t xml:space="preserve"> </w:t>
      </w:r>
      <w:r>
        <w:t xml:space="preserve">tools; the public-trust angle of the same problem, whether people trust institutions</w:t>
      </w:r>
      <w:r>
        <w:t xml:space="preserve"> </w:t>
      </w:r>
      <w:r>
        <w:t xml:space="preserve">to know what is being done with their data, is this section’s citizen-level</w:t>
      </w:r>
      <w:r>
        <w:t xml:space="preserve"> </w:t>
      </w:r>
      <w:r>
        <w:t xml:space="preserve">counterpart and is not yet covered in the paper.</w:t>
      </w:r>
    </w:p>
    <w:p>
      <w:pPr>
        <w:pStyle w:val="Compact"/>
        <w:numPr>
          <w:ilvl w:val="0"/>
          <w:numId w:val="1001"/>
        </w:numPr>
      </w:pPr>
      <w:r>
        <w:t xml:space="preserve">Existing paper content: paper/chapters/05-challenges.tex, section</w:t>
      </w:r>
      <w:r>
        <w:t xml:space="preserve"> </w:t>
      </w:r>
      <w:r>
        <w:t xml:space="preserve">“Ethical, rights</w:t>
      </w:r>
      <w:r>
        <w:t xml:space="preserve"> </w:t>
      </w:r>
      <w:r>
        <w:t xml:space="preserve">and political-economy risks”</w:t>
      </w:r>
      <w:r>
        <w:t xml:space="preserve">, names the surveillance-first framing of the national</w:t>
      </w:r>
      <w:r>
        <w:t xml:space="preserve"> </w:t>
      </w:r>
      <w:r>
        <w:t xml:space="preserve">AI policy and the risk that automated content moderation falls hardest on speakers</w:t>
      </w:r>
      <w:r>
        <w:t xml:space="preserve"> </w:t>
      </w:r>
      <w:r>
        <w:t xml:space="preserve">of the least-resourced languages. Both are directly relevant to why public trust</w:t>
      </w:r>
      <w:r>
        <w:t xml:space="preserve"> </w:t>
      </w:r>
      <w:r>
        <w:t xml:space="preserve">may be low and should be read alongside the ZD data once fielded.</w:t>
      </w:r>
    </w:p>
    <w:p>
      <w:pPr>
        <w:pStyle w:val="Compact"/>
        <w:numPr>
          <w:ilvl w:val="0"/>
          <w:numId w:val="1001"/>
        </w:numPr>
      </w:pPr>
      <w:r>
        <w:t xml:space="preserve">Resource: partner-oxford-insights-government-ai-readiness-index-2024.pdf benchmarks</w:t>
      </w:r>
      <w:r>
        <w:t xml:space="preserve"> </w:t>
      </w:r>
      <w:r>
        <w:t xml:space="preserve">government AI readiness, including dimensions that bear on public trust and</w:t>
      </w:r>
      <w:r>
        <w:t xml:space="preserve"> </w:t>
      </w:r>
      <w:r>
        <w:t xml:space="preserve">transparency, against other countries.</w:t>
      </w:r>
    </w:p>
    <w:p>
      <w:pPr>
        <w:pStyle w:val="Compact"/>
        <w:numPr>
          <w:ilvl w:val="0"/>
          <w:numId w:val="1001"/>
        </w:numPr>
      </w:pPr>
      <w:r>
        <w:t xml:space="preserve">Resource: partner-uneca-addis-ababa-declaration-ai-governance-2026.pdf and</w:t>
      </w:r>
      <w:r>
        <w:t xml:space="preserve"> </w:t>
      </w:r>
      <w:r>
        <w:t xml:space="preserve">partner-uneca-regional-dialogue-ai-governance-africa-report-2026.pdf document the</w:t>
      </w:r>
      <w:r>
        <w:t xml:space="preserve"> </w:t>
      </w:r>
      <w:r>
        <w:t xml:space="preserve">regional governance conversation this volume’s trust findings would sit within.</w:t>
      </w:r>
    </w:p>
    <w:p>
      <w:pPr>
        <w:pStyle w:val="Compact"/>
        <w:numPr>
          <w:ilvl w:val="0"/>
          <w:numId w:val="1001"/>
        </w:numPr>
      </w:pPr>
      <w:r>
        <w:t xml:space="preserve">Gap: there is no existing Ethiopian survey or study measuring public trust in AI</w:t>
      </w:r>
      <w:r>
        <w:t xml:space="preserve"> </w:t>
      </w:r>
      <w:r>
        <w:t xml:space="preserve">specifically (as opposed to trust in government or in digital services generally).</w:t>
      </w:r>
      <w:r>
        <w:t xml:space="preserve"> </w:t>
      </w:r>
      <w:r>
        <w:t xml:space="preserve">The ZD section of the fielded survey will be the first direct evidence; until it is</w:t>
      </w:r>
      <w:r>
        <w:t xml:space="preserve"> </w:t>
      </w:r>
      <w:r>
        <w:t xml:space="preserve">fielded this is a genuine gap. Workstream: Professional perspectives and survey</w:t>
      </w:r>
      <w:r>
        <w:t xml:space="preserve"> </w:t>
      </w:r>
      <w:r>
        <w:t xml:space="preserve">research.</w:t>
      </w:r>
    </w:p>
    <w:bookmarkEnd w:id="22"/>
    <w:bookmarkStart w:id="23" w:name="language-and-access"/>
    <w:p>
      <w:pPr>
        <w:pStyle w:val="Heading1"/>
      </w:pPr>
      <w:r>
        <w:t xml:space="preserve">2. Language and access</w:t>
      </w:r>
    </w:p>
    <w:p>
      <w:pPr>
        <w:pStyle w:val="Compact"/>
        <w:numPr>
          <w:ilvl w:val="0"/>
          <w:numId w:val="1002"/>
        </w:numPr>
      </w:pPr>
      <w:r>
        <w:t xml:space="preserve">Survey data: L1 to L4 (the languages an organization serves people in, how well the</w:t>
      </w:r>
      <w:r>
        <w:t xml:space="preserve"> </w:t>
      </w:r>
      <w:r>
        <w:t xml:space="preserve">AI or digital tools available to it work in those languages, whether the lack of</w:t>
      </w:r>
      <w:r>
        <w:t xml:space="preserve"> </w:t>
      </w:r>
      <w:r>
        <w:t xml:space="preserve">Ethiopian-language support has ever prevented adoption, and which language</w:t>
      </w:r>
      <w:r>
        <w:t xml:space="preserve"> </w:t>
      </w:r>
      <w:r>
        <w:t xml:space="preserve">technologies would be most valuable) give the organizational side of the language</w:t>
      </w:r>
      <w:r>
        <w:t xml:space="preserve"> </w:t>
      </w:r>
      <w:r>
        <w:t xml:space="preserve">gap.</w:t>
      </w:r>
    </w:p>
    <w:p>
      <w:pPr>
        <w:pStyle w:val="Compact"/>
        <w:numPr>
          <w:ilvl w:val="0"/>
          <w:numId w:val="1002"/>
        </w:numPr>
      </w:pPr>
      <w:r>
        <w:t xml:space="preserve">Survey data: PD1 to PD4 (which languages a practitioner speaks fluently, which</w:t>
      </w:r>
      <w:r>
        <w:t xml:space="preserve"> </w:t>
      </w:r>
      <w:r>
        <w:t xml:space="preserve">language they usually work with AI tools in, how well AI tools perform in an</w:t>
      </w:r>
      <w:r>
        <w:t xml:space="preserve"> </w:t>
      </w:r>
      <w:r>
        <w:t xml:space="preserve">Ethiopian language, and whether having to work in English rather than their first</w:t>
      </w:r>
      <w:r>
        <w:t xml:space="preserve"> </w:t>
      </w:r>
      <w:r>
        <w:t xml:space="preserve">language has limited their work or learning) give the practitioner side.</w:t>
      </w:r>
    </w:p>
    <w:p>
      <w:pPr>
        <w:pStyle w:val="Compact"/>
        <w:numPr>
          <w:ilvl w:val="0"/>
          <w:numId w:val="1002"/>
        </w:numPr>
      </w:pPr>
      <w:r>
        <w:t xml:space="preserve">Survey data: ZC5 and ZC6 (which language the citizen respondent used an AI tool in,</w:t>
      </w:r>
      <w:r>
        <w:t xml:space="preserve"> </w:t>
      </w:r>
      <w:r>
        <w:t xml:space="preserve">and how well it worked in that Ethiopian language) give the citizen side of the</w:t>
      </w:r>
      <w:r>
        <w:t xml:space="preserve"> </w:t>
      </w:r>
      <w:r>
        <w:t xml:space="preserve">same question.</w:t>
      </w:r>
    </w:p>
    <w:p>
      <w:pPr>
        <w:pStyle w:val="Compact"/>
        <w:numPr>
          <w:ilvl w:val="0"/>
          <w:numId w:val="1002"/>
        </w:numPr>
      </w:pPr>
      <w:r>
        <w:t xml:space="preserve">Existing paper content: paper/chapters/04-value-creation.tex, section</w:t>
      </w:r>
      <w:r>
        <w:t xml:space="preserve"> </w:t>
      </w:r>
      <w:r>
        <w:t xml:space="preserve">“Languages</w:t>
      </w:r>
      <w:r>
        <w:t xml:space="preserve"> </w:t>
      </w:r>
      <w:r>
        <w:t xml:space="preserve">and cultural heritage: Ethiopia’s differentiated bet”</w:t>
      </w:r>
      <w:r>
        <w:t xml:space="preserve">, is the strongest existing</w:t>
      </w:r>
      <w:r>
        <w:t xml:space="preserve"> </w:t>
      </w:r>
      <w:r>
        <w:t xml:space="preserve">paper material for this volume. It argues that for a country with roughly</w:t>
      </w:r>
      <w:r>
        <w:t xml:space="preserve"> </w:t>
      </w:r>
      <w:r>
        <w:t xml:space="preserve">eighty-five languages, language technology is the access layer for every other AI</w:t>
      </w:r>
      <w:r>
        <w:t xml:space="preserve"> </w:t>
      </w:r>
      <w:r>
        <w:t xml:space="preserve">service, and that this is the one area where Ethiopia can plausibly lead rather than</w:t>
      </w:r>
      <w:r>
        <w:t xml:space="preserve"> </w:t>
      </w:r>
      <w:r>
        <w:t xml:space="preserve">follow because the domestic research capability already exists. This section should</w:t>
      </w:r>
      <w:r>
        <w:t xml:space="preserve"> </w:t>
      </w:r>
      <w:r>
        <w:t xml:space="preserve">be read in full before drafting.</w:t>
      </w:r>
    </w:p>
    <w:p>
      <w:pPr>
        <w:pStyle w:val="Compact"/>
        <w:numPr>
          <w:ilvl w:val="0"/>
          <w:numId w:val="1002"/>
        </w:numPr>
      </w:pPr>
      <w:r>
        <w:t xml:space="preserve">Resource: research-nlp-ethiopian-languages-survey-2023.pdf and</w:t>
      </w:r>
      <w:r>
        <w:t xml:space="preserve"> </w:t>
      </w:r>
      <w:r>
        <w:t xml:space="preserve">research-tigrinya-nlp-survey-2025.pdf survey the state of natural-language</w:t>
      </w:r>
      <w:r>
        <w:t xml:space="preserve"> </w:t>
      </w:r>
      <w:r>
        <w:t xml:space="preserve">processing for Ethiopian languages generally and for Tigrinya specifically.</w:t>
      </w:r>
    </w:p>
    <w:p>
      <w:pPr>
        <w:pStyle w:val="Compact"/>
        <w:numPr>
          <w:ilvl w:val="0"/>
          <w:numId w:val="1002"/>
        </w:numPr>
      </w:pPr>
      <w:r>
        <w:t xml:space="preserve">Resource: research-ethiollm-multilingual-llm-ethiopian-languages-2024.pdf,</w:t>
      </w:r>
      <w:r>
        <w:t xml:space="preserve"> </w:t>
      </w:r>
      <w:r>
        <w:t xml:space="preserve">research-lesan-machine-translation-low-resource-2021.pdf,</w:t>
      </w:r>
      <w:r>
        <w:t xml:space="preserve"> </w:t>
      </w:r>
      <w:r>
        <w:t xml:space="preserve">research-english-tigrinya-machine-translation-2025.pdf,</w:t>
      </w:r>
      <w:r>
        <w:t xml:space="preserve"> </w:t>
      </w:r>
      <w:r>
        <w:t xml:space="preserve">research-amharic-english-mt-systematic-review-2025.pdf, and</w:t>
      </w:r>
      <w:r>
        <w:t xml:space="preserve"> </w:t>
      </w:r>
      <w:r>
        <w:t xml:space="preserve">research-ethiomt-parallel-corpus-2024.pdf document specific language-technology</w:t>
      </w:r>
      <w:r>
        <w:t xml:space="preserve"> </w:t>
      </w:r>
      <w:r>
        <w:t xml:space="preserve">systems and resources (translation, multilingual models, parallel corpora) that can</w:t>
      </w:r>
      <w:r>
        <w:t xml:space="preserve"> </w:t>
      </w:r>
      <w:r>
        <w:t xml:space="preserve">be cited as evidence of what currently exists and at what quality.</w:t>
      </w:r>
    </w:p>
    <w:p>
      <w:pPr>
        <w:pStyle w:val="Compact"/>
        <w:numPr>
          <w:ilvl w:val="0"/>
          <w:numId w:val="1002"/>
        </w:numPr>
      </w:pPr>
      <w:r>
        <w:t xml:space="preserve">Resource: research-afaan-oromo-hate-speech-deep-learning-2022.pdf documents a</w:t>
      </w:r>
      <w:r>
        <w:t xml:space="preserve"> </w:t>
      </w:r>
      <w:r>
        <w:t xml:space="preserve">specific applied case (content classification in Afaan Oromo) directly relevant to</w:t>
      </w:r>
      <w:r>
        <w:t xml:space="preserve"> </w:t>
      </w:r>
      <w:r>
        <w:t xml:space="preserve">the moderation-risk point raised in the paper’s rights-risks section above.</w:t>
      </w:r>
    </w:p>
    <w:p>
      <w:pPr>
        <w:pStyle w:val="Compact"/>
        <w:numPr>
          <w:ilvl w:val="0"/>
          <w:numId w:val="1002"/>
        </w:numPr>
      </w:pPr>
      <w:r>
        <w:t xml:space="preserve">Resource: research-masakhane-participatory-mt-african-languages-2020.pdf documents a</w:t>
      </w:r>
      <w:r>
        <w:t xml:space="preserve"> </w:t>
      </w:r>
      <w:r>
        <w:t xml:space="preserve">participatory, community-driven approach to African-language machine translation,</w:t>
      </w:r>
      <w:r>
        <w:t xml:space="preserve"> </w:t>
      </w:r>
      <w:r>
        <w:t xml:space="preserve">useful as a comparative model for how language-technology development could involve</w:t>
      </w:r>
      <w:r>
        <w:t xml:space="preserve"> </w:t>
      </w:r>
      <w:r>
        <w:t xml:space="preserve">the communities whose language is being processed, rather than only extracting data</w:t>
      </w:r>
      <w:r>
        <w:t xml:space="preserve"> </w:t>
      </w:r>
      <w:r>
        <w:t xml:space="preserve">from them.</w:t>
      </w:r>
    </w:p>
    <w:p>
      <w:pPr>
        <w:pStyle w:val="Compact"/>
        <w:numPr>
          <w:ilvl w:val="0"/>
          <w:numId w:val="1002"/>
        </w:numPr>
      </w:pPr>
      <w:r>
        <w:t xml:space="preserve">Gap: none of the resource material above measures ordinary citizens’ actual</w:t>
      </w:r>
      <w:r>
        <w:t xml:space="preserve"> </w:t>
      </w:r>
      <w:r>
        <w:t xml:space="preserve">experience of language performance in the tools they use day to day; that is exactly</w:t>
      </w:r>
      <w:r>
        <w:t xml:space="preserve"> </w:t>
      </w:r>
      <w:r>
        <w:t xml:space="preserve">what ZC5 and ZC6 are designed to supply once fielded. Workstream: Professional</w:t>
      </w:r>
      <w:r>
        <w:t xml:space="preserve"> </w:t>
      </w:r>
      <w:r>
        <w:t xml:space="preserve">perspectives and survey research.</w:t>
      </w:r>
    </w:p>
    <w:bookmarkEnd w:id="23"/>
    <w:bookmarkStart w:id="24" w:name="exclusion-and-barriers"/>
    <w:p>
      <w:pPr>
        <w:pStyle w:val="Heading1"/>
      </w:pPr>
      <w:r>
        <w:t xml:space="preserve">3. Exclusion and barriers</w:t>
      </w:r>
    </w:p>
    <w:p>
      <w:pPr>
        <w:pStyle w:val="Compact"/>
        <w:numPr>
          <w:ilvl w:val="0"/>
          <w:numId w:val="1003"/>
        </w:numPr>
      </w:pPr>
      <w:r>
        <w:t xml:space="preserve">Survey data: L5 (whether the organization takes specific steps to ensure digital</w:t>
      </w:r>
      <w:r>
        <w:t xml:space="preserve"> </w:t>
      </w:r>
      <w:r>
        <w:t xml:space="preserve">services reach people with disabilities) is the only disability-related question in</w:t>
      </w:r>
      <w:r>
        <w:t xml:space="preserve"> </w:t>
      </w:r>
      <w:r>
        <w:t xml:space="preserve">the sections mapped to this volume, and it is asked only on the organizational side.</w:t>
      </w:r>
    </w:p>
    <w:p>
      <w:pPr>
        <w:pStyle w:val="Compact"/>
        <w:numPr>
          <w:ilvl w:val="0"/>
          <w:numId w:val="1003"/>
        </w:numPr>
      </w:pPr>
      <w:r>
        <w:t xml:space="preserve">Survey data: ZD7 (which decisions a respondent thinks a computer should never make</w:t>
      </w:r>
      <w:r>
        <w:t xml:space="preserve"> </w:t>
      </w:r>
      <w:r>
        <w:t xml:space="preserve">on its own, without a person checking) is a contestability measure that doubles as</w:t>
      </w:r>
      <w:r>
        <w:t xml:space="preserve"> </w:t>
      </w:r>
      <w:r>
        <w:t xml:space="preserve">an exclusion indicator: it shows which groups of decisions people feel unprotected</w:t>
      </w:r>
      <w:r>
        <w:t xml:space="preserve"> </w:t>
      </w:r>
      <w:r>
        <w:t xml:space="preserve">against.</w:t>
      </w:r>
    </w:p>
    <w:p>
      <w:pPr>
        <w:pStyle w:val="Compact"/>
        <w:numPr>
          <w:ilvl w:val="0"/>
          <w:numId w:val="1003"/>
        </w:numPr>
      </w:pPr>
      <w:r>
        <w:t xml:space="preserve">Survey data: ZE2 (what concerns the respondent most about AI, up to three) gives the</w:t>
      </w:r>
      <w:r>
        <w:t xml:space="preserve"> </w:t>
      </w:r>
      <w:r>
        <w:t xml:space="preserve">citizen-stated version of the exclusion and harm concerns this section discusses.</w:t>
      </w:r>
    </w:p>
    <w:p>
      <w:pPr>
        <w:pStyle w:val="Compact"/>
        <w:numPr>
          <w:ilvl w:val="0"/>
          <w:numId w:val="1003"/>
        </w:numPr>
      </w:pPr>
      <w:r>
        <w:t xml:space="preserve">Existing paper content: paper/chapters/05-challenges.tex, section</w:t>
      </w:r>
      <w:r>
        <w:t xml:space="preserve"> </w:t>
      </w:r>
      <w:r>
        <w:t xml:space="preserve">“Ethical, rights</w:t>
      </w:r>
      <w:r>
        <w:t xml:space="preserve"> </w:t>
      </w:r>
      <w:r>
        <w:t xml:space="preserve">and political-economy risks”</w:t>
      </w:r>
      <w:r>
        <w:t xml:space="preserve">, names bias against non-Amharic speakers and rural</w:t>
      </w:r>
      <w:r>
        <w:t xml:space="preserve"> </w:t>
      </w:r>
      <w:r>
        <w:t xml:space="preserve">populations, the disability access gap, and the gender gap as a set, citing the</w:t>
      </w:r>
      <w:r>
        <w:t xml:space="preserve"> </w:t>
      </w:r>
      <w:r>
        <w:t xml:space="preserve">organizational L5 question as the only direct measure available for the disability</w:t>
      </w:r>
      <w:r>
        <w:t xml:space="preserve"> </w:t>
      </w:r>
      <w:r>
        <w:t xml:space="preserve">point specifically.</w:t>
      </w:r>
    </w:p>
    <w:p>
      <w:pPr>
        <w:pStyle w:val="Compact"/>
        <w:numPr>
          <w:ilvl w:val="0"/>
          <w:numId w:val="1003"/>
        </w:numPr>
      </w:pPr>
      <w:r>
        <w:t xml:space="preserve">Resource: research-data-governance-ai-africa-trustworthy-2024.pdf discusses</w:t>
      </w:r>
      <w:r>
        <w:t xml:space="preserve"> </w:t>
      </w:r>
      <w:r>
        <w:t xml:space="preserve">trustworthy-AI and data-governance framing at a continental level, including</w:t>
      </w:r>
      <w:r>
        <w:t xml:space="preserve"> </w:t>
      </w:r>
      <w:r>
        <w:t xml:space="preserve">fairness and exclusion considerations, useful as comparative framing.</w:t>
      </w:r>
    </w:p>
    <w:p>
      <w:pPr>
        <w:pStyle w:val="Compact"/>
        <w:numPr>
          <w:ilvl w:val="0"/>
          <w:numId w:val="1003"/>
        </w:numPr>
      </w:pPr>
      <w:r>
        <w:t xml:space="preserve">Resource: research-ai-africa-bibliometric-2013-2022.pdf gives a continental</w:t>
      </w:r>
      <w:r>
        <w:t xml:space="preserve"> </w:t>
      </w:r>
      <w:r>
        <w:t xml:space="preserve">publication-volume baseline, useful only for establishing how little Ethiopia-specific</w:t>
      </w:r>
      <w:r>
        <w:t xml:space="preserve"> </w:t>
      </w:r>
      <w:r>
        <w:t xml:space="preserve">work exists on exclusion questions relative to the continent as a whole.</w:t>
      </w:r>
    </w:p>
    <w:p>
      <w:pPr>
        <w:pStyle w:val="Compact"/>
        <w:numPr>
          <w:ilvl w:val="0"/>
          <w:numId w:val="1003"/>
        </w:numPr>
      </w:pPr>
      <w:r>
        <w:t xml:space="preserve">Gap: there is no citizen-side disability question anywhere in the fielded</w:t>
      </w:r>
      <w:r>
        <w:t xml:space="preserve"> </w:t>
      </w:r>
      <w:r>
        <w:t xml:space="preserve">questionnaire (ZB through ZE), and no gender-disaggregated question beyond whatever</w:t>
      </w:r>
      <w:r>
        <w:t xml:space="preserve"> </w:t>
      </w:r>
      <w:r>
        <w:t xml:space="preserve">demographic fields exist in the citizen</w:t>
      </w:r>
      <w:r>
        <w:t xml:space="preserve"> </w:t>
      </w:r>
      <w:r>
        <w:t xml:space="preserve">“about you”</w:t>
      </w:r>
      <w:r>
        <w:t xml:space="preserve"> </w:t>
      </w:r>
      <w:r>
        <w:t xml:space="preserve">section. Both are real gaps the</w:t>
      </w:r>
      <w:r>
        <w:t xml:space="preserve"> </w:t>
      </w:r>
      <w:r>
        <w:t xml:space="preserve">current instrument does not close. Workstream: Professional perspectives and survey</w:t>
      </w:r>
      <w:r>
        <w:t xml:space="preserve"> </w:t>
      </w:r>
      <w:r>
        <w:t xml:space="preserve">research, for any future revision of the citizen instrument; in the meantime, the</w:t>
      </w:r>
      <w:r>
        <w:t xml:space="preserve"> </w:t>
      </w:r>
      <w:r>
        <w:t xml:space="preserve">organizational L5 question and qualitative follow-up (targeted interviews or focus</w:t>
      </w:r>
      <w:r>
        <w:t xml:space="preserve"> </w:t>
      </w:r>
      <w:r>
        <w:t xml:space="preserve">groups with people with disabilities and with women in underrepresented regions)</w:t>
      </w:r>
      <w:r>
        <w:t xml:space="preserve"> </w:t>
      </w:r>
      <w:r>
        <w:t xml:space="preserve">would need to carry this section. Workstream for the qualitative follow-up:</w:t>
      </w:r>
      <w:r>
        <w:t xml:space="preserve"> </w:t>
      </w:r>
      <w:r>
        <w:t xml:space="preserve">Research coordination and synthesis.</w:t>
      </w:r>
    </w:p>
    <w:bookmarkEnd w:id="24"/>
    <w:bookmarkStart w:id="25" w:name="reaching-offline-populations"/>
    <w:p>
      <w:pPr>
        <w:pStyle w:val="Heading1"/>
      </w:pPr>
      <w:r>
        <w:t xml:space="preserve">4. Reaching offline populations</w:t>
      </w:r>
    </w:p>
    <w:p>
      <w:pPr>
        <w:pStyle w:val="Compact"/>
        <w:numPr>
          <w:ilvl w:val="0"/>
          <w:numId w:val="1004"/>
        </w:numPr>
      </w:pPr>
      <w:r>
        <w:t xml:space="preserve">Survey data: ZB1 to ZB4 (what kind of phone the respondent uses, how often they use</w:t>
      </w:r>
      <w:r>
        <w:t xml:space="preserve"> </w:t>
      </w:r>
      <w:r>
        <w:t xml:space="preserve">the internet, which digital services they use, and the biggest problem with using</w:t>
      </w:r>
      <w:r>
        <w:t xml:space="preserve"> </w:t>
      </w:r>
      <w:r>
        <w:t xml:space="preserve">the internet where they live) are the direct measures of this section’s subject.</w:t>
      </w:r>
    </w:p>
    <w:p>
      <w:pPr>
        <w:pStyle w:val="Compact"/>
        <w:numPr>
          <w:ilvl w:val="0"/>
          <w:numId w:val="1004"/>
        </w:numPr>
      </w:pPr>
      <w:r>
        <w:t xml:space="preserve">Survey data: ZE1 and ZE3 (where the respondent thinks this technology would help</w:t>
      </w:r>
      <w:r>
        <w:t xml:space="preserve"> </w:t>
      </w:r>
      <w:r>
        <w:t xml:space="preserve">them most, and whether they would want to learn to use these tools if free training</w:t>
      </w:r>
      <w:r>
        <w:t xml:space="preserve"> </w:t>
      </w:r>
      <w:r>
        <w:t xml:space="preserve">were available in their own language) describe what engagement with offline or</w:t>
      </w:r>
      <w:r>
        <w:t xml:space="preserve"> </w:t>
      </w:r>
      <w:r>
        <w:t xml:space="preserve">low-connectivity populations should be designed around.</w:t>
      </w:r>
    </w:p>
    <w:p>
      <w:pPr>
        <w:pStyle w:val="Compact"/>
        <w:numPr>
          <w:ilvl w:val="0"/>
          <w:numId w:val="1004"/>
        </w:numPr>
      </w:pPr>
      <w:r>
        <w:t xml:space="preserve">Existing paper content: paper/chapters/04-value-creation.tex, section</w:t>
      </w:r>
      <w:r>
        <w:t xml:space="preserve"> </w:t>
      </w:r>
      <w:r>
        <w:t xml:space="preserve">“Connectivity”</w:t>
      </w:r>
      <w:r>
        <w:t xml:space="preserve">, states that with internet penetration around 21.7 percent, a</w:t>
      </w:r>
      <w:r>
        <w:t xml:space="preserve"> </w:t>
      </w:r>
      <w:r>
        <w:t xml:space="preserve">33-point rural-urban gap, and a 12-point gender gap, a public AI service that</w:t>
      </w:r>
      <w:r>
        <w:t xml:space="preserve"> </w:t>
      </w:r>
      <w:r>
        <w:t xml:space="preserve">requires broadband and an app reaches only a minority of the population, and argues</w:t>
      </w:r>
      <w:r>
        <w:t xml:space="preserve"> </w:t>
      </w:r>
      <w:r>
        <w:t xml:space="preserve">that public AI services should be required to work over SMS, USSD, IVR, and</w:t>
      </w:r>
      <w:r>
        <w:t xml:space="preserve"> </w:t>
      </w:r>
      <w:r>
        <w:t xml:space="preserve">Telegram. This is the clearest existing statement of why this section matters and</w:t>
      </w:r>
      <w:r>
        <w:t xml:space="preserve"> </w:t>
      </w:r>
      <w:r>
        <w:t xml:space="preserve">should frame it.</w:t>
      </w:r>
    </w:p>
    <w:p>
      <w:pPr>
        <w:pStyle w:val="Compact"/>
        <w:numPr>
          <w:ilvl w:val="0"/>
          <w:numId w:val="1004"/>
        </w:numPr>
      </w:pPr>
      <w:r>
        <w:t xml:space="preserve">Existing paper content: paper/chapters/05-challenges.tex, section</w:t>
      </w:r>
      <w:r>
        <w:t xml:space="preserve"> </w:t>
      </w:r>
      <w:r>
        <w:t xml:space="preserve">“Fragility and</w:t>
      </w:r>
      <w:r>
        <w:t xml:space="preserve"> </w:t>
      </w:r>
      <w:r>
        <w:t xml:space="preserve">conflict”</w:t>
      </w:r>
      <w:r>
        <w:t xml:space="preserve">, notes that implementing national digital infrastructure during active</w:t>
      </w:r>
      <w:r>
        <w:t xml:space="preserve"> </w:t>
      </w:r>
      <w:r>
        <w:t xml:space="preserve">conflict recovery, internal displacement, and periodic network shutdowns is a</w:t>
      </w:r>
      <w:r>
        <w:t xml:space="preserve"> </w:t>
      </w:r>
      <w:r>
        <w:t xml:space="preserve">recurring condition in Ethiopia rather than an edge case, and that the research</w:t>
      </w:r>
      <w:r>
        <w:t xml:space="preserve"> </w:t>
      </w:r>
      <w:r>
        <w:t xml:space="preserve">design should keep instruments offline-capable, keep field scheduling flexible, and</w:t>
      </w:r>
      <w:r>
        <w:t xml:space="preserve"> </w:t>
      </w:r>
      <w:r>
        <w:t xml:space="preserve">report excluded areas explicitly rather than omitting them silently. This is</w:t>
      </w:r>
      <w:r>
        <w:t xml:space="preserve"> </w:t>
      </w:r>
      <w:r>
        <w:t xml:space="preserve">directly a fieldwork design point for this volume, not only a background</w:t>
      </w:r>
      <w:r>
        <w:t xml:space="preserve"> </w:t>
      </w:r>
      <w:r>
        <w:t xml:space="preserve">observation.</w:t>
      </w:r>
    </w:p>
    <w:p>
      <w:pPr>
        <w:pStyle w:val="Compact"/>
        <w:numPr>
          <w:ilvl w:val="0"/>
          <w:numId w:val="1004"/>
        </w:numPr>
      </w:pPr>
      <w:r>
        <w:t xml:space="preserve">Resource: gov-digital-ethiopia-2030-strategy.pdf and gov-digital-ethiopia-2025-strategy.pdf</w:t>
      </w:r>
      <w:r>
        <w:t xml:space="preserve"> </w:t>
      </w:r>
      <w:r>
        <w:t xml:space="preserve">give the government’s own baseline connectivity, electricity access, and mobile</w:t>
      </w:r>
      <w:r>
        <w:t xml:space="preserve"> </w:t>
      </w:r>
      <w:r>
        <w:t xml:space="preserve">penetration figures to check the survey sample against.</w:t>
      </w:r>
    </w:p>
    <w:p>
      <w:pPr>
        <w:pStyle w:val="Compact"/>
        <w:numPr>
          <w:ilvl w:val="0"/>
          <w:numId w:val="1004"/>
        </w:numPr>
      </w:pPr>
      <w:r>
        <w:t xml:space="preserve">Resource: gov-ethio-telecom-annual-report-fy2024-25.pdf and</w:t>
      </w:r>
      <w:r>
        <w:t xml:space="preserve"> </w:t>
      </w:r>
      <w:r>
        <w:t xml:space="preserve">ecosystem-gsma-ethiopia-digital-economy-2024.pdf give network-operator and</w:t>
      </w:r>
      <w:r>
        <w:t xml:space="preserve"> </w:t>
      </w:r>
      <w:r>
        <w:t xml:space="preserve">industry-level connectivity data.</w:t>
      </w:r>
    </w:p>
    <w:p>
      <w:pPr>
        <w:pStyle w:val="Compact"/>
        <w:numPr>
          <w:ilvl w:val="0"/>
          <w:numId w:val="1004"/>
        </w:numPr>
      </w:pPr>
      <w:r>
        <w:t xml:space="preserve">Gap: the sampling and outreach method for reaching people who are offline,</w:t>
      </w:r>
      <w:r>
        <w:t xml:space="preserve"> </w:t>
      </w:r>
      <w:r>
        <w:t xml:space="preserve">non-literate, or displaced is not yet defined; it depends on fieldwork design</w:t>
      </w:r>
      <w:r>
        <w:t xml:space="preserve"> </w:t>
      </w:r>
      <w:r>
        <w:t xml:space="preserve">decisions that have not been made (which locations, languages, and groups to</w:t>
      </w:r>
      <w:r>
        <w:t xml:space="preserve"> </w:t>
      </w:r>
      <w:r>
        <w:t xml:space="preserve">include, and how to reach people less likely to participate online). Workstream:</w:t>
      </w:r>
      <w:r>
        <w:t xml:space="preserve"> </w:t>
      </w:r>
      <w:r>
        <w:t xml:space="preserve">Professional perspectives and survey research.</w:t>
      </w:r>
    </w:p>
    <w:bookmarkEnd w:id="25"/>
    <w:bookmarkStart w:id="26" w:name="X8a3cd280b66eba6675599d93398c24fcf7b4872"/>
    <w:p>
      <w:pPr>
        <w:pStyle w:val="Heading1"/>
      </w:pPr>
      <w:r>
        <w:t xml:space="preserve">What this volume depends on from earlier volumes</w:t>
      </w:r>
    </w:p>
    <w:p>
      <w:pPr>
        <w:pStyle w:val="FirstParagraph"/>
      </w:pPr>
      <w:r>
        <w:t xml:space="preserve">This volume would build on any opinion research already included in Volume I’s</w:t>
      </w:r>
      <w:r>
        <w:t xml:space="preserve"> </w:t>
      </w:r>
      <w:r>
        <w:t xml:space="preserve">landscape assessment, giving these questions more sustained attention than a</w:t>
      </w:r>
      <w:r>
        <w:t xml:space="preserve"> </w:t>
      </w:r>
      <w:r>
        <w:t xml:space="preserve">landscape-level pass can. Where Volume I reports any citizen or public-opinion</w:t>
      </w:r>
      <w:r>
        <w:t xml:space="preserve"> </w:t>
      </w:r>
      <w:r>
        <w:t xml:space="preserve">findings (its citizen-branch coverage is limited to one section), this volume should</w:t>
      </w:r>
      <w:r>
        <w:t xml:space="preserve"> </w:t>
      </w:r>
      <w:r>
        <w:t xml:space="preserve">cite them directly rather than re-collecting the same ground. The scale of this</w:t>
      </w:r>
      <w:r>
        <w:t xml:space="preserve"> </w:t>
      </w:r>
      <w:r>
        <w:t xml:space="preserve">volume’s own study, and the strength of the claims it can support, depends on the</w:t>
      </w:r>
      <w:r>
        <w:t xml:space="preserve"> </w:t>
      </w:r>
      <w:r>
        <w:t xml:space="preserve">fieldwork design and resources actually available, which is itself an open design</w:t>
      </w:r>
      <w:r>
        <w:t xml:space="preserve"> </w:t>
      </w:r>
      <w:r>
        <w:t xml:space="preserve">question rather than a settled input.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III: Public Priorities, Language, and Access</dc:title>
  <dc:creator/>
  <cp:keywords/>
  <dcterms:created xsi:type="dcterms:W3CDTF">2026-10-01T20:14:35Z</dcterms:created>
  <dcterms:modified xsi:type="dcterms:W3CDTF">2026-10-01T20:14:35Z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Chapter template and evidence map</vt:lpwstr>
  </property>
</Properties>
</file>