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Volume IV: Institutional and Investment Choices</w:t>
      </w:r>
    </w:p>
    <w:p>
      <w:pPr>
        <w:pStyle w:val="Subtitle"/>
      </w:pPr>
      <w:r>
        <w:t xml:space="preserve">Chapter template and evidence map</w:t>
      </w:r>
    </w:p>
    <w:bookmarkStart w:id="20" w:name="purpose-of-this-document"/>
    <w:p>
      <w:pPr>
        <w:pStyle w:val="Heading1"/>
      </w:pPr>
      <w:r>
        <w:t xml:space="preserve">Purpose of this document</w:t>
      </w:r>
    </w:p>
    <w:p>
      <w:pPr>
        <w:pStyle w:val="FirstParagraph"/>
      </w:pPr>
      <w:r>
        <w:t xml:space="preserve">This is a chapter template, not a draft. Each topic section lists the points the</w:t>
      </w:r>
      <w:r>
        <w:t xml:space="preserve"> </w:t>
      </w:r>
      <w:r>
        <w:t xml:space="preserve">chapter needs to cover and where the supporting evidence is expected to come from:</w:t>
      </w:r>
      <w:r>
        <w:t xml:space="preserve"> </w:t>
      </w:r>
      <w:r>
        <w:t xml:space="preserve">existing paper content, fielded survey data (by question id), or a named evidence gap</w:t>
      </w:r>
      <w:r>
        <w:t xml:space="preserve"> </w:t>
      </w:r>
      <w:r>
        <w:t xml:space="preserve">with the workstream that would plausibly close it. As with Volume III, this volume has</w:t>
      </w:r>
      <w:r>
        <w:t xml:space="preserve"> </w:t>
      </w:r>
      <w:r>
        <w:t xml:space="preserve">less existing paper narrative to draw on than Volume II; its strongest existing source</w:t>
      </w:r>
      <w:r>
        <w:t xml:space="preserve"> </w:t>
      </w:r>
      <w:r>
        <w:t xml:space="preserve">is the recommendations chapter of the academic paper, and several sections depend on</w:t>
      </w:r>
      <w:r>
        <w:t xml:space="preserve"> </w:t>
      </w:r>
      <w:r>
        <w:t xml:space="preserve">survey data, resource documents, and costing work that do not exist yet.</w:t>
      </w:r>
    </w:p>
    <w:bookmarkEnd w:id="20"/>
    <w:bookmarkStart w:id="21" w:name="central-question-and-contribution"/>
    <w:p>
      <w:pPr>
        <w:pStyle w:val="Heading1"/>
      </w:pPr>
      <w:r>
        <w:t xml:space="preserve">Central question and contribution</w:t>
      </w:r>
    </w:p>
    <w:p>
      <w:pPr>
        <w:pStyle w:val="FirstParagraph"/>
      </w:pPr>
      <w:r>
        <w:t xml:space="preserve">Central question: which arrangements and investments are justified by the evidence?</w:t>
      </w:r>
    </w:p>
    <w:p>
      <w:pPr>
        <w:pStyle w:val="BodyText"/>
      </w:pPr>
      <w:r>
        <w:t xml:space="preserve">Contribution: an assessment of policy options, costs, and tradeoffs.</w:t>
      </w:r>
    </w:p>
    <w:p>
      <w:pPr>
        <w:pStyle w:val="BodyText"/>
      </w:pPr>
      <w:r>
        <w:t xml:space="preserve">This volume considers institutional and investment choices in light of the earlier</w:t>
      </w:r>
      <w:r>
        <w:t xml:space="preserve"> </w:t>
      </w:r>
      <w:r>
        <w:t xml:space="preserve">studies. Prior work on governance, infrastructure, data, and value creation offers a</w:t>
      </w:r>
      <w:r>
        <w:t xml:space="preserve"> </w:t>
      </w:r>
      <w:r>
        <w:t xml:space="preserve">set of questions and options to examine. Topics include institutional roles, support</w:t>
      </w:r>
      <w:r>
        <w:t xml:space="preserve"> </w:t>
      </w:r>
      <w:r>
        <w:t xml:space="preserve">for research and adoption, language resources, shared infrastructure, and the balance</w:t>
      </w:r>
      <w:r>
        <w:t xml:space="preserve"> </w:t>
      </w:r>
      <w:r>
        <w:t xml:space="preserve">between acquiring and developing systems. The chapter draws on institutional analysis,</w:t>
      </w:r>
      <w:r>
        <w:t xml:space="preserve"> </w:t>
      </w:r>
      <w:r>
        <w:t xml:space="preserve">stakeholder conversations, relevant comparisons, and costing where feasible. The</w:t>
      </w:r>
      <w:r>
        <w:t xml:space="preserve"> </w:t>
      </w:r>
      <w:r>
        <w:t xml:space="preserve">emphasis is on exploring alternatives and their implications, including likely</w:t>
      </w:r>
      <w:r>
        <w:t xml:space="preserve"> </w:t>
      </w:r>
      <w:r>
        <w:t xml:space="preserve">benefits, practical requirements, and tradeoffs, with recommendations developed from</w:t>
      </w:r>
      <w:r>
        <w:t xml:space="preserve"> </w:t>
      </w:r>
      <w:r>
        <w:t xml:space="preserve">the evidence and discussion and room to revisit initial assumptions.</w:t>
      </w:r>
    </w:p>
    <w:bookmarkEnd w:id="21"/>
    <w:bookmarkStart w:id="22" w:name="institutional-roles"/>
    <w:p>
      <w:pPr>
        <w:pStyle w:val="Heading1"/>
      </w:pPr>
      <w:r>
        <w:t xml:space="preserve">1. Institutional roles</w:t>
      </w:r>
    </w:p>
    <w:p>
      <w:pPr>
        <w:pStyle w:val="Compact"/>
        <w:numPr>
          <w:ilvl w:val="0"/>
          <w:numId w:val="1001"/>
        </w:numPr>
      </w:pPr>
      <w:r>
        <w:t xml:space="preserve">Survey data: I1 to I14 cover a wide range of institutional questions: awareness of</w:t>
      </w:r>
      <w:r>
        <w:t xml:space="preserve"> </w:t>
      </w:r>
      <w:r>
        <w:t xml:space="preserve">the National AI Policy (I1) and Digital Ethiopia 2030 (I3), whether the policy has</w:t>
      </w:r>
      <w:r>
        <w:t xml:space="preserve"> </w:t>
      </w:r>
      <w:r>
        <w:t xml:space="preserve">changed anything in practice (I2), which institutions the organization has had</w:t>
      </w:r>
      <w:r>
        <w:t xml:space="preserve"> </w:t>
      </w:r>
      <w:r>
        <w:t xml:space="preserve">direct contact with (I4), agreement with statements about the Ethiopian AI</w:t>
      </w:r>
      <w:r>
        <w:t xml:space="preserve"> </w:t>
      </w:r>
      <w:r>
        <w:t xml:space="preserve">Institute (I5), views on licensing and certification (I6), who should have final</w:t>
      </w:r>
      <w:r>
        <w:t xml:space="preserve"> </w:t>
      </w:r>
      <w:r>
        <w:t xml:space="preserve">responsibility for regulating AI (I7), clarity on legal liability (I8, I8b), whether</w:t>
      </w:r>
      <w:r>
        <w:t xml:space="preserve"> </w:t>
      </w:r>
      <w:r>
        <w:t xml:space="preserve">there was any consultation opportunity before the policy was issued (I12), whether</w:t>
      </w:r>
      <w:r>
        <w:t xml:space="preserve"> </w:t>
      </w:r>
      <w:r>
        <w:t xml:space="preserve">AI- or data-related rules are actually enforced in practice (I13), whether regional</w:t>
      </w:r>
      <w:r>
        <w:t xml:space="preserve"> </w:t>
      </w:r>
      <w:r>
        <w:t xml:space="preserve">or city administrations should have their own rule-making authority (I14), what the</w:t>
      </w:r>
      <w:r>
        <w:t xml:space="preserve"> </w:t>
      </w:r>
      <w:r>
        <w:t xml:space="preserve">policy framework should include that it does not adequately cover (I10), and who</w:t>
      </w:r>
      <w:r>
        <w:t xml:space="preserve"> </w:t>
      </w:r>
      <w:r>
        <w:t xml:space="preserve">practitioners think actually drives AI policy decisions regardless of who formally</w:t>
      </w:r>
      <w:r>
        <w:t xml:space="preserve"> </w:t>
      </w:r>
      <w:r>
        <w:t xml:space="preserve">should (I11).</w:t>
      </w:r>
    </w:p>
    <w:p>
      <w:pPr>
        <w:pStyle w:val="Compact"/>
        <w:numPr>
          <w:ilvl w:val="0"/>
          <w:numId w:val="1001"/>
        </w:numPr>
      </w:pPr>
      <w:r>
        <w:t xml:space="preserve">Survey data: YP1 to YP7 give the national coordination picture: what the</w:t>
      </w:r>
      <w:r>
        <w:t xml:space="preserve"> </w:t>
      </w:r>
      <w:r>
        <w:t xml:space="preserve">organization actually does in this space (YP1), which sectors its AI work</w:t>
      </w:r>
      <w:r>
        <w:t xml:space="preserve"> </w:t>
      </w:r>
      <w:r>
        <w:t xml:space="preserve">contributes to (YP2), how it would describe the spread of AI adoption across</w:t>
      </w:r>
      <w:r>
        <w:t xml:space="preserve"> </w:t>
      </w:r>
      <w:r>
        <w:t xml:space="preserve">Ethiopia (YP3), agreement with statements about the national picture (YP4), whether</w:t>
      </w:r>
      <w:r>
        <w:t xml:space="preserve"> </w:t>
      </w:r>
      <w:r>
        <w:t xml:space="preserve">it measures AI adoption nationally or by sector (YP5), what most holds back national</w:t>
      </w:r>
      <w:r>
        <w:t xml:space="preserve"> </w:t>
      </w:r>
      <w:r>
        <w:t xml:space="preserve">adoption (YP6), and what single change would most improve it (YP7).</w:t>
      </w:r>
    </w:p>
    <w:p>
      <w:pPr>
        <w:pStyle w:val="Compact"/>
        <w:numPr>
          <w:ilvl w:val="0"/>
          <w:numId w:val="1001"/>
        </w:numPr>
      </w:pPr>
      <w:r>
        <w:t xml:space="preserve">Survey data: PG1 to PG6 give the practitioner-level version of the same questions</w:t>
      </w:r>
      <w:r>
        <w:t xml:space="preserve"> </w:t>
      </w:r>
      <w:r>
        <w:t xml:space="preserve">(policy awareness, personal benefit, view of the Ethiopian AI Institute’s effect,</w:t>
      </w:r>
      <w:r>
        <w:t xml:space="preserve"> </w:t>
      </w:r>
      <w:r>
        <w:t xml:space="preserve">single most valuable change, and what the policy should cover but does not).</w:t>
      </w:r>
    </w:p>
    <w:p>
      <w:pPr>
        <w:pStyle w:val="Compact"/>
        <w:numPr>
          <w:ilvl w:val="0"/>
          <w:numId w:val="1001"/>
        </w:numPr>
      </w:pPr>
      <w:r>
        <w:t xml:space="preserve">Survey data: ZD5 and ZD6 (whether the citizen respondent thinks the government has</w:t>
      </w:r>
      <w:r>
        <w:t xml:space="preserve"> </w:t>
      </w:r>
      <w:r>
        <w:t xml:space="preserve">a clear plan for AI, and who they think should decide the rules) give a third,</w:t>
      </w:r>
      <w:r>
        <w:t xml:space="preserve"> </w:t>
      </w:r>
      <w:r>
        <w:t xml:space="preserve">public-facing check on the legitimacy of whatever institutional arrangement this</w:t>
      </w:r>
      <w:r>
        <w:t xml:space="preserve"> </w:t>
      </w:r>
      <w:r>
        <w:t xml:space="preserve">volume recommends.</w:t>
      </w:r>
    </w:p>
    <w:p>
      <w:pPr>
        <w:pStyle w:val="Compact"/>
        <w:numPr>
          <w:ilvl w:val="0"/>
          <w:numId w:val="1001"/>
        </w:numPr>
      </w:pPr>
      <w:r>
        <w:t xml:space="preserve">Existing paper content: paper/chapters/05-challenges.tex, section</w:t>
      </w:r>
      <w:r>
        <w:t xml:space="preserve"> </w:t>
      </w:r>
      <w:r>
        <w:t xml:space="preserve">“Governance”</w:t>
      </w:r>
      <w:r>
        <w:t xml:space="preserve">,</w:t>
      </w:r>
      <w:r>
        <w:t xml:space="preserve"> </w:t>
      </w:r>
      <w:r>
        <w:t xml:space="preserve">carries this volume’s single strongest existing argument: it proposes separating</w:t>
      </w:r>
      <w:r>
        <w:t xml:space="preserve"> </w:t>
      </w:r>
      <w:r>
        <w:t xml:space="preserve">four roles currently concentrated in one institution (a policy secretariat, an</w:t>
      </w:r>
      <w:r>
        <w:t xml:space="preserve"> </w:t>
      </w:r>
      <w:r>
        <w:t xml:space="preserve">independent regulator, an arm’s-length funder, and a performer), and states</w:t>
      </w:r>
      <w:r>
        <w:t xml:space="preserve"> </w:t>
      </w:r>
      <w:r>
        <w:t xml:space="preserve">explicitly that question I7 (who should have final regulatory responsibility) is</w:t>
      </w:r>
      <w:r>
        <w:t xml:space="preserve"> </w:t>
      </w:r>
      <w:r>
        <w:t xml:space="preserve">the test this recommendation stands or falls on. This section should anchor the</w:t>
      </w:r>
      <w:r>
        <w:t xml:space="preserve"> </w:t>
      </w:r>
      <w:r>
        <w:t xml:space="preserve">institutional-roles chapter.</w:t>
      </w:r>
    </w:p>
    <w:p>
      <w:pPr>
        <w:pStyle w:val="Compact"/>
        <w:numPr>
          <w:ilvl w:val="0"/>
          <w:numId w:val="1001"/>
        </w:numPr>
      </w:pPr>
      <w:r>
        <w:t xml:space="preserve">Existing paper content: paper/chapters/03-current-state.tex, section</w:t>
      </w:r>
      <w:r>
        <w:t xml:space="preserve"> </w:t>
      </w:r>
      <w:r>
        <w:t xml:space="preserve">“The policy and</w:t>
      </w:r>
      <w:r>
        <w:t xml:space="preserve"> </w:t>
      </w:r>
      <w:r>
        <w:t xml:space="preserve">institutional environment”</w:t>
      </w:r>
      <w:r>
        <w:t xml:space="preserve">, gives the fuller description of the National AI Policy,</w:t>
      </w:r>
      <w:r>
        <w:t xml:space="preserve"> </w:t>
      </w:r>
      <w:r>
        <w:t xml:space="preserve">Digital Ethiopia 2030, and the legal instruments in force, including the finding</w:t>
      </w:r>
      <w:r>
        <w:t xml:space="preserve"> </w:t>
      </w:r>
      <w:r>
        <w:t xml:space="preserve">that the policy sets no quantified targets, no budget envelope, and no dated</w:t>
      </w:r>
      <w:r>
        <w:t xml:space="preserve"> </w:t>
      </w:r>
      <w:r>
        <w:t xml:space="preserve">milestones beyond a three-year review cycle.</w:t>
      </w:r>
    </w:p>
    <w:p>
      <w:pPr>
        <w:pStyle w:val="Compact"/>
        <w:numPr>
          <w:ilvl w:val="0"/>
          <w:numId w:val="1001"/>
        </w:numPr>
      </w:pPr>
      <w:r>
        <w:t xml:space="preserve">Resource: gov-eaii-establishment-regulation-510-2022.pdf is the Ethiopian AI</w:t>
      </w:r>
      <w:r>
        <w:t xml:space="preserve"> </w:t>
      </w:r>
      <w:r>
        <w:t xml:space="preserve">Institute’s own statutory basis and should be read directly before drafting the</w:t>
      </w:r>
      <w:r>
        <w:t xml:space="preserve"> </w:t>
      </w:r>
      <w:r>
        <w:t xml:space="preserve">unbundling argument above.</w:t>
      </w:r>
    </w:p>
    <w:p>
      <w:pPr>
        <w:pStyle w:val="Compact"/>
        <w:numPr>
          <w:ilvl w:val="0"/>
          <w:numId w:val="1001"/>
        </w:numPr>
      </w:pPr>
      <w:r>
        <w:t xml:space="preserve">Resource: gov-ethiopia-national-ai-policy-draft-2020.pdf, gov-national-ict-policy-and-strategy-2016.pdf,</w:t>
      </w:r>
      <w:r>
        <w:t xml:space="preserve"> </w:t>
      </w:r>
      <w:r>
        <w:t xml:space="preserve">gov-digital-ethiopia-2030-strategy.pdf, and gov-digital-ethiopia-2025-strategy.pdf</w:t>
      </w:r>
      <w:r>
        <w:t xml:space="preserve"> </w:t>
      </w:r>
      <w:r>
        <w:t xml:space="preserve">are the primary policy texts this section assesses.</w:t>
      </w:r>
    </w:p>
    <w:p>
      <w:pPr>
        <w:pStyle w:val="Compact"/>
        <w:numPr>
          <w:ilvl w:val="0"/>
          <w:numId w:val="1001"/>
        </w:numPr>
      </w:pPr>
      <w:r>
        <w:t xml:space="preserve">Resource: partner-african-union-continental-ai-strategy-2024.pdf,</w:t>
      </w:r>
      <w:r>
        <w:t xml:space="preserve"> </w:t>
      </w:r>
      <w:r>
        <w:t xml:space="preserve">partner-uneca-addis-ababa-declaration-ai-governance-2026.pdf, and</w:t>
      </w:r>
      <w:r>
        <w:t xml:space="preserve"> </w:t>
      </w:r>
      <w:r>
        <w:t xml:space="preserve">partner-uneca-regional-dialogue-ai-governance-africa-report-2026.pdf give the</w:t>
      </w:r>
      <w:r>
        <w:t xml:space="preserve"> </w:t>
      </w:r>
      <w:r>
        <w:t xml:space="preserve">regional governance comparators this section needs for the</w:t>
      </w:r>
      <w:r>
        <w:t xml:space="preserve"> </w:t>
      </w:r>
      <w:r>
        <w:t xml:space="preserve">“relevant comparisons”</w:t>
      </w:r>
      <w:r>
        <w:t xml:space="preserve"> </w:t>
      </w:r>
      <w:r>
        <w:t xml:space="preserve">the volume’s original description calls for.</w:t>
      </w:r>
    </w:p>
    <w:p>
      <w:pPr>
        <w:pStyle w:val="Compact"/>
        <w:numPr>
          <w:ilvl w:val="0"/>
          <w:numId w:val="1001"/>
        </w:numPr>
      </w:pPr>
      <w:r>
        <w:t xml:space="preserve">Resource: partner-oxford-insights-government-ai-readiness-index-2024.pdf and</w:t>
      </w:r>
      <w:r>
        <w:t xml:space="preserve"> </w:t>
      </w:r>
      <w:r>
        <w:t xml:space="preserve">research-ai-policy-readiness-ethiopian-higher-education-2027.pdf give external and</w:t>
      </w:r>
      <w:r>
        <w:t xml:space="preserve"> </w:t>
      </w:r>
      <w:r>
        <w:t xml:space="preserve">sector-specific readiness assessments to check the institutional-roles argument</w:t>
      </w:r>
      <w:r>
        <w:t xml:space="preserve"> </w:t>
      </w:r>
      <w:r>
        <w:t xml:space="preserve">against.</w:t>
      </w:r>
    </w:p>
    <w:p>
      <w:pPr>
        <w:pStyle w:val="Compact"/>
        <w:numPr>
          <w:ilvl w:val="0"/>
          <w:numId w:val="1001"/>
        </w:numPr>
      </w:pPr>
      <w:r>
        <w:t xml:space="preserve">Gap: no existing source directly compares how a peer country (for example Kenya,</w:t>
      </w:r>
      <w:r>
        <w:t xml:space="preserve"> </w:t>
      </w:r>
      <w:r>
        <w:t xml:space="preserve">referenced elsewhere in the paper as a source of transferable lessons on publishing</w:t>
      </w:r>
      <w:r>
        <w:t xml:space="preserve"> </w:t>
      </w:r>
      <w:r>
        <w:t xml:space="preserve">an implementation roadmap) has actually separated or failed to separate these four</w:t>
      </w:r>
      <w:r>
        <w:t xml:space="preserve"> </w:t>
      </w:r>
      <w:r>
        <w:t xml:space="preserve">roles in practice. A short comparative case would strengthen the recommendation.</w:t>
      </w:r>
      <w:r>
        <w:t xml:space="preserve"> </w:t>
      </w:r>
      <w:r>
        <w:t xml:space="preserve">Workstream: Policy and institutional landscape.</w:t>
      </w:r>
    </w:p>
    <w:bookmarkEnd w:id="22"/>
    <w:bookmarkStart w:id="23" w:name="infrastructure-and-data-governance"/>
    <w:p>
      <w:pPr>
        <w:pStyle w:val="Heading1"/>
      </w:pPr>
      <w:r>
        <w:t xml:space="preserve">2. Infrastructure and data governance</w:t>
      </w:r>
    </w:p>
    <w:p>
      <w:pPr>
        <w:pStyle w:val="Compact"/>
        <w:numPr>
          <w:ilvl w:val="0"/>
          <w:numId w:val="1002"/>
        </w:numPr>
      </w:pPr>
      <w:r>
        <w:t xml:space="preserve">Survey data: G1 to G8 cover computing resources available (G1), a direct GPU and</w:t>
      </w:r>
      <w:r>
        <w:t xml:space="preserve"> </w:t>
      </w:r>
      <w:r>
        <w:t xml:space="preserve">accelerator inventory (G2), willingness to share spare compute through a federated</w:t>
      </w:r>
      <w:r>
        <w:t xml:space="preserve"> </w:t>
      </w:r>
      <w:r>
        <w:t xml:space="preserve">national research pool (G3), the single biggest infrastructure constraint (G4),</w:t>
      </w:r>
      <w:r>
        <w:t xml:space="preserve"> </w:t>
      </w:r>
      <w:r>
        <w:t xml:space="preserve">whether services need to work on 2G or basic phones (G5), which channels are used to</w:t>
      </w:r>
      <w:r>
        <w:t xml:space="preserve"> </w:t>
      </w:r>
      <w:r>
        <w:t xml:space="preserve">reach citizens or customers (G6), approximate spending on cloud and software</w:t>
      </w:r>
      <w:r>
        <w:t xml:space="preserve"> </w:t>
      </w:r>
      <w:r>
        <w:t xml:space="preserve">services abroad (G7), and interest in an affordable Ethiopian-hosted AI compute</w:t>
      </w:r>
      <w:r>
        <w:t xml:space="preserve"> </w:t>
      </w:r>
      <w:r>
        <w:t xml:space="preserve">service (G8).</w:t>
      </w:r>
    </w:p>
    <w:p>
      <w:pPr>
        <w:pStyle w:val="Compact"/>
        <w:numPr>
          <w:ilvl w:val="0"/>
          <w:numId w:val="1002"/>
        </w:numPr>
      </w:pPr>
      <w:r>
        <w:t xml:space="preserve">Existing paper content: paper/chapters/04-value-creation.tex, the</w:t>
      </w:r>
      <w:r>
        <w:t xml:space="preserve"> </w:t>
      </w:r>
      <w:r>
        <w:t xml:space="preserve">“Cost-effective</w:t>
      </w:r>
      <w:r>
        <w:t xml:space="preserve"> </w:t>
      </w:r>
      <w:r>
        <w:t xml:space="preserve">infrastructure”</w:t>
      </w:r>
      <w:r>
        <w:t xml:space="preserve"> </w:t>
      </w:r>
      <w:r>
        <w:t xml:space="preserve">chapter, is built directly around G2 and G3 (it proposes a</w:t>
      </w:r>
      <w:r>
        <w:t xml:space="preserve"> </w:t>
      </w:r>
      <w:r>
        <w:t xml:space="preserve">federated national research-compute pool ahead of any new build, and states that</w:t>
      </w:r>
      <w:r>
        <w:t xml:space="preserve"> </w:t>
      </w:r>
      <w:r>
        <w:t xml:space="preserve">G2 produces the first national GPU and HPC inventory and that G3 tests the</w:t>
      </w:r>
      <w:r>
        <w:t xml:space="preserve"> </w:t>
      </w:r>
      <w:r>
        <w:t xml:space="preserve">federation idea against stated willingness before it is proposed) and around G5/G6</w:t>
      </w:r>
      <w:r>
        <w:t xml:space="preserve"> </w:t>
      </w:r>
      <w:r>
        <w:t xml:space="preserve">(the</w:t>
      </w:r>
      <w:r>
        <w:t xml:space="preserve"> </w:t>
      </w:r>
      <w:r>
        <w:t xml:space="preserve">“design every public AI service for 2G first”</w:t>
      </w:r>
      <w:r>
        <w:t xml:space="preserve"> </w:t>
      </w:r>
      <w:r>
        <w:t xml:space="preserve">finding). This is strong</w:t>
      </w:r>
      <w:r>
        <w:t xml:space="preserve"> </w:t>
      </w:r>
      <w:r>
        <w:t xml:space="preserve">existing material and should be the backbone of the infrastructure half of this</w:t>
      </w:r>
      <w:r>
        <w:t xml:space="preserve"> </w:t>
      </w:r>
      <w:r>
        <w:t xml:space="preserve">section.</w:t>
      </w:r>
    </w:p>
    <w:p>
      <w:pPr>
        <w:pStyle w:val="Compact"/>
        <w:numPr>
          <w:ilvl w:val="0"/>
          <w:numId w:val="1002"/>
        </w:numPr>
      </w:pPr>
      <w:r>
        <w:t xml:space="preserve">Flagged mapping note: section F,</w:t>
      </w:r>
      <w:r>
        <w:t xml:space="preserve"> </w:t>
      </w:r>
      <w:r>
        <w:t xml:space="preserve">“Data availability and standardisation”</w:t>
      </w:r>
      <w:r>
        <w:t xml:space="preserve"> </w:t>
      </w:r>
      <w:r>
        <w:t xml:space="preserve">(questions</w:t>
      </w:r>
      <w:r>
        <w:t xml:space="preserve"> </w:t>
      </w:r>
      <w:r>
        <w:t xml:space="preserve">F1 to F9, covering whether the organization holds usable datasets, a description of</w:t>
      </w:r>
      <w:r>
        <w:t xml:space="preserve"> </w:t>
      </w:r>
      <w:r>
        <w:t xml:space="preserve">its most significant datasets, data management practices in place, awareness of the</w:t>
      </w:r>
      <w:r>
        <w:t xml:space="preserve"> </w:t>
      </w:r>
      <w:r>
        <w:t xml:space="preserve">Personal Data Protection Proclamation, attempts to obtain data from another</w:t>
      </w:r>
      <w:r>
        <w:t xml:space="preserve"> </w:t>
      </w:r>
      <w:r>
        <w:t xml:space="preserve">Ethiopian organization and what blocked it, which standardisation problems affect</w:t>
      </w:r>
      <w:r>
        <w:t xml:space="preserve"> </w:t>
      </w:r>
      <w:r>
        <w:t xml:space="preserve">its data, willingness to contribute data to a national commons, and whether data is</w:t>
      </w:r>
      <w:r>
        <w:t xml:space="preserve"> </w:t>
      </w:r>
      <w:r>
        <w:t xml:space="preserve">stored inside or outside Ethiopia) is not currently assigned to any volume in the</w:t>
      </w:r>
      <w:r>
        <w:t xml:space="preserve"> </w:t>
      </w:r>
      <w:r>
        <w:t xml:space="preserve">schema’s volume mapping. Given that paper/chapters/04-value-creation.tex builds its</w:t>
      </w:r>
      <w:r>
        <w:t xml:space="preserve"> </w:t>
      </w:r>
      <w:r>
        <w:t xml:space="preserve">entire data-governance argument (the data-asset register, the national data audit,</w:t>
      </w:r>
      <w:r>
        <w:t xml:space="preserve"> </w:t>
      </w:r>
      <w:r>
        <w:t xml:space="preserve">the standardisation agenda, and the proposed Ethiopian Data and Language Commons)</w:t>
      </w:r>
      <w:r>
        <w:t xml:space="preserve"> </w:t>
      </w:r>
      <w:r>
        <w:t xml:space="preserve">directly on these questions, by number, this section’s data-governance half cannot</w:t>
      </w:r>
      <w:r>
        <w:t xml:space="preserve"> </w:t>
      </w:r>
      <w:r>
        <w:t xml:space="preserve">be completed from the current mapping alone. Recommending that section F be added</w:t>
      </w:r>
      <w:r>
        <w:t xml:space="preserve"> </w:t>
      </w:r>
      <w:r>
        <w:t xml:space="preserve">to this volume’s mapping, or fielding it as a standalone data-governance study, is</w:t>
      </w:r>
      <w:r>
        <w:t xml:space="preserve"> </w:t>
      </w:r>
      <w:r>
        <w:t xml:space="preserve">itself a concrete next step. Workstream: Research coordination and synthesis, for</w:t>
      </w:r>
      <w:r>
        <w:t xml:space="preserve"> </w:t>
      </w:r>
      <w:r>
        <w:t xml:space="preserve">correcting the mapping; Policy and institutional landscape, for acting on the</w:t>
      </w:r>
      <w:r>
        <w:t xml:space="preserve"> </w:t>
      </w:r>
      <w:r>
        <w:t xml:space="preserve">commons proposal once the data is available.</w:t>
      </w:r>
    </w:p>
    <w:p>
      <w:pPr>
        <w:pStyle w:val="Compact"/>
        <w:numPr>
          <w:ilvl w:val="0"/>
          <w:numId w:val="1002"/>
        </w:numPr>
      </w:pPr>
      <w:r>
        <w:t xml:space="preserve">Existing paper content: paper/chapters/04-value-creation.tex, section</w:t>
      </w:r>
      <w:r>
        <w:t xml:space="preserve"> </w:t>
      </w:r>
      <w:r>
        <w:t xml:space="preserve">“Governance,</w:t>
      </w:r>
      <w:r>
        <w:t xml:space="preserve"> </w:t>
      </w:r>
      <w:r>
        <w:t xml:space="preserve">sharing and rights”</w:t>
      </w:r>
      <w:r>
        <w:t xml:space="preserve">, and the following section proposing the Ethiopian Data and</w:t>
      </w:r>
      <w:r>
        <w:t xml:space="preserve"> </w:t>
      </w:r>
      <w:r>
        <w:t xml:space="preserve">Language Commons, describe the policy design (a tiered access model, licensing,</w:t>
      </w:r>
      <w:r>
        <w:t xml:space="preserve"> </w:t>
      </w:r>
      <w:r>
        <w:t xml:space="preserve">a curation workforce, a three-year budget) this section would need to assess</w:t>
      </w:r>
      <w:r>
        <w:t xml:space="preserve"> </w:t>
      </w:r>
      <w:r>
        <w:t xml:space="preserve">against the F-section data once it is available.</w:t>
      </w:r>
    </w:p>
    <w:p>
      <w:pPr>
        <w:pStyle w:val="Compact"/>
        <w:numPr>
          <w:ilvl w:val="0"/>
          <w:numId w:val="1002"/>
        </w:numPr>
      </w:pPr>
      <w:r>
        <w:t xml:space="preserve">Resource: gov-personal-data-protection-proclamation-1321-2024.pdf and</w:t>
      </w:r>
      <w:r>
        <w:t xml:space="preserve"> </w:t>
      </w:r>
      <w:r>
        <w:t xml:space="preserve">gov-digital-identification-proclamation-1284-2023.pdf are the two legal instruments</w:t>
      </w:r>
      <w:r>
        <w:t xml:space="preserve"> </w:t>
      </w:r>
      <w:r>
        <w:t xml:space="preserve">most directly relevant to data governance and should be read before drafting this</w:t>
      </w:r>
      <w:r>
        <w:t xml:space="preserve"> </w:t>
      </w:r>
      <w:r>
        <w:t xml:space="preserve">section.</w:t>
      </w:r>
    </w:p>
    <w:p>
      <w:pPr>
        <w:pStyle w:val="Compact"/>
        <w:numPr>
          <w:ilvl w:val="0"/>
          <w:numId w:val="1002"/>
        </w:numPr>
      </w:pPr>
      <w:r>
        <w:t xml:space="preserve">Resource: partner-worldbank-ethiopia-digital-foundations-project-pad-2021.pdf,</w:t>
      </w:r>
      <w:r>
        <w:t xml:space="preserve"> </w:t>
      </w:r>
      <w:r>
        <w:t xml:space="preserve">partner-worldbank-eardip-eastern-africa-digital-integration-pad-2023.pdf, and</w:t>
      </w:r>
      <w:r>
        <w:t xml:space="preserve"> </w:t>
      </w:r>
      <w:r>
        <w:t xml:space="preserve">partner-worldbank-ethiopia-digital-id-inclusion-services-project-2023.pdf document</w:t>
      </w:r>
      <w:r>
        <w:t xml:space="preserve"> </w:t>
      </w:r>
      <w:r>
        <w:t xml:space="preserve">donor-financed digital and data infrastructure investments already underway, useful</w:t>
      </w:r>
      <w:r>
        <w:t xml:space="preserve"> </w:t>
      </w:r>
      <w:r>
        <w:t xml:space="preserve">as a check on what this volume should and should not recommend duplicating.</w:t>
      </w:r>
    </w:p>
    <w:p>
      <w:pPr>
        <w:pStyle w:val="Compact"/>
        <w:numPr>
          <w:ilvl w:val="0"/>
          <w:numId w:val="1002"/>
        </w:numPr>
      </w:pPr>
      <w:r>
        <w:t xml:space="preserve">Resource: gov-ethio-telecom-annual-report-fy2024-25.pdf and</w:t>
      </w:r>
      <w:r>
        <w:t xml:space="preserve"> </w:t>
      </w:r>
      <w:r>
        <w:t xml:space="preserve">research-data-governance-ai-africa-trustworthy-2024.pdf supply, respectively,</w:t>
      </w:r>
      <w:r>
        <w:t xml:space="preserve"> </w:t>
      </w:r>
      <w:r>
        <w:t xml:space="preserve">national infrastructure figures and a continental framing for trustworthy data</w:t>
      </w:r>
      <w:r>
        <w:t xml:space="preserve"> </w:t>
      </w:r>
      <w:r>
        <w:t xml:space="preserve">governance.</w:t>
      </w:r>
    </w:p>
    <w:p>
      <w:pPr>
        <w:pStyle w:val="Compact"/>
        <w:numPr>
          <w:ilvl w:val="0"/>
          <w:numId w:val="1002"/>
        </w:numPr>
      </w:pPr>
      <w:r>
        <w:t xml:space="preserve">Gap: beyond what F-section data would supply once fielded, there is no current</w:t>
      </w:r>
      <w:r>
        <w:t xml:space="preserve"> </w:t>
      </w:r>
      <w:r>
        <w:t xml:space="preserve">source quantifying actual compute utilisation inside Ethiopian institutions (as</w:t>
      </w:r>
      <w:r>
        <w:t xml:space="preserve"> </w:t>
      </w:r>
      <w:r>
        <w:t xml:space="preserve">opposed to nominal access). Workstream: Research talent and technical foundations.</w:t>
      </w:r>
    </w:p>
    <w:bookmarkEnd w:id="23"/>
    <w:bookmarkStart w:id="24" w:name="build-versus-acquire-tradeoffs"/>
    <w:p>
      <w:pPr>
        <w:pStyle w:val="Heading1"/>
      </w:pPr>
      <w:r>
        <w:t xml:space="preserve">3. Build-versus-acquire tradeoffs</w:t>
      </w:r>
    </w:p>
    <w:p>
      <w:pPr>
        <w:pStyle w:val="Compact"/>
        <w:numPr>
          <w:ilvl w:val="0"/>
          <w:numId w:val="1003"/>
        </w:numPr>
      </w:pPr>
      <w:r>
        <w:t xml:space="preserve">Survey data: H1 to H6 give the skills side of this tradeoff: staff counts and</w:t>
      </w:r>
      <w:r>
        <w:t xml:space="preserve"> </w:t>
      </w:r>
      <w:r>
        <w:t xml:space="preserve">recruitment difficulty by role (H1), how difficult AI or data skills specifically</w:t>
      </w:r>
      <w:r>
        <w:t xml:space="preserve"> </w:t>
      </w:r>
      <w:r>
        <w:t xml:space="preserve">are to recruit (H2), how many technical staff have left for work abroad in the last</w:t>
      </w:r>
      <w:r>
        <w:t xml:space="preserve"> </w:t>
      </w:r>
      <w:r>
        <w:t xml:space="preserve">two years (H3), whether AI or data-science training has been provided in the last</w:t>
      </w:r>
      <w:r>
        <w:t xml:space="preserve"> </w:t>
      </w:r>
      <w:r>
        <w:t xml:space="preserve">12 months (H4), which skills would be most valuable to build (H5), and whether the</w:t>
      </w:r>
      <w:r>
        <w:t xml:space="preserve"> </w:t>
      </w:r>
      <w:r>
        <w:t xml:space="preserve">organization would employ dedicated data-preparation staff if that work were</w:t>
      </w:r>
      <w:r>
        <w:t xml:space="preserve"> </w:t>
      </w:r>
      <w:r>
        <w:t xml:space="preserve">available (H6).</w:t>
      </w:r>
    </w:p>
    <w:p>
      <w:pPr>
        <w:pStyle w:val="Compact"/>
        <w:numPr>
          <w:ilvl w:val="0"/>
          <w:numId w:val="1003"/>
        </w:numPr>
      </w:pPr>
      <w:r>
        <w:t xml:space="preserve">Survey data: J6 (what the organization would spend an unrestricted sum of money on)</w:t>
      </w:r>
      <w:r>
        <w:t xml:space="preserve"> </w:t>
      </w:r>
      <w:r>
        <w:t xml:space="preserve">is a useful revealed-preference check on whether organizations would choose to</w:t>
      </w:r>
      <w:r>
        <w:t xml:space="preserve"> </w:t>
      </w:r>
      <w:r>
        <w:t xml:space="preserve">build capability or acquire it if cost were not a constraint.</w:t>
      </w:r>
    </w:p>
    <w:p>
      <w:pPr>
        <w:pStyle w:val="Compact"/>
        <w:numPr>
          <w:ilvl w:val="0"/>
          <w:numId w:val="1003"/>
        </w:numPr>
      </w:pPr>
      <w:r>
        <w:t xml:space="preserve">Existing paper content: paper/chapters/04-value-creation.tex,</w:t>
      </w:r>
      <w:r>
        <w:t xml:space="preserve"> </w:t>
      </w:r>
      <w:r>
        <w:t xml:space="preserve">“What Ethiopia should</w:t>
      </w:r>
      <w:r>
        <w:t xml:space="preserve"> </w:t>
      </w:r>
      <w:r>
        <w:t xml:space="preserve">not do now”</w:t>
      </w:r>
      <w:r>
        <w:t xml:space="preserve"> </w:t>
      </w:r>
      <w:r>
        <w:t xml:space="preserve">table, is the clearest existing statement of the build side of this</w:t>
      </w:r>
      <w:r>
        <w:t xml:space="preserve"> </w:t>
      </w:r>
      <w:r>
        <w:t xml:space="preserve">tradeoff: it excludes frontier model pre-training from the near-term portfolio on</w:t>
      </w:r>
      <w:r>
        <w:t xml:space="preserve"> </w:t>
      </w:r>
      <w:r>
        <w:t xml:space="preserve">the grounds that it fails the paper’s feasibility, cost, and time-to-value gates</w:t>
      </w:r>
      <w:r>
        <w:t xml:space="preserve"> </w:t>
      </w:r>
      <w:r>
        <w:t xml:space="preserve">simultaneously, for a capability available by adaptation at a fraction of the cost.</w:t>
      </w:r>
      <w:r>
        <w:t xml:space="preserve"> </w:t>
      </w:r>
      <w:r>
        <w:t xml:space="preserve">This table should be read in full before drafting the tradeoff argument.</w:t>
      </w:r>
    </w:p>
    <w:p>
      <w:pPr>
        <w:pStyle w:val="Compact"/>
        <w:numPr>
          <w:ilvl w:val="0"/>
          <w:numId w:val="1003"/>
        </w:numPr>
      </w:pPr>
      <w:r>
        <w:t xml:space="preserve">Existing paper content: paper/chapters/04-value-creation.tex, section</w:t>
      </w:r>
      <w:r>
        <w:t xml:space="preserve"> </w:t>
      </w:r>
      <w:r>
        <w:t xml:space="preserve">“Human</w:t>
      </w:r>
      <w:r>
        <w:t xml:space="preserve"> </w:t>
      </w:r>
      <w:r>
        <w:t xml:space="preserve">infrastructure”</w:t>
      </w:r>
      <w:r>
        <w:t xml:space="preserve">, and paper/chapters/05-challenges.tex, section</w:t>
      </w:r>
      <w:r>
        <w:t xml:space="preserve"> </w:t>
      </w:r>
      <w:r>
        <w:t xml:space="preserve">“Skills”</w:t>
      </w:r>
      <w:r>
        <w:t xml:space="preserve">, both argue</w:t>
      </w:r>
      <w:r>
        <w:t xml:space="preserve"> </w:t>
      </w:r>
      <w:r>
        <w:t xml:space="preserve">for building an annotation and data-curation workforce and scaling existing</w:t>
      </w:r>
      <w:r>
        <w:t xml:space="preserve"> </w:t>
      </w:r>
      <w:r>
        <w:t xml:space="preserve">universities rather than relying only on new flagship institutions, and call for a</w:t>
      </w:r>
      <w:r>
        <w:t xml:space="preserve"> </w:t>
      </w:r>
      <w:r>
        <w:t xml:space="preserve">diaspora-engagement instrument with concrete terms rather than an appeal to</w:t>
      </w:r>
      <w:r>
        <w:t xml:space="preserve"> </w:t>
      </w:r>
      <w:r>
        <w:t xml:space="preserve">goodwill. These are directly build-side recommendations this section should state</w:t>
      </w:r>
      <w:r>
        <w:t xml:space="preserve"> </w:t>
      </w:r>
      <w:r>
        <w:t xml:space="preserve">and test against H1 to H6 once fielded.</w:t>
      </w:r>
    </w:p>
    <w:p>
      <w:pPr>
        <w:pStyle w:val="Compact"/>
        <w:numPr>
          <w:ilvl w:val="0"/>
          <w:numId w:val="1003"/>
        </w:numPr>
      </w:pPr>
      <w:r>
        <w:t xml:space="preserve">Resource: research-ai-ethiopian-higher-education-bibliometric-2026.pdf and</w:t>
      </w:r>
      <w:r>
        <w:t xml:space="preserve"> </w:t>
      </w:r>
      <w:r>
        <w:t xml:space="preserve">research-ai-policy-readiness-ethiopian-higher-education-2027.pdf document the</w:t>
      </w:r>
      <w:r>
        <w:t xml:space="preserve"> </w:t>
      </w:r>
      <w:r>
        <w:t xml:space="preserve">current higher-education research base that any</w:t>
      </w:r>
      <w:r>
        <w:t xml:space="preserve"> </w:t>
      </w:r>
      <w:r>
        <w:t xml:space="preserve">“build”</w:t>
      </w:r>
      <w:r>
        <w:t xml:space="preserve"> </w:t>
      </w:r>
      <w:r>
        <w:t xml:space="preserve">option would depend on.</w:t>
      </w:r>
    </w:p>
    <w:p>
      <w:pPr>
        <w:pStyle w:val="Compact"/>
        <w:numPr>
          <w:ilvl w:val="0"/>
          <w:numId w:val="1003"/>
        </w:numPr>
      </w:pPr>
      <w:r>
        <w:t xml:space="preserve">Gap: there is no existing costed comparison of what building a given capability</w:t>
      </w:r>
      <w:r>
        <w:t xml:space="preserve"> </w:t>
      </w:r>
      <w:r>
        <w:t xml:space="preserve">domestically would cost against acquiring it (license, partnership, or outsourcing)</w:t>
      </w:r>
      <w:r>
        <w:t xml:space="preserve"> </w:t>
      </w:r>
      <w:r>
        <w:t xml:space="preserve">for any specific Ethiopian use case. This is squarely a costing exercise rather</w:t>
      </w:r>
      <w:r>
        <w:t xml:space="preserve"> </w:t>
      </w:r>
      <w:r>
        <w:t xml:space="preserve">than a data-collection one. Workstream: Policy and institutional landscape.</w:t>
      </w:r>
    </w:p>
    <w:bookmarkEnd w:id="24"/>
    <w:bookmarkStart w:id="25" w:name="costing-and-recommendations"/>
    <w:p>
      <w:pPr>
        <w:pStyle w:val="Heading1"/>
      </w:pPr>
      <w:r>
        <w:t xml:space="preserve">4. Costing and recommendations</w:t>
      </w:r>
    </w:p>
    <w:p>
      <w:pPr>
        <w:pStyle w:val="Compact"/>
        <w:numPr>
          <w:ilvl w:val="0"/>
          <w:numId w:val="1004"/>
        </w:numPr>
      </w:pPr>
      <w:r>
        <w:t xml:space="preserve">Survey data: J1 to J8 give the funding baseline this section needs: a dedicated AI</w:t>
      </w:r>
      <w:r>
        <w:t xml:space="preserve"> </w:t>
      </w:r>
      <w:r>
        <w:t xml:space="preserve">budget line (J1) and its approximate size (J2), where funding comes from (J3), total</w:t>
      </w:r>
      <w:r>
        <w:t xml:space="preserve"> </w:t>
      </w:r>
      <w:r>
        <w:t xml:space="preserve">external funding raised to date (J8), whether the organization has applied for</w:t>
      </w:r>
      <w:r>
        <w:t xml:space="preserve"> </w:t>
      </w:r>
      <w:r>
        <w:t xml:space="preserve">public funding (J4), whether the criteria for public AI funding are clear and</w:t>
      </w:r>
      <w:r>
        <w:t xml:space="preserve"> </w:t>
      </w:r>
      <w:r>
        <w:t xml:space="preserve">publicly available (J5), what an unrestricted sum would be spent on (J6), and</w:t>
      </w:r>
      <w:r>
        <w:t xml:space="preserve"> </w:t>
      </w:r>
      <w:r>
        <w:t xml:space="preserve">whether a project has ever been stopped, paused, or scaled back because of cost</w:t>
      </w:r>
      <w:r>
        <w:t xml:space="preserve"> </w:t>
      </w:r>
      <w:r>
        <w:t xml:space="preserve">(J7).</w:t>
      </w:r>
    </w:p>
    <w:p>
      <w:pPr>
        <w:pStyle w:val="Compact"/>
        <w:numPr>
          <w:ilvl w:val="0"/>
          <w:numId w:val="1004"/>
        </w:numPr>
      </w:pPr>
      <w:r>
        <w:t xml:space="preserve">Existing paper content: paper/chapters/04-value-creation.tex, section</w:t>
      </w:r>
      <w:r>
        <w:t xml:space="preserve"> </w:t>
      </w:r>
      <w:r>
        <w:t xml:space="preserve">“Costed</w:t>
      </w:r>
      <w:r>
        <w:t xml:space="preserve"> </w:t>
      </w:r>
      <w:r>
        <w:t xml:space="preserve">options”</w:t>
      </w:r>
      <w:r>
        <w:t xml:space="preserve">, sets out three infrastructure scenarios (Frugal, Balanced, Ambitious)</w:t>
      </w:r>
      <w:r>
        <w:t xml:space="preserve"> </w:t>
      </w:r>
      <w:r>
        <w:t xml:space="preserve">with indicative three-year cost bands, and is explicit in its own draft note that</w:t>
      </w:r>
      <w:r>
        <w:t xml:space="preserve"> </w:t>
      </w:r>
      <w:r>
        <w:t xml:space="preserve">these are top-down estimates pending survey and vendor data, to be replaced with</w:t>
      </w:r>
      <w:r>
        <w:t xml:space="preserve"> </w:t>
      </w:r>
      <w:r>
        <w:t xml:space="preserve">bottom-up unit costs drawing on G2 and G3 (the compute inventory and federation</w:t>
      </w:r>
      <w:r>
        <w:t xml:space="preserve"> </w:t>
      </w:r>
      <w:r>
        <w:t xml:space="preserve">willingness) and direct vendor quotes. This is the clearest existing statement of</w:t>
      </w:r>
      <w:r>
        <w:t xml:space="preserve"> </w:t>
      </w:r>
      <w:r>
        <w:t xml:space="preserve">what this section’s costing work still needs to do, and it names its own</w:t>
      </w:r>
      <w:r>
        <w:t xml:space="preserve"> </w:t>
      </w:r>
      <w:r>
        <w:t xml:space="preserve">dependencies precisely.</w:t>
      </w:r>
    </w:p>
    <w:p>
      <w:pPr>
        <w:pStyle w:val="Compact"/>
        <w:numPr>
          <w:ilvl w:val="0"/>
          <w:numId w:val="1004"/>
        </w:numPr>
      </w:pPr>
      <w:r>
        <w:t xml:space="preserve">Existing paper content: paper/chapters/05-challenges.tex, section</w:t>
      </w:r>
      <w:r>
        <w:t xml:space="preserve"> </w:t>
      </w:r>
      <w:r>
        <w:t xml:space="preserve">“Recommendations”</w:t>
      </w:r>
      <w:r>
        <w:t xml:space="preserve">, sequences recommendations as Now (0 to 12 months), Next (1 to 3</w:t>
      </w:r>
      <w:r>
        <w:t xml:space="preserve"> </w:t>
      </w:r>
      <w:r>
        <w:t xml:space="preserve">years), and Later (3 to 10 years), each with an owner, a cost band, an indicator,</w:t>
      </w:r>
      <w:r>
        <w:t xml:space="preserve"> </w:t>
      </w:r>
      <w:r>
        <w:t xml:space="preserve">and a pointer to supporting evidence; this structure is a direct template for how</w:t>
      </w:r>
      <w:r>
        <w:t xml:space="preserve"> </w:t>
      </w:r>
      <w:r>
        <w:t xml:space="preserve">this volume’s own recommendations section should be organized. The same chapter’s</w:t>
      </w:r>
      <w:r>
        <w:t xml:space="preserve"> </w:t>
      </w:r>
      <w:r>
        <w:t xml:space="preserve">“Financing”</w:t>
      </w:r>
      <w:r>
        <w:t xml:space="preserve"> </w:t>
      </w:r>
      <w:r>
        <w:t xml:space="preserve">section proposes an arm’s-length National AI Fund with published</w:t>
      </w:r>
      <w:r>
        <w:t xml:space="preserve"> </w:t>
      </w:r>
      <w:r>
        <w:t xml:space="preserve">criteria and peer review, and its</w:t>
      </w:r>
      <w:r>
        <w:t xml:space="preserve"> </w:t>
      </w:r>
      <w:r>
        <w:t xml:space="preserve">“Measurement”</w:t>
      </w:r>
      <w:r>
        <w:t xml:space="preserve"> </w:t>
      </w:r>
      <w:r>
        <w:t xml:space="preserve">section proposes a National AI</w:t>
      </w:r>
      <w:r>
        <w:t xml:space="preserve"> </w:t>
      </w:r>
      <w:r>
        <w:t xml:space="preserve">Observatory that repeats the survey instrument every two years, both of which this</w:t>
      </w:r>
      <w:r>
        <w:t xml:space="preserve"> </w:t>
      </w:r>
      <w:r>
        <w:t xml:space="preserve">volume would need to weigh as investment options in their own right.</w:t>
      </w:r>
    </w:p>
    <w:p>
      <w:pPr>
        <w:pStyle w:val="Compact"/>
        <w:numPr>
          <w:ilvl w:val="0"/>
          <w:numId w:val="1004"/>
        </w:numPr>
      </w:pPr>
      <w:r>
        <w:t xml:space="preserve">Resource: partner-fcdo-ethiopiai-programme-business-case-2026.odt is an external</w:t>
      </w:r>
      <w:r>
        <w:t xml:space="preserve"> </w:t>
      </w:r>
      <w:r>
        <w:t xml:space="preserve">funder’s own business case for an Ethiopia AI programme and is a directly relevant</w:t>
      </w:r>
      <w:r>
        <w:t xml:space="preserve"> </w:t>
      </w:r>
      <w:r>
        <w:t xml:space="preserve">costed comparator for this section.</w:t>
      </w:r>
    </w:p>
    <w:p>
      <w:pPr>
        <w:pStyle w:val="Compact"/>
        <w:numPr>
          <w:ilvl w:val="0"/>
          <w:numId w:val="1004"/>
        </w:numPr>
      </w:pPr>
      <w:r>
        <w:t xml:space="preserve">Resource: gov-startup-proclamation-1396-2025.pdf establishes a Startup Fund of Funds</w:t>
      </w:r>
      <w:r>
        <w:t xml:space="preserve"> </w:t>
      </w:r>
      <w:r>
        <w:t xml:space="preserve">and a National Credit Guarantee Fund for Startups, relevant to any recommendation</w:t>
      </w:r>
      <w:r>
        <w:t xml:space="preserve"> </w:t>
      </w:r>
      <w:r>
        <w:t xml:space="preserve">involving blended or catalytic finance.</w:t>
      </w:r>
    </w:p>
    <w:p>
      <w:pPr>
        <w:pStyle w:val="Compact"/>
        <w:numPr>
          <w:ilvl w:val="0"/>
          <w:numId w:val="1004"/>
        </w:numPr>
      </w:pPr>
      <w:r>
        <w:t xml:space="preserve">Resource: ecosystem-partech-africa-tech-vc-report-2025.pdf,</w:t>
      </w:r>
      <w:r>
        <w:t xml:space="preserve"> </w:t>
      </w:r>
      <w:r>
        <w:t xml:space="preserve">ecosystem-disrupt-africa-tech-startups-funding-2024.pdf, and</w:t>
      </w:r>
      <w:r>
        <w:t xml:space="preserve"> </w:t>
      </w:r>
      <w:r>
        <w:t xml:space="preserve">ecosystem-ande-ethiopia-entrepreneurial-mapping-2024.pdf give the private</w:t>
      </w:r>
      <w:r>
        <w:t xml:space="preserve"> </w:t>
      </w:r>
      <w:r>
        <w:t xml:space="preserve">investment and venture-funding backdrop against which any public-investment</w:t>
      </w:r>
      <w:r>
        <w:t xml:space="preserve"> </w:t>
      </w:r>
      <w:r>
        <w:t xml:space="preserve">recommendation should be positioned.</w:t>
      </w:r>
    </w:p>
    <w:p>
      <w:pPr>
        <w:pStyle w:val="Compact"/>
        <w:numPr>
          <w:ilvl w:val="0"/>
          <w:numId w:val="1004"/>
        </w:numPr>
      </w:pPr>
      <w:r>
        <w:t xml:space="preserve">Resource: partner-undp-ethiopia-country-programme-2025-2030.pdf gives one</w:t>
      </w:r>
      <w:r>
        <w:t xml:space="preserve"> </w:t>
      </w:r>
      <w:r>
        <w:t xml:space="preserve">multilateral partner’s own funding priorities and programme design for the same</w:t>
      </w:r>
      <w:r>
        <w:t xml:space="preserve"> </w:t>
      </w:r>
      <w:r>
        <w:t xml:space="preserve">period this volume’s recommendations would cover.</w:t>
      </w:r>
    </w:p>
    <w:p>
      <w:pPr>
        <w:pStyle w:val="Compact"/>
        <w:numPr>
          <w:ilvl w:val="0"/>
          <w:numId w:val="1004"/>
        </w:numPr>
      </w:pPr>
      <w:r>
        <w:t xml:space="preserve">Gap: the cost bands in the existing paper are explicitly marked as top-down</w:t>
      </w:r>
      <w:r>
        <w:t xml:space="preserve"> </w:t>
      </w:r>
      <w:r>
        <w:t xml:space="preserve">estimates, not bottom-up costed figures; closing this requires vendor quotes and</w:t>
      </w:r>
      <w:r>
        <w:t xml:space="preserve"> </w:t>
      </w:r>
      <w:r>
        <w:t xml:space="preserve">unit costs that no source currently in hand supplies. This is the single largest</w:t>
      </w:r>
      <w:r>
        <w:t xml:space="preserve"> </w:t>
      </w:r>
      <w:r>
        <w:t xml:space="preserve">concrete gap in this volume. Workstream: Policy and institutional landscape, with</w:t>
      </w:r>
      <w:r>
        <w:t xml:space="preserve"> </w:t>
      </w:r>
      <w:r>
        <w:t xml:space="preserve">support from Research coordination and synthesis for assembling the final</w:t>
      </w:r>
      <w:r>
        <w:t xml:space="preserve"> </w:t>
      </w:r>
      <w:r>
        <w:t xml:space="preserve">recommendations across all four volumes.</w:t>
      </w:r>
    </w:p>
    <w:bookmarkEnd w:id="25"/>
    <w:bookmarkStart w:id="26" w:name="X8a3cd280b66eba6675599d93398c24fcf7b4872"/>
    <w:p>
      <w:pPr>
        <w:pStyle w:val="Heading1"/>
      </w:pPr>
      <w:r>
        <w:t xml:space="preserve">What this volume depends on from earlier volumes</w:t>
      </w:r>
    </w:p>
    <w:p>
      <w:pPr>
        <w:pStyle w:val="FirstParagraph"/>
      </w:pPr>
      <w:r>
        <w:t xml:space="preserve">This volume depends most heavily on the other three. It needs the organizational</w:t>
      </w:r>
      <w:r>
        <w:t xml:space="preserve"> </w:t>
      </w:r>
      <w:r>
        <w:t xml:space="preserve">adoption and outcome evidence from Volume II (what has actually been tried, what</w:t>
      </w:r>
      <w:r>
        <w:t xml:space="preserve"> </w:t>
      </w:r>
      <w:r>
        <w:t xml:space="preserve">stopped it, and at what cost) and the public-priorities and access evidence from</w:t>
      </w:r>
      <w:r>
        <w:t xml:space="preserve"> </w:t>
      </w:r>
      <w:r>
        <w:t xml:space="preserve">Volume III (what people need and who is currently excluded) before its institutional</w:t>
      </w:r>
      <w:r>
        <w:t xml:space="preserve"> </w:t>
      </w:r>
      <w:r>
        <w:t xml:space="preserve">and investment recommendations can be evidence-based rather than speculative. Per the</w:t>
      </w:r>
      <w:r>
        <w:t xml:space="preserve"> </w:t>
      </w:r>
      <w:r>
        <w:t xml:space="preserve">sequencing already set out for the series, findings from the organizational and public</w:t>
      </w:r>
      <w:r>
        <w:t xml:space="preserve"> </w:t>
      </w:r>
      <w:r>
        <w:t xml:space="preserve">research are meant to inform the discussion of institutional and investment choices</w:t>
      </w:r>
      <w:r>
        <w:t xml:space="preserve"> </w:t>
      </w:r>
      <w:r>
        <w:t xml:space="preserve">directly, and this volume should be drafted last among the four, revisiting its own</w:t>
      </w:r>
      <w:r>
        <w:t xml:space="preserve"> </w:t>
      </w:r>
      <w:r>
        <w:t xml:space="preserve">initial assumptions as that evidence arrives rather than fixing them in advance.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Volume IV: Institutional and Investment Choices</dc:title>
  <dc:creator/>
  <cp:keywords/>
  <dcterms:created xsi:type="dcterms:W3CDTF">2026-10-01T20:14:35Z</dcterms:created>
  <dcterms:modified xsi:type="dcterms:W3CDTF">2026-10-01T20:14:35Z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Chapter template and evidence map</vt:lpwstr>
  </property>
</Properties>
</file>