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000000"/>
          <w:sz w:val="44"/>
        </w:rPr>
        <w:t>Mapping the AI Landscape in Ethiopia</w:t>
      </w:r>
    </w:p>
    <w:p>
      <w:pPr>
        <w:jc w:val="center"/>
      </w:pPr>
      <w:r>
        <w:rPr>
          <w:b w:val="0"/>
          <w:i w:val="0"/>
          <w:color w:val="000000"/>
          <w:sz w:val="32"/>
        </w:rPr>
        <w:t>Actors, applications, policies and gaps</w:t>
      </w:r>
    </w:p>
    <w:p/>
    <w:p>
      <w:pPr>
        <w:jc w:val="center"/>
      </w:pPr>
      <w:r>
        <w:rPr>
          <w:b w:val="0"/>
          <w:i w:val="0"/>
          <w:color w:val="000000"/>
          <w:sz w:val="26"/>
        </w:rPr>
        <w:t>Working draft, version 1</w:t>
      </w:r>
    </w:p>
    <w:p>
      <w:pPr>
        <w:jc w:val="center"/>
      </w:pPr>
      <w:r>
        <w:rPr>
          <w:b w:val="0"/>
          <w:i w:val="0"/>
          <w:color w:val="808080"/>
          <w:sz w:val="24"/>
        </w:rPr>
        <w:t>20 September 2026</w:t>
      </w:r>
    </w:p>
    <w:p/>
    <w:p>
      <w:pPr>
        <w:jc w:val="center"/>
      </w:pPr>
      <w:r>
        <w:rPr>
          <w:b w:val="0"/>
          <w:i w:val="0"/>
          <w:color w:val="000000"/>
          <w:sz w:val="24"/>
        </w:rPr>
        <w:t>Girmaw Abebe Tadesse</w:t>
      </w:r>
    </w:p>
    <w:p>
      <w:pPr>
        <w:jc w:val="center"/>
      </w:pPr>
      <w:r>
        <w:rPr>
          <w:b w:val="0"/>
          <w:i/>
          <w:color w:val="808080"/>
          <w:sz w:val="22"/>
        </w:rPr>
        <w:t>[affiliation]   [co-authors]</w:t>
      </w:r>
    </w:p>
    <w:p/>
    <w:p>
      <w:pPr>
        <w:jc w:val="center"/>
      </w:pPr>
      <w:r>
        <w:rPr>
          <w:b w:val="0"/>
          <w:i w:val="0"/>
          <w:color w:val="808080"/>
          <w:sz w:val="20"/>
        </w:rPr>
        <w:t>Contact: girmawabebe@gmail.com / gtadesse@microsoft.com</w:t>
      </w:r>
    </w:p>
    <w:p>
      <w:pPr>
        <w:jc w:val="center"/>
      </w:pPr>
      <w:r>
        <w:rPr>
          <w:b w:val="0"/>
          <w:i/>
          <w:color w:val="808080"/>
          <w:sz w:val="20"/>
        </w:rPr>
        <w:t>Draft. Please do not circulate or cite.</w:t>
      </w:r>
    </w:p>
    <w:p>
      <w:r>
        <w:br w:type="page"/>
      </w:r>
    </w:p>
    <w:p>
      <w:pPr>
        <w:pStyle w:val="Heading1"/>
      </w:pPr>
      <w:r>
        <w:t>Contents</w:t>
      </w:r>
    </w:p>
    <w:p>
      <w:fldSimple w:instr="TOC \o &quot;1-3&quot; \h \z \u">
        <w:r>
          <w:t>Right-click and choose 'Update Field' to build the table of contents.</w:t>
        </w:r>
      </w:fldSimple>
    </w:p>
    <w:p>
      <w:r>
        <w:br w:type="page"/>
      </w:r>
    </w:p>
    <w:p>
      <w:pPr>
        <w:pStyle w:val="Heading1"/>
      </w:pPr>
      <w:r>
        <w:t>Abstract</w:t>
      </w:r>
    </w:p>
    <w:p>
      <w:r>
        <w:rPr>
          <w:b w:val="0"/>
          <w:i/>
          <w:color w:val="808080"/>
          <w:sz w:val="22"/>
        </w:rPr>
        <w:t>TODO: write the abstract last, once the survey numbers are in. Rough shape, about 200 words: why Ethiopia now (2024 AI policy, growing startup activity); what we did (desk review of 59 documents, inventory of 48 entities, survey with N = __, interviews with N = __); three or four headline findings; who should read this and what they should do with it.</w:t>
      </w:r>
    </w:p>
    <w:p>
      <w:r>
        <w:rPr>
          <w:b/>
          <w:i w:val="0"/>
          <w:color w:val="000000"/>
          <w:sz w:val="22"/>
        </w:rPr>
        <w:t xml:space="preserve">Keywords: </w:t>
      </w:r>
    </w:p>
    <w:p>
      <w:r>
        <w:rPr>
          <w:b w:val="0"/>
          <w:i/>
          <w:color w:val="000000"/>
          <w:sz w:val="22"/>
        </w:rPr>
        <w:t>artificial intelligence; Ethiopia; ecosystem mapping; startups; digital policy; NLP; low-resource languages; development finance</w:t>
      </w:r>
    </w:p>
    <w:p>
      <w:r>
        <w:br w:type="page"/>
      </w:r>
    </w:p>
    <w:p>
      <w:pPr>
        <w:pStyle w:val="Heading1"/>
      </w:pPr>
      <w:r>
        <w:t>1. Introduction</w:t>
      </w:r>
    </w:p>
    <w:p>
      <w:r>
        <w:rPr>
          <w:b w:val="0"/>
          <w:i w:val="0"/>
          <w:color w:val="000000"/>
          <w:sz w:val="22"/>
        </w:rPr>
        <w:t>Ethiopia approved a National AI Policy in June 2024 and set up a dedicated federal agency, the Ethiopian Artificial Intelligence Institute (EAII), in 2022. AI products are already in commercial use in the country, mainly in credit scoring and in language technology for Ethiopian languages. What is missing is an up-to-date picture of who is doing what: which organizations build, fund, regulate and research AI in Ethiopia, and how they relate to each other. This paper puts that picture together.</w:t>
      </w:r>
    </w:p>
    <w:p>
      <w:r>
        <w:rPr>
          <w:b w:val="0"/>
          <w:i w:val="0"/>
          <w:color w:val="000000"/>
          <w:sz w:val="22"/>
        </w:rPr>
        <w:t>We map the ecosystem across five groups of actors: start-ups; SMEs and established private firms; public institutions; funders and development partners; and research communities.</w:t>
      </w:r>
    </w:p>
    <w:p>
      <w:pPr>
        <w:pStyle w:val="Heading2"/>
      </w:pPr>
      <w:r>
        <w:t>1.1 Research questions</w:t>
      </w:r>
    </w:p>
    <w:p>
      <w:pPr>
        <w:pStyle w:val="ListNumber"/>
      </w:pPr>
      <w:r>
        <w:rPr>
          <w:sz w:val="22"/>
        </w:rPr>
        <w:t>Who are the actors in Ethiopia's AI ecosystem, and how are they spread across categories and sectors?</w:t>
      </w:r>
    </w:p>
    <w:p>
      <w:pPr>
        <w:pStyle w:val="ListNumber"/>
      </w:pPr>
      <w:r>
        <w:rPr>
          <w:sz w:val="22"/>
        </w:rPr>
        <w:t>Where is AI actually used in Ethiopia today, and on what technical basis (own models or pre-trained third-party models)?</w:t>
      </w:r>
    </w:p>
    <w:p>
      <w:pPr>
        <w:pStyle w:val="ListNumber"/>
      </w:pPr>
      <w:r>
        <w:rPr>
          <w:sz w:val="22"/>
        </w:rPr>
        <w:t>What policy, funding and infrastructure support exists, and where are the gaps?</w:t>
      </w:r>
    </w:p>
    <w:p>
      <w:pPr>
        <w:pStyle w:val="ListNumber"/>
      </w:pPr>
      <w:r>
        <w:rPr>
          <w:sz w:val="22"/>
        </w:rPr>
        <w:t>What holds Ethiopian AI organizations back, and what would help?</w:t>
      </w:r>
    </w:p>
    <w:p>
      <w:pPr>
        <w:pStyle w:val="Heading2"/>
      </w:pPr>
      <w:r>
        <w:t>1.2 What this paper adds</w:t>
      </w:r>
    </w:p>
    <w:p>
      <w:pPr>
        <w:pStyle w:val="ListBullet"/>
      </w:pPr>
      <w:r>
        <w:rPr>
          <w:sz w:val="22"/>
        </w:rPr>
        <w:t>A verified evidence base: 59 documents (2016-2026) covering government policy, donor programming, academic research and ecosystem reporting.</w:t>
      </w:r>
    </w:p>
    <w:p>
      <w:pPr>
        <w:pStyle w:val="ListBullet"/>
      </w:pPr>
      <w:r>
        <w:rPr>
          <w:sz w:val="22"/>
        </w:rPr>
        <w:t>An inventory of 48 entities, documented by sector, category, products and role. The survey is expected to grow this list.</w:t>
      </w:r>
    </w:p>
    <w:p>
      <w:pPr>
        <w:pStyle w:val="ListBullet"/>
      </w:pPr>
      <w:r>
        <w:rPr>
          <w:sz w:val="22"/>
        </w:rPr>
        <w:t>A primary survey instrument (Data-collection-v1) and, in later versions of this draft, its results on organization profiles, AI use, funding and challenges.</w:t>
      </w:r>
    </w:p>
    <w:p>
      <w:pPr>
        <w:pStyle w:val="ListBullet"/>
      </w:pPr>
      <w:r>
        <w:rPr>
          <w:sz w:val="22"/>
        </w:rPr>
        <w:t>Recommendations grounded in the above.</w:t>
      </w:r>
    </w:p>
    <w:p>
      <w:pPr>
        <w:pStyle w:val="Heading2"/>
      </w:pPr>
      <w:r>
        <w:t>1.3 How the paper is organized</w:t>
      </w:r>
    </w:p>
    <w:p>
      <w:r>
        <w:rPr>
          <w:b w:val="0"/>
          <w:i w:val="0"/>
          <w:color w:val="000000"/>
          <w:sz w:val="22"/>
        </w:rPr>
        <w:t>Section 2 gives background on Ethiopia's digital and AI policy context. Section 3 reviews prior work. Section 4 describes methods. Section 5 walks through the landscape by actor group. Section 6 will report survey results. Sections 7 to 9 cover findings, challenges and recommendations. Section 10 concludes.</w:t>
      </w:r>
    </w:p>
    <w:p>
      <w:pPr>
        <w:pStyle w:val="Heading1"/>
      </w:pPr>
      <w:r>
        <w:t>2. Background and Context</w:t>
      </w:r>
    </w:p>
    <w:p>
      <w:pPr>
        <w:pStyle w:val="Heading2"/>
      </w:pPr>
      <w:r>
        <w:t>2.1 Digital foundations</w:t>
      </w:r>
    </w:p>
    <w:p>
      <w:r>
        <w:rPr>
          <w:b w:val="0"/>
          <w:i w:val="0"/>
          <w:color w:val="000000"/>
          <w:sz w:val="22"/>
        </w:rPr>
        <w:t>AI in Ethiopia sits on top of infrastructure that is changing quickly. Ethio Telecom has expanded connectivity and runs Telebirr, a mobile money service with about 47.5 million subscribers. The Fayda national digital ID program is rolling out with a $350 million World Bank project behind it. A Personal Data Protection Proclamation (No. 1321/2024) is now in force, and the Startup Businesses Proclamation (No. 1396/2025) created a startup fund and a regulatory sandbox.</w:t>
      </w:r>
    </w:p>
    <w:p>
      <w:r>
        <w:rPr>
          <w:b w:val="0"/>
          <w:i/>
          <w:color w:val="808080"/>
          <w:sz w:val="22"/>
        </w:rPr>
        <w:t>TODO: add connectivity, power and data-centre numbers from the GSMA Digital Economy 2024 report and the Ethio Telecom FY2024/25 annual report (the latter needs OCR first).</w:t>
      </w:r>
    </w:p>
    <w:p>
      <w:pPr>
        <w:pStyle w:val="Heading2"/>
      </w:pPr>
      <w:r>
        <w:t>2.2 AI policy timeline</w:t>
      </w:r>
    </w:p>
    <w:p>
      <w:pPr>
        <w:pStyle w:val="ListBullet"/>
      </w:pPr>
      <w:r>
        <w:rPr>
          <w:sz w:val="22"/>
        </w:rPr>
        <w:t>2016: National ICT Policy and Strategy (the historical baseline).</w:t>
      </w:r>
    </w:p>
    <w:p>
      <w:pPr>
        <w:pStyle w:val="ListBullet"/>
      </w:pPr>
      <w:r>
        <w:rPr>
          <w:sz w:val="22"/>
        </w:rPr>
        <w:t>2020: Digital Ethiopia 2025 strategy; draft National AI Policy prepared by a MInT/EAII working group.</w:t>
      </w:r>
    </w:p>
    <w:p>
      <w:pPr>
        <w:pStyle w:val="ListBullet"/>
      </w:pPr>
      <w:r>
        <w:rPr>
          <w:sz w:val="22"/>
        </w:rPr>
        <w:t>2022: EAII established (Regulation No. 510/2022).</w:t>
      </w:r>
    </w:p>
    <w:p>
      <w:pPr>
        <w:pStyle w:val="ListBullet"/>
      </w:pPr>
      <w:r>
        <w:rPr>
          <w:sz w:val="22"/>
        </w:rPr>
        <w:t>2023: Digital Identification Proclamation No. 1284/2023.</w:t>
      </w:r>
    </w:p>
    <w:p>
      <w:pPr>
        <w:pStyle w:val="ListBullet"/>
      </w:pPr>
      <w:r>
        <w:rPr>
          <w:sz w:val="22"/>
        </w:rPr>
        <w:t>2024: National AI Policy approved in June; Personal Data Protection Proclamation; AU Continental AI Strategy adopted in Addis Ababa.</w:t>
      </w:r>
    </w:p>
    <w:p>
      <w:pPr>
        <w:pStyle w:val="ListBullet"/>
      </w:pPr>
      <w:r>
        <w:rPr>
          <w:sz w:val="22"/>
        </w:rPr>
        <w:t>2025: Digital Ethiopia 2030; Startup Proclamation No. 1396/2025; draft National Digital Payments Strategy 2026-2030.</w:t>
      </w:r>
    </w:p>
    <w:p>
      <w:pPr>
        <w:pStyle w:val="ListBullet"/>
      </w:pPr>
      <w:r>
        <w:rPr>
          <w:sz w:val="22"/>
        </w:rPr>
        <w:t>2026: Addis Ababa Declaration on AI Governance (UNECA, 22 African states); AI UniPod opened at Addis Ababa University; UK FCDO EthiopiAI programme business case.</w:t>
      </w:r>
    </w:p>
    <w:p>
      <w:pPr>
        <w:pStyle w:val="Heading2"/>
      </w:pPr>
      <w:r>
        <w:t>2.3 Ethiopia in the continental picture</w:t>
      </w:r>
    </w:p>
    <w:p>
      <w:r>
        <w:rPr>
          <w:b w:val="0"/>
          <w:i/>
          <w:color w:val="808080"/>
          <w:sz w:val="22"/>
        </w:rPr>
        <w:t>TODO: place Ethiopia against peers using the Oxford Insights Government AI Readiness Index 2024, the bibliometric study that ranks Ethiopia 6th in African AI research output (2013-2022), and the AU/UNECA frameworks. Keep this short; one page at most.</w:t>
      </w:r>
    </w:p>
    <w:p>
      <w:pPr>
        <w:pStyle w:val="Heading1"/>
      </w:pPr>
      <w:r>
        <w:t>3. Related Work</w:t>
      </w:r>
    </w:p>
    <w:p>
      <w:r>
        <w:rPr>
          <w:b w:val="0"/>
          <w:i w:val="0"/>
          <w:color w:val="000000"/>
          <w:sz w:val="22"/>
        </w:rPr>
        <w:t>Three strands of prior work matter here:</w:t>
      </w:r>
    </w:p>
    <w:p>
      <w:pPr>
        <w:pStyle w:val="ListBullet"/>
      </w:pPr>
      <w:r>
        <w:rPr>
          <w:sz w:val="22"/>
        </w:rPr>
        <w:t>Ecosystem mappings. The AI and Ethics (Springer, 2024) study surveyed 32 organizations and 61 AI startups; ANDE mapped 140 organizations in the wider entrepreneurial ecosystem (2024); journalists have inventoried the startup scene at intervals (Quartz on 'Sheba Valley' in 2018, Loline in 2025).</w:t>
      </w:r>
    </w:p>
    <w:p>
      <w:pPr>
        <w:pStyle w:val="ListBullet"/>
      </w:pPr>
      <w:r>
        <w:rPr>
          <w:sz w:val="22"/>
        </w:rPr>
        <w:t>Sector and use-case studies. GSMA's 'AI in Ethiopia' (2025) on development use cases; World Bank work on psychometric credit scoring (2018); studies of digital health and agriculture applications.</w:t>
      </w:r>
    </w:p>
    <w:p>
      <w:pPr>
        <w:pStyle w:val="ListBullet"/>
      </w:pPr>
      <w:r>
        <w:rPr>
          <w:sz w:val="22"/>
        </w:rPr>
        <w:t>Language technology research. EthioNLP's surveys and resources (EthioLLM, EthioMT), the Lesan machine translation work, and the wider Masakhane movement.</w:t>
      </w:r>
    </w:p>
    <w:p>
      <w:r>
        <w:rPr>
          <w:b w:val="0"/>
          <w:i/>
          <w:color w:val="808080"/>
          <w:sz w:val="22"/>
        </w:rPr>
        <w:t>TODO: turn this into a proper review after we get the Springer paper and the UNESCO RAM country report. Say plainly how this paper differs: it is current, covers five actor groups, and adds primary survey data.</w:t>
      </w:r>
    </w:p>
    <w:p>
      <w:pPr>
        <w:pStyle w:val="Heading1"/>
      </w:pPr>
      <w:r>
        <w:t>4. Methods</w:t>
      </w:r>
    </w:p>
    <w:p>
      <w:r>
        <w:rPr>
          <w:b w:val="0"/>
          <w:i w:val="0"/>
          <w:color w:val="000000"/>
          <w:sz w:val="22"/>
        </w:rPr>
        <w:t>The study has four parts, done in sequence.</w:t>
      </w:r>
    </w:p>
    <w:p>
      <w:pPr>
        <w:pStyle w:val="Heading2"/>
      </w:pPr>
      <w:r>
        <w:t>4.1 Desk review and corpus verification</w:t>
      </w:r>
    </w:p>
    <w:p>
      <w:r>
        <w:rPr>
          <w:b w:val="0"/>
          <w:i w:val="0"/>
          <w:color w:val="000000"/>
          <w:sz w:val="22"/>
        </w:rPr>
        <w:t>We collected candidate documents and checked each one against two tests: does it substantively discuss Ethiopia, and does it substantively discuss AI. The check used full-text keyword scans (Ethiopia terms such as Ethiopia, Addis Ababa, Amharic, Tigrinya, Oromo, Telebirr, Fayda; AI terms such as artificial intelligence, machine learning, NLP). 59 documents passed and were indexed in four groups: government and policy (15), development partners and funders (13), academic research (19), and private sector and ecosystem (12). Ten files failed one of the two tests and were set aside, each with the reason recorded. Nine further documents are known to exist but could not be downloaded (paywalls, login gates, unpublished texts); these are on a retrieval list.</w:t>
      </w:r>
    </w:p>
    <w:p>
      <w:pPr>
        <w:pStyle w:val="Heading2"/>
      </w:pPr>
      <w:r>
        <w:t>4.2 Entity inventory</w:t>
      </w:r>
    </w:p>
    <w:p>
      <w:r>
        <w:rPr>
          <w:b w:val="0"/>
          <w:i w:val="0"/>
          <w:color w:val="000000"/>
          <w:sz w:val="22"/>
        </w:rPr>
        <w:t>From the corpus we compiled an inventory of 48 entities, each recorded with name, sector, category, key products or role, and notes (links.docx): 13 start-ups, 9 SMEs and established firms, 10 public institutions, 11 funders and development partners, and 5 research communities.</w:t>
      </w:r>
    </w:p>
    <w:p>
      <w:pPr>
        <w:pStyle w:val="Heading2"/>
      </w:pPr>
      <w:r>
        <w:t>4.3 Survey (Data-collection-v1)</w:t>
      </w:r>
    </w:p>
    <w:p>
      <w:r>
        <w:rPr>
          <w:b w:val="0"/>
          <w:i w:val="0"/>
          <w:color w:val="000000"/>
          <w:sz w:val="22"/>
        </w:rPr>
        <w:t>A Google Form survey collects primary data from ecosystem actors. It has 8 sections and about 30 questions: respondent details; organization basics (category, year founded, registration); sectors and products; AI use (role of AI, technologies, own vs. pre-trained models, Ethiopian-language support); team; funding status; ecosystem links and challenges; and consent. A referral question at the end asks respondents to name other organizations we should invite, which lets us snowball beyond our own contact lists.</w:t>
      </w:r>
    </w:p>
    <w:p>
      <w:r>
        <w:rPr>
          <w:b w:val="0"/>
          <w:i/>
          <w:color w:val="808080"/>
          <w:sz w:val="22"/>
        </w:rPr>
        <w:t>TODO: after fielding: record launch date, distribution channels, response rate and final N; describe the cleaning and de-duplication rules we actually used.</w:t>
      </w:r>
    </w:p>
    <w:p>
      <w:pPr>
        <w:pStyle w:val="Heading2"/>
      </w:pPr>
      <w:r>
        <w:t>4.4 Key-informant interviews</w:t>
      </w:r>
    </w:p>
    <w:p>
      <w:r>
        <w:rPr>
          <w:b w:val="0"/>
          <w:i/>
          <w:color w:val="808080"/>
          <w:sz w:val="22"/>
        </w:rPr>
        <w:t>TODO: write up the interview protocol and informant list (current shortlist: EAII, MInT, Kifiya, iCog, EthioNLP, plus two or three funders). Note consent procedure and how we code the transcripts.</w:t>
      </w:r>
    </w:p>
    <w:p>
      <w:pPr>
        <w:pStyle w:val="Heading2"/>
      </w:pPr>
      <w:r>
        <w:t>4.5 Limitations</w:t>
      </w:r>
    </w:p>
    <w:p>
      <w:r>
        <w:rPr>
          <w:b w:val="0"/>
          <w:i/>
          <w:color w:val="808080"/>
          <w:sz w:val="22"/>
        </w:rPr>
        <w:t>TODO: be honest here: the desk review favors organizations that are visible online and in English; the survey is self-reported; two of the most relevant prior studies are still behind paywalls; two scanned PDFs still need OCR.</w:t>
      </w:r>
    </w:p>
    <w:p>
      <w:pPr>
        <w:pStyle w:val="Heading1"/>
      </w:pPr>
      <w:r>
        <w:t>5. The Landscape by Actor Group</w:t>
      </w:r>
    </w:p>
    <w:p>
      <w:pPr>
        <w:pStyle w:val="Heading2"/>
      </w:pPr>
      <w:r>
        <w:t>5.1 Start-ups</w:t>
      </w:r>
    </w:p>
    <w:p>
      <w:r>
        <w:rPr>
          <w:b w:val="0"/>
          <w:i w:val="0"/>
          <w:color w:val="000000"/>
          <w:sz w:val="22"/>
        </w:rPr>
        <w:t>The oldest player is iCog Labs (2012), known for its contribution to Sophia the Robot and the OpenCog framework, and for running the Solve IT competition. A younger generation, mostly founded after 2019, works on Ethiopian-language AI: Lesan AI (Amharic and Tigrinya machine translation), HasabAI (audio intelligence API), Zemenu (the Lucy assistant), Addis AI, Begize AI, Leyu AI (crowdsourced datasets), Admas AI and EthioRobot AI. An edtech cohort (Bee Educate, LearningCloud, CronosEdx) came through the first AI UniPod bootcamp in 2026.</w:t>
      </w:r>
    </w:p>
    <w:p>
      <w:r>
        <w:rPr>
          <w:b w:val="0"/>
          <w:i/>
          <w:color w:val="808080"/>
          <w:sz w:val="22"/>
        </w:rPr>
        <w:t>TODO: bring in survey data here: founding years, product stages, and how many train their own models vs. build on APIs.</w:t>
      </w:r>
    </w:p>
    <w:p>
      <w:pPr>
        <w:pStyle w:val="Heading2"/>
      </w:pPr>
      <w:r>
        <w:t>5.2 SMEs and established private firms</w:t>
      </w:r>
    </w:p>
    <w:p>
      <w:r>
        <w:rPr>
          <w:b w:val="0"/>
          <w:i w:val="0"/>
          <w:color w:val="000000"/>
          <w:sz w:val="22"/>
        </w:rPr>
        <w:t>Most commercial AI in Ethiopia runs through established firms rather than young startups. Kifiya Financial Technology operates Qena, an AI lending platform that has facilitated $150 million in uncollateralised credit to 382,000 MSMEs, and Michu with Cooperative Bank of Oromia. Ethiocloud offers Abyssinica GPT for Amharic. Gebeya runs a pan-African talent marketplace. Awash Bank's Tila product (with Ethio Telecom) uses AI-assisted credit scoring. Hubs and enablers such as iceaddis, blueMoon and Ibex Frontier sit around these firms. Data-annotation work for global platforms is part of the picture too, though not a happy one: TIME's 2022 investigation of Sama documented poor conditions for Ethiopian-language content moderators working for Meta.</w:t>
      </w:r>
    </w:p>
    <w:p>
      <w:pPr>
        <w:pStyle w:val="Heading2"/>
      </w:pPr>
      <w:r>
        <w:t>5.3 Public institutions</w:t>
      </w:r>
    </w:p>
    <w:p>
      <w:r>
        <w:rPr>
          <w:b w:val="0"/>
          <w:i w:val="0"/>
          <w:color w:val="000000"/>
          <w:sz w:val="22"/>
        </w:rPr>
        <w:t>EAII leads implementation and MInT owns the policy agenda. Ethio Telecom provides the infrastructure and deployment layer: Telebirr, the Ardi customer-service chatbot, and an AI and cloud partnership with Huawei. The Fayda national ID program and the National Bank of Ethiopia supply the data infrastructure and financial-sector rules. The ministries of Agriculture, Health and Education each have digital roadmaps with AI components. Addis Ababa University and AASTU carry most of the university-side activity.</w:t>
      </w:r>
    </w:p>
    <w:p>
      <w:pPr>
        <w:pStyle w:val="Heading2"/>
      </w:pPr>
      <w:r>
        <w:t>5.4 Funders and development partners</w:t>
      </w:r>
    </w:p>
    <w:p>
      <w:r>
        <w:rPr>
          <w:b w:val="0"/>
          <w:i w:val="0"/>
          <w:color w:val="000000"/>
          <w:sz w:val="22"/>
        </w:rPr>
        <w:t>The World Bank has over $630 million in active digital projects in Ethiopia. The UK FCDO is preparing EthiopiAI, a dedicated £4.6 million AI programme. UNDP co-runs the AI UniPod at AAU. UNECA and the AU, both headquartered in Addis, set the continental governance frames. ITU, IDRC/Sida (through AI4D) and JICA also fund relevant work. On the corporate side, Google funds A2SV and Huawei partners with Ethio Telecom.</w:t>
      </w:r>
    </w:p>
    <w:p>
      <w:pPr>
        <w:pStyle w:val="Heading2"/>
      </w:pPr>
      <w:r>
        <w:t>5.5 Research and grassroots communities</w:t>
      </w:r>
    </w:p>
    <w:p>
      <w:r>
        <w:rPr>
          <w:b w:val="0"/>
          <w:i w:val="0"/>
          <w:color w:val="000000"/>
          <w:sz w:val="22"/>
        </w:rPr>
        <w:t>EthioNLP is the anchor research community: 47 open models, 26 datasets and 218 member publications, including EthioLLM and EthioMT. A2SV has trained over 1,200 students and places graduates at major tech firms. GDG Addis and the Omdena Addis Ababa chapter run developer and project communities. Masakhane connects this work to the rest of the continent.</w:t>
      </w:r>
    </w:p>
    <w:p>
      <w:r>
        <w:rPr>
          <w:b w:val="0"/>
          <w:i/>
          <w:color w:val="808080"/>
          <w:sz w:val="22"/>
        </w:rPr>
        <w:t>TODO: add the ecosystem map figure and cross-reference the full entity table in Appendix A.</w:t>
      </w:r>
    </w:p>
    <w:p>
      <w:pPr>
        <w:pStyle w:val="Heading1"/>
      </w:pPr>
      <w:r>
        <w:t>6. Survey Results</w:t>
      </w:r>
    </w:p>
    <w:p>
      <w:r>
        <w:rPr>
          <w:b w:val="0"/>
          <w:i/>
          <w:color w:val="808080"/>
          <w:sz w:val="22"/>
        </w:rPr>
        <w:t>TODO: whole section pending survey launch. Planned subsections: 6.1 respondent profile; 6.2 sectors and products; 6.3 AI technologies and model provenance; 6.4 Ethiopian-language coverage; 6.5 funding; 6.6 challenges; 6.7 ecosystem participation. Charts: category breakdown, founding years, funding bands, top challenges.</w:t>
      </w:r>
    </w:p>
    <w:p>
      <w:pPr>
        <w:pStyle w:val="Heading1"/>
      </w:pPr>
      <w:r>
        <w:t>7. Findings</w:t>
      </w:r>
    </w:p>
    <w:p>
      <w:r>
        <w:rPr>
          <w:b w:val="0"/>
          <w:i w:val="0"/>
          <w:color w:val="000000"/>
          <w:sz w:val="22"/>
        </w:rPr>
        <w:t>Five patterns stand out from the desk review. Each needs testing against the survey and interview data.</w:t>
      </w:r>
    </w:p>
    <w:p>
      <w:pPr>
        <w:pStyle w:val="ListBullet"/>
      </w:pPr>
      <w:r>
        <w:rPr>
          <w:sz w:val="22"/>
        </w:rPr>
        <w:t>Fintech is where AI works at scale today. Credit scoring runs through bank-fintech-telecom partnerships and reaches hundreds of thousands of borrowers.</w:t>
      </w:r>
    </w:p>
    <w:p>
      <w:pPr>
        <w:pStyle w:val="ListBullet"/>
      </w:pPr>
      <w:r>
        <w:rPr>
          <w:sz w:val="22"/>
        </w:rPr>
        <w:t>Language technology is where Ethiopian teams beat global tools, but coverage is thin: only around 6 of the country's 80+ languages have any models or datasets, and Amharic takes up most of the existing work.</w:t>
      </w:r>
    </w:p>
    <w:p>
      <w:pPr>
        <w:pStyle w:val="ListBullet"/>
      </w:pPr>
      <w:r>
        <w:rPr>
          <w:sz w:val="22"/>
        </w:rPr>
        <w:t>The policy scaffolding is very new. More than half of our evidence base (35 of 59 documents) dates from 2024 to 2026.</w:t>
      </w:r>
    </w:p>
    <w:p>
      <w:pPr>
        <w:pStyle w:val="ListBullet"/>
      </w:pPr>
      <w:r>
        <w:rPr>
          <w:sz w:val="22"/>
        </w:rPr>
        <w:t>Donors fund much of the ecosystem. That buys momentum now; what survives when the programmes end is an open question.</w:t>
      </w:r>
    </w:p>
    <w:p>
      <w:pPr>
        <w:pStyle w:val="ListBullet"/>
      </w:pPr>
      <w:r>
        <w:rPr>
          <w:sz w:val="22"/>
        </w:rPr>
        <w:t>The binding constraints are structural: quality datasets, compute, early-stage capital. Most startups build on foreign pre-trained models because training their own is out of reach.</w:t>
      </w:r>
    </w:p>
    <w:p>
      <w:r>
        <w:rPr>
          <w:b w:val="0"/>
          <w:i/>
          <w:color w:val="808080"/>
          <w:sz w:val="22"/>
        </w:rPr>
        <w:t>TODO: deepen each with survey and interview evidence; look for counter-examples; compare with Kenya and Rwanda where data allows.</w:t>
      </w:r>
    </w:p>
    <w:p>
      <w:pPr>
        <w:pStyle w:val="Heading1"/>
      </w:pPr>
      <w:r>
        <w:t>8. Challenges and Gaps</w:t>
      </w:r>
    </w:p>
    <w:p>
      <w:r>
        <w:rPr>
          <w:b w:val="0"/>
          <w:i/>
          <w:color w:val="808080"/>
          <w:sz w:val="22"/>
        </w:rPr>
        <w:t>TODO: build this from the survey's challenges question and the interviews. Likely headings: data availability; talent retention; compute and connectivity; funding gaps by stage; regulatory uncertainty; language coverage; gender gaps in founding teams.</w:t>
      </w:r>
    </w:p>
    <w:p>
      <w:pPr>
        <w:pStyle w:val="Heading1"/>
      </w:pPr>
      <w:r>
        <w:t>9. Recommendations</w:t>
      </w:r>
    </w:p>
    <w:p>
      <w:r>
        <w:rPr>
          <w:b w:val="0"/>
          <w:i/>
          <w:color w:val="808080"/>
          <w:sz w:val="22"/>
        </w:rPr>
        <w:t>TODO: write one set of recommendations per audience: government/EAII, funders, private sector, universities and communities. Each recommendation must trace back to a documented finding; cut anything that doesn't.</w:t>
      </w:r>
    </w:p>
    <w:p>
      <w:pPr>
        <w:pStyle w:val="Heading1"/>
      </w:pPr>
      <w:r>
        <w:t>10. Conclusion</w:t>
      </w:r>
    </w:p>
    <w:p>
      <w:r>
        <w:rPr>
          <w:b w:val="0"/>
          <w:i/>
          <w:color w:val="808080"/>
          <w:sz w:val="22"/>
        </w:rPr>
        <w:t>TODO: answer the four research questions in order, briefly. Future work: track the ecosystem over time, compare with neighbouring countries, and go deeper on one or two sectors.</w:t>
      </w:r>
    </w:p>
    <w:p>
      <w:pPr>
        <w:pStyle w:val="Heading1"/>
      </w:pPr>
      <w:r>
        <w:t>Acknowledgements</w:t>
      </w:r>
    </w:p>
    <w:p>
      <w:r>
        <w:rPr>
          <w:b w:val="0"/>
          <w:i/>
          <w:color w:val="808080"/>
          <w:sz w:val="22"/>
        </w:rPr>
        <w:t>TODO: thank survey respondents, interviewees and reviewers; add funding acknowledgement if any.</w:t>
      </w:r>
    </w:p>
    <w:p>
      <w:pPr>
        <w:pStyle w:val="Heading1"/>
      </w:pPr>
      <w:r>
        <w:t>References</w:t>
      </w:r>
    </w:p>
    <w:p>
      <w:r>
        <w:rPr>
          <w:b w:val="0"/>
          <w:i/>
          <w:color w:val="000000"/>
          <w:sz w:val="22"/>
        </w:rPr>
        <w:t>Starting list from the corpus; to be completed and put into one citation style:</w:t>
      </w:r>
    </w:p>
    <w:p>
      <w:pPr>
        <w:pStyle w:val="ListBullet"/>
      </w:pPr>
      <w:r>
        <w:rPr>
          <w:sz w:val="22"/>
        </w:rPr>
        <w:t>FDRE Council of Ministers (2022). Regulation No. 510/2022: Establishment of the Ethiopian Artificial Intelligence Institute.</w:t>
      </w:r>
    </w:p>
    <w:p>
      <w:pPr>
        <w:pStyle w:val="ListBullet"/>
      </w:pPr>
      <w:r>
        <w:rPr>
          <w:sz w:val="22"/>
        </w:rPr>
        <w:t>FDRE / MInT (2020). Digital Ethiopia 2025. FDRE PMO (2025). Digital Ethiopia 2030.</w:t>
      </w:r>
    </w:p>
    <w:p>
      <w:pPr>
        <w:pStyle w:val="ListBullet"/>
      </w:pPr>
      <w:r>
        <w:rPr>
          <w:sz w:val="22"/>
        </w:rPr>
        <w:t>MInT / EAII working group (2020). National AI Policy (draft recommendation).</w:t>
      </w:r>
    </w:p>
    <w:p>
      <w:pPr>
        <w:pStyle w:val="ListBullet"/>
      </w:pPr>
      <w:r>
        <w:rPr>
          <w:sz w:val="22"/>
        </w:rPr>
        <w:t>GSMA (2025). AI in Ethiopia: Promising Use Cases for Development.</w:t>
      </w:r>
    </w:p>
    <w:p>
      <w:pPr>
        <w:pStyle w:val="ListBullet"/>
      </w:pPr>
      <w:r>
        <w:rPr>
          <w:sz w:val="22"/>
        </w:rPr>
        <w:t>EthioNLP (2023). NLP in Ethiopian Languages (arXiv:2303.14406). EthioNLP (2024). EthioLLM (arXiv:2403.13737).</w:t>
      </w:r>
    </w:p>
    <w:p>
      <w:pPr>
        <w:pStyle w:val="ListBullet"/>
      </w:pPr>
      <w:r>
        <w:rPr>
          <w:sz w:val="22"/>
        </w:rPr>
        <w:t>Hadgu, A., Aregawi, A., Beaudoin, P. (2021). Lesan: Machine Translation for Low Resource Languages (arXiv:2112.08191).</w:t>
      </w:r>
    </w:p>
    <w:p>
      <w:pPr>
        <w:pStyle w:val="ListBullet"/>
      </w:pPr>
      <w:r>
        <w:rPr>
          <w:sz w:val="22"/>
        </w:rPr>
        <w:t>World Bank (2021). Ethiopia Digital Foundations Project PAD. World Bank (2023). Digital ID for Inclusion and Services Project.</w:t>
      </w:r>
    </w:p>
    <w:p>
      <w:pPr>
        <w:pStyle w:val="ListBullet"/>
      </w:pPr>
      <w:r>
        <w:rPr>
          <w:sz w:val="22"/>
        </w:rPr>
        <w:t>UK FCDO (2026). EthiopiAI Programme Business Case.</w:t>
      </w:r>
    </w:p>
    <w:p>
      <w:pPr>
        <w:pStyle w:val="ListBullet"/>
      </w:pPr>
      <w:r>
        <w:rPr>
          <w:sz w:val="22"/>
        </w:rPr>
        <w:t>African Union (2024). Continental AI Strategy. UNECA (2026). Addis Ababa Declaration on AI Governance.</w:t>
      </w:r>
    </w:p>
    <w:p>
      <w:pPr>
        <w:pStyle w:val="ListBullet"/>
      </w:pPr>
      <w:r>
        <w:rPr>
          <w:sz w:val="22"/>
        </w:rPr>
        <w:t>Oxford Insights (2024). Government AI Readiness Index.</w:t>
      </w:r>
    </w:p>
    <w:p>
      <w:r>
        <w:rPr>
          <w:b w:val="0"/>
          <w:i/>
          <w:color w:val="808080"/>
          <w:sz w:val="22"/>
        </w:rPr>
        <w:t>TODO: add the rest of the corpus from related_materials/INDEX.md, plus the Springer 2024 ecosystem study and the UNESCO RAM Ethiopia report once we have them.</w:t>
      </w:r>
    </w:p>
    <w:p>
      <w:pPr>
        <w:pStyle w:val="Heading1"/>
      </w:pPr>
      <w:r>
        <w:t>Appendices</w:t>
      </w:r>
    </w:p>
    <w:p>
      <w:pPr>
        <w:pStyle w:val="Heading2"/>
      </w:pPr>
      <w:r>
        <w:t>Appendix A. Entity inventory</w:t>
      </w:r>
    </w:p>
    <w:p>
      <w:r>
        <w:rPr>
          <w:b w:val="0"/>
          <w:i w:val="0"/>
          <w:color w:val="000000"/>
          <w:sz w:val="22"/>
        </w:rPr>
        <w:t>Full table of mapped entities (currently 48; see links.docx): name, sector, category, key products or role, and notes.</w:t>
      </w:r>
    </w:p>
    <w:p>
      <w:pPr>
        <w:pStyle w:val="Heading2"/>
      </w:pPr>
      <w:r>
        <w:t>Appendix B. Survey instrument</w:t>
      </w:r>
    </w:p>
    <w:p>
      <w:r>
        <w:rPr>
          <w:b w:val="0"/>
          <w:i w:val="0"/>
          <w:color w:val="000000"/>
          <w:sz w:val="22"/>
        </w:rPr>
        <w:t>Data-collection-v1: the full question list (8 sections, about 30 questions), consent language and validation rules.</w:t>
      </w:r>
    </w:p>
    <w:p>
      <w:pPr>
        <w:pStyle w:val="Heading2"/>
      </w:pPr>
      <w:r>
        <w:t>Appendix C. Corpus index</w:t>
      </w:r>
    </w:p>
    <w:p>
      <w:r>
        <w:rPr>
          <w:b w:val="0"/>
          <w:i w:val="0"/>
          <w:color w:val="000000"/>
          <w:sz w:val="22"/>
        </w:rPr>
        <w:t>The verified document index (related_materials/INDEX.md): 59 kept documents with scan counts, the 10 exclusions with reasons, and the 9-item retrieval list.</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