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…… KULÜBÜ YILLIK ÇALIŞMA PLANI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>
          <w:i/>
        </w:rPr>
        <w:t xml:space="preserve">Plan, Millî Eğitim Bakanlığı Eğitim Kurumları Sosyal Etkinlikler Yönetmeliği esas alınarak hazırlanmıştır. Kulüp çalışmaları öğrencilerin ilgi ve yeteneklerini geliştirmeyi, iş birliği, sorumluluk ve gönüllülük bilinci kazandırmayı amaçlar.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300"/>
        <w:gridCol w:w="5600"/>
        <w:gridCol w:w="2700"/>
      </w:tblGrid>
      <w:tr>
        <w:trPr>
          <w:tblHeader/>
        </w:trPr>
        <w:tc>
          <w:tcPr>
            <w:tcW w:w="13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AY</w:t>
            </w:r>
          </w:p>
        </w:tc>
        <w:tc>
          <w:tcPr>
            <w:tcW w:w="56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YAPILACAK ÇALIŞMALAR</w:t>
            </w:r>
          </w:p>
        </w:tc>
        <w:tc>
          <w:tcPr>
            <w:tcW w:w="27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AÇIKLAMA</w:t>
            </w: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EYLÜL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Kulübün tanıtılması, üyelerin belirlenmesi. İlk genel kurul toplantısı; kulüp başkanı ve yönetim kurulunun seçilmesi.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/>
              <w:t xml:space="preserve">Üye listesi e-Okul’a işlenir.</w:t>
            </w: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Yıllık çalışma planının üyelerle birlikte hazırlanması. 29 Ekim Cumhuriyet Bayramı etkinliklerine katılım.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/>
              <w:t xml:space="preserve">Görev dağılımı yapılır.</w:t>
            </w: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KASIM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10 Kasım Atatürk’ü Anma Haftası etkinliklerine katkı. 24 Kasım Öğretmenler Günü için çalışma.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/>
              <w:t xml:space="preserve">Pano / sunum hazırlanır.</w:t>
            </w: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Kulüp alanına yönelik araştırma ve sunum çalışmaları. Okul içi duyuru ve pano düzenlenmesi.</w:t>
            </w:r>
          </w:p>
        </w:tc>
        <w:tc>
          <w:tcPr>
            <w:tcW w:w="27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OCAK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Birinci dönem çalışmalarının değerlendirilmesi; dönem sonu raporunun hazırlanması.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/>
              <w:t xml:space="preserve">Dönem değerlendirme toplantısı.</w:t>
            </w: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ŞUBAT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İkinci dönem çalışma takviminin belirlenmesi. Kulüp alanına yönelik proje veya etkinlik hazırlığı.</w:t>
            </w:r>
          </w:p>
        </w:tc>
        <w:tc>
          <w:tcPr>
            <w:tcW w:w="27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12 Mart İstiklal Marşı’nın Kabulü ve 18 Mart Çanakkale Zaferi etkinliklerine katkı.</w:t>
            </w:r>
          </w:p>
        </w:tc>
        <w:tc>
          <w:tcPr>
            <w:tcW w:w="27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23 Nisan Ulusal Egemenlik ve Çocuk Bayramı etkinliklerine katılım. Okul dışı gezi / gözlem etkinliği (izinler alınarak).</w:t>
            </w:r>
          </w:p>
        </w:tc>
        <w:tc>
          <w:tcPr>
            <w:tcW w:w="27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MAYIS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19 Mayıs Atatürk’ü Anma, Gençlik ve Spor Bayramı etkinliklerine katılım. Yıl sonu sergi / gösteri hazırlığı.</w:t>
            </w:r>
          </w:p>
        </w:tc>
        <w:tc>
          <w:tcPr>
            <w:tcW w:w="27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300" w:type="dxa"/>
          </w:tcPr>
          <w:p>
            <w:pPr>
              <w:spacing w:after="0"/>
            </w:pPr>
            <w:r>
              <w:rPr/>
              <w:t xml:space="preserve">HAZİRAN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/>
              <w:t xml:space="preserve">Yıl sonu genel kurul toplantısı; yıllık çalışmaların değerlendirilmesi ve faaliyet raporunun hazırlanması.</w:t>
            </w:r>
          </w:p>
        </w:tc>
        <w:tc>
          <w:tcPr>
            <w:tcW w:w="2700" w:type="dxa"/>
          </w:tcPr>
          <w:p>
            <w:pPr>
              <w:spacing w:after="0"/>
            </w:pPr>
            <w:r>
              <w:rPr/>
              <w:t xml:space="preserve">Rapor okul yönetimine verilir.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3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32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