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SINIF REHBERLİK YILLIK ÇALIŞMA PLANI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/ Şube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rehber öğretmeni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</w:tr>
    </w:tbl>
    <w:p>
      <w:pPr>
        <w:spacing w:after="100"/>
      </w:pPr>
    </w:p>
    <w:p>
      <w:pPr>
        <w:jc w:val="both"/>
        <w:spacing w:after="100"/>
      </w:pPr>
      <w:r>
        <w:rPr>
          <w:i/>
        </w:rPr>
        <w:t xml:space="preserve">Plan, okul rehberlik ve psikolojik danışma servisinin yıllık programı ile Bakanlığın sınıf rehberlik programı esas alınarak hazırlanmıştır; etkinlikler akademik, kariyer ve sosyal-duygusal gelişim alanlarını kapsar. Programdaki kazanım ve etkinliklere göre güncelleyiniz.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1200"/>
        <w:gridCol w:w="1700"/>
        <w:gridCol w:w="4800"/>
        <w:gridCol w:w="1900"/>
      </w:tblGrid>
      <w:tr>
        <w:trPr>
          <w:tblHeader/>
        </w:trPr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AY</w:t>
            </w:r>
          </w:p>
        </w:tc>
        <w:tc>
          <w:tcPr>
            <w:tcW w:w="17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ALAN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ETKİNLİK / KONU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AÇIKLAMA</w:t>
            </w: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EYLÜL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Sosyal-duygusal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Tanışma ve okula uyum; sınıf kurallarının birlikte belirlenmesi; öğrenci bilgi formlarının doldurulması.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Oryantasyon</w:t>
            </w: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EKİM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Akademik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Etkili ve verimli ders çalışma yöntemleri; zaman planlaması.</w:t>
            </w:r>
          </w:p>
        </w:tc>
        <w:tc>
          <w:tcPr>
            <w:tcW w:w="19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EKİM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Sosyal-duygusal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Akran zorbalığını tanıma ve önleme; yardım isteme yolları.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Rehberlik servisiyle</w:t>
            </w: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KASIM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Sosyal-duygusal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Duyguları tanıma ve ifade etme; öfke yönetimi.</w:t>
            </w:r>
          </w:p>
        </w:tc>
        <w:tc>
          <w:tcPr>
            <w:tcW w:w="19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ARALIK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Akademik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Sınav kaygısıyla başa çıkma; hedef belirleme.</w:t>
            </w:r>
          </w:p>
        </w:tc>
        <w:tc>
          <w:tcPr>
            <w:tcW w:w="19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ARALIK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Sosyal-duygusal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Teknoloji ve ekran kullanımı; güvenli internet, dijital bağımlılık.</w:t>
            </w:r>
          </w:p>
        </w:tc>
        <w:tc>
          <w:tcPr>
            <w:tcW w:w="19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OCAK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Akademik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Birinci dönemin değerlendirilmesi; güçlü yönler ve gelişim alanları.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Dönem sonu</w:t>
            </w: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ŞUBAT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Kariyer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İlgi, yetenek ve değerleri tanıma.</w:t>
            </w:r>
          </w:p>
        </w:tc>
        <w:tc>
          <w:tcPr>
            <w:tcW w:w="19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MART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Kariyer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Meslekleri tanıma; meslek tanıtım etkinlikleri.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Veli/meslek temsilcisi daveti</w:t>
            </w: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MART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Sosyal-duygusal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Etkili iletişim, empati ve iş birliği.</w:t>
            </w:r>
          </w:p>
        </w:tc>
        <w:tc>
          <w:tcPr>
            <w:tcW w:w="19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NİSAN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Kariyer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Ortaöğretim kurumları ve LGS sistemi hakkında bilgilendirme (8. sınıf).</w:t>
            </w:r>
          </w:p>
        </w:tc>
        <w:tc>
          <w:tcPr>
            <w:tcW w:w="19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NİSAN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Sosyal-duygusal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Sağlıklı yaşam; beslenme, uyku ve hareket.</w:t>
            </w:r>
          </w:p>
        </w:tc>
        <w:tc>
          <w:tcPr>
            <w:tcW w:w="19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MAYIS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Akademik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Yaz tatilini verimli değerlendirme; okuma alışkanlığı.</w:t>
            </w:r>
          </w:p>
        </w:tc>
        <w:tc>
          <w:tcPr>
            <w:tcW w:w="19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1200" w:type="dxa"/>
          </w:tcPr>
          <w:p>
            <w:pPr>
              <w:spacing w:after="0"/>
            </w:pPr>
            <w:r>
              <w:rPr/>
              <w:t xml:space="preserve">HAZİRAN</w:t>
            </w:r>
          </w:p>
        </w:tc>
        <w:tc>
          <w:tcPr>
            <w:tcW w:w="1700" w:type="dxa"/>
          </w:tcPr>
          <w:p>
            <w:pPr>
              <w:spacing w:after="0"/>
            </w:pPr>
            <w:r>
              <w:rPr/>
              <w:t xml:space="preserve">Değerlendirme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Yıl sonu sınıf rehberlik çalışmalarının değerlendirilmesi; yıl sonu raporu.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Rapor rehberlik servisine</w:t>
            </w: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 Rehber Öğretmeni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48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